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outlineLvl w:val="0"/>
      </w:pPr>
      <w:r>
        <w:drawing>
          <wp:anchor distT="0" distB="0" distL="114300" distR="114300" simplePos="0" relativeHeight="251725824" behindDoc="0" locked="0" layoutInCell="1" allowOverlap="1">
            <wp:simplePos x="0" y="0"/>
            <wp:positionH relativeFrom="column">
              <wp:posOffset>-914400</wp:posOffset>
            </wp:positionH>
            <wp:positionV relativeFrom="paragraph">
              <wp:posOffset>-682625</wp:posOffset>
            </wp:positionV>
            <wp:extent cx="7244080" cy="10255250"/>
            <wp:effectExtent l="0" t="0" r="13970" b="12700"/>
            <wp:wrapNone/>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6"/>
                    <a:stretch>
                      <a:fillRect/>
                    </a:stretch>
                  </pic:blipFill>
                  <pic:spPr>
                    <a:xfrm>
                      <a:off x="0" y="0"/>
                      <a:ext cx="7244080" cy="10255250"/>
                    </a:xfrm>
                    <a:prstGeom prst="rect">
                      <a:avLst/>
                    </a:prstGeom>
                    <a:noFill/>
                    <a:ln w="9525">
                      <a:noFill/>
                    </a:ln>
                  </pic:spPr>
                </pic:pic>
              </a:graphicData>
            </a:graphic>
          </wp:anchor>
        </w:drawing>
      </w:r>
      <w:r>
        <w:drawing>
          <wp:inline distT="0" distB="0" distL="114300" distR="114300">
            <wp:extent cx="4961890" cy="6981190"/>
            <wp:effectExtent l="0" t="0" r="10160" b="10160"/>
            <wp:docPr id="1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pic:cNvPicPr>
                      <a:picLocks noChangeAspect="1"/>
                    </pic:cNvPicPr>
                  </pic:nvPicPr>
                  <pic:blipFill>
                    <a:blip r:embed="rId7"/>
                    <a:stretch>
                      <a:fillRect/>
                    </a:stretch>
                  </pic:blipFill>
                  <pic:spPr>
                    <a:xfrm>
                      <a:off x="0" y="0"/>
                      <a:ext cx="4961890" cy="6981190"/>
                    </a:xfrm>
                    <a:prstGeom prst="rect">
                      <a:avLst/>
                    </a:prstGeom>
                    <a:noFill/>
                    <a:ln w="9525">
                      <a:noFill/>
                    </a:ln>
                  </pic:spPr>
                </pic:pic>
              </a:graphicData>
            </a:graphic>
          </wp:inline>
        </w:drawing>
      </w:r>
    </w:p>
    <w:p>
      <w:pPr>
        <w:spacing w:line="360" w:lineRule="auto"/>
        <w:outlineLvl w:val="0"/>
      </w:pPr>
    </w:p>
    <w:p>
      <w:pPr>
        <w:spacing w:line="360" w:lineRule="auto"/>
        <w:outlineLvl w:val="0"/>
      </w:pPr>
    </w:p>
    <w:p>
      <w:pPr>
        <w:spacing w:line="360" w:lineRule="auto"/>
        <w:outlineLvl w:val="0"/>
      </w:pPr>
    </w:p>
    <w:p>
      <w:pPr>
        <w:spacing w:line="360" w:lineRule="auto"/>
        <w:outlineLvl w:val="0"/>
      </w:pPr>
    </w:p>
    <w:p>
      <w:pPr>
        <w:spacing w:line="360" w:lineRule="auto"/>
        <w:outlineLvl w:val="0"/>
      </w:pPr>
    </w:p>
    <w:p>
      <w:pPr>
        <w:pStyle w:val="2"/>
      </w:pPr>
      <w:r>
        <w:drawing>
          <wp:anchor distT="0" distB="0" distL="114300" distR="114300" simplePos="0" relativeHeight="251795456" behindDoc="0" locked="0" layoutInCell="1" allowOverlap="1">
            <wp:simplePos x="0" y="0"/>
            <wp:positionH relativeFrom="column">
              <wp:posOffset>-1000125</wp:posOffset>
            </wp:positionH>
            <wp:positionV relativeFrom="paragraph">
              <wp:posOffset>-582930</wp:posOffset>
            </wp:positionV>
            <wp:extent cx="7329170" cy="10353675"/>
            <wp:effectExtent l="0" t="0" r="5080" b="9525"/>
            <wp:wrapNone/>
            <wp:docPr id="1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
                    <pic:cNvPicPr>
                      <a:picLocks noChangeAspect="1"/>
                    </pic:cNvPicPr>
                  </pic:nvPicPr>
                  <pic:blipFill>
                    <a:blip r:embed="rId8"/>
                    <a:stretch>
                      <a:fillRect/>
                    </a:stretch>
                  </pic:blipFill>
                  <pic:spPr>
                    <a:xfrm>
                      <a:off x="0" y="0"/>
                      <a:ext cx="7329170" cy="10353675"/>
                    </a:xfrm>
                    <a:prstGeom prst="rect">
                      <a:avLst/>
                    </a:prstGeom>
                    <a:noFill/>
                    <a:ln w="9525">
                      <a:noFill/>
                    </a:ln>
                  </pic:spPr>
                </pic:pic>
              </a:graphicData>
            </a:graphic>
          </wp:anchor>
        </w:drawing>
      </w:r>
    </w:p>
    <w:p>
      <w:pPr>
        <w:spacing w:line="360" w:lineRule="auto"/>
        <w:outlineLvl w:val="0"/>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r>
        <w:drawing>
          <wp:anchor distT="0" distB="0" distL="114300" distR="114300" simplePos="0" relativeHeight="251796480" behindDoc="0" locked="0" layoutInCell="1" allowOverlap="1">
            <wp:simplePos x="0" y="0"/>
            <wp:positionH relativeFrom="column">
              <wp:posOffset>-590550</wp:posOffset>
            </wp:positionH>
            <wp:positionV relativeFrom="paragraph">
              <wp:posOffset>-350520</wp:posOffset>
            </wp:positionV>
            <wp:extent cx="6667500" cy="10001250"/>
            <wp:effectExtent l="0" t="0" r="0" b="0"/>
            <wp:wrapNone/>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pic:cNvPicPr>
                  </pic:nvPicPr>
                  <pic:blipFill>
                    <a:blip r:embed="rId9"/>
                    <a:stretch>
                      <a:fillRect/>
                    </a:stretch>
                  </pic:blipFill>
                  <pic:spPr>
                    <a:xfrm>
                      <a:off x="0" y="0"/>
                      <a:ext cx="6667500" cy="10001250"/>
                    </a:xfrm>
                    <a:prstGeom prst="rect">
                      <a:avLst/>
                    </a:prstGeom>
                    <a:noFill/>
                    <a:ln w="9525">
                      <a:noFill/>
                    </a:ln>
                  </pic:spPr>
                </pic:pic>
              </a:graphicData>
            </a:graphic>
          </wp:anchor>
        </w:drawing>
      </w: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pPr>
    </w:p>
    <w:p>
      <w:pPr>
        <w:spacing w:line="360" w:lineRule="auto"/>
        <w:outlineLvl w:val="0"/>
        <w:rPr>
          <w:b/>
          <w:bCs/>
          <w:sz w:val="24"/>
        </w:rPr>
        <w:sectPr>
          <w:footerReference r:id="rId3" w:type="default"/>
          <w:pgSz w:w="11906" w:h="16838"/>
          <w:pgMar w:top="1440" w:right="1800" w:bottom="1440" w:left="1800" w:header="851" w:footer="992" w:gutter="0"/>
          <w:cols w:space="720" w:num="1"/>
          <w:docGrid w:type="lines" w:linePitch="312" w:charSpace="0"/>
        </w:sectPr>
      </w:pPr>
    </w:p>
    <w:p>
      <w:pPr>
        <w:spacing w:line="360" w:lineRule="auto"/>
        <w:outlineLvl w:val="0"/>
        <w:rPr>
          <w:b/>
          <w:bCs/>
          <w:sz w:val="24"/>
        </w:rPr>
      </w:pPr>
      <w:r>
        <w:rPr>
          <w:b/>
          <w:bCs/>
          <w:sz w:val="24"/>
        </w:rPr>
        <w:t>建设项目基本情况</w:t>
      </w:r>
    </w:p>
    <w:tbl>
      <w:tblPr>
        <w:tblStyle w:val="28"/>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75"/>
        <w:gridCol w:w="845"/>
        <w:gridCol w:w="807"/>
        <w:gridCol w:w="1140"/>
        <w:gridCol w:w="626"/>
        <w:gridCol w:w="976"/>
        <w:gridCol w:w="1621"/>
        <w:gridCol w:w="126"/>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jc w:val="center"/>
              <w:rPr>
                <w:sz w:val="24"/>
              </w:rPr>
            </w:pPr>
            <w:r>
              <w:rPr>
                <w:sz w:val="24"/>
              </w:rPr>
              <w:t>项目名称</w:t>
            </w:r>
          </w:p>
        </w:tc>
        <w:tc>
          <w:tcPr>
            <w:tcW w:w="7815" w:type="dxa"/>
            <w:gridSpan w:val="9"/>
            <w:vAlign w:val="center"/>
          </w:tcPr>
          <w:p>
            <w:pPr>
              <w:jc w:val="center"/>
              <w:rPr>
                <w:sz w:val="24"/>
              </w:rPr>
            </w:pPr>
            <w:bookmarkStart w:id="0" w:name="OLE_LINK1"/>
            <w:r>
              <w:rPr>
                <w:rFonts w:hint="eastAsia"/>
                <w:sz w:val="24"/>
              </w:rPr>
              <w:t>年生产3000吨膨化食品建设项目</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jc w:val="center"/>
              <w:rPr>
                <w:sz w:val="24"/>
              </w:rPr>
            </w:pPr>
            <w:r>
              <w:rPr>
                <w:sz w:val="24"/>
              </w:rPr>
              <w:t>建设单位</w:t>
            </w:r>
          </w:p>
        </w:tc>
        <w:tc>
          <w:tcPr>
            <w:tcW w:w="7815" w:type="dxa"/>
            <w:gridSpan w:val="9"/>
            <w:vAlign w:val="center"/>
          </w:tcPr>
          <w:p>
            <w:pPr>
              <w:jc w:val="center"/>
              <w:rPr>
                <w:sz w:val="24"/>
              </w:rPr>
            </w:pPr>
            <w:r>
              <w:rPr>
                <w:rFonts w:hint="eastAsia"/>
                <w:sz w:val="24"/>
              </w:rPr>
              <w:t>河南祥贝食品有限公司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spacing w:line="360" w:lineRule="auto"/>
              <w:jc w:val="center"/>
              <w:rPr>
                <w:sz w:val="24"/>
              </w:rPr>
            </w:pPr>
            <w:r>
              <w:rPr>
                <w:sz w:val="24"/>
              </w:rPr>
              <w:t>法人代表</w:t>
            </w:r>
          </w:p>
        </w:tc>
        <w:tc>
          <w:tcPr>
            <w:tcW w:w="3067" w:type="dxa"/>
            <w:gridSpan w:val="4"/>
            <w:vAlign w:val="center"/>
          </w:tcPr>
          <w:p>
            <w:pPr>
              <w:jc w:val="center"/>
              <w:rPr>
                <w:rFonts w:hint="eastAsia"/>
                <w:sz w:val="24"/>
              </w:rPr>
            </w:pPr>
            <w:r>
              <w:rPr>
                <w:rFonts w:hint="eastAsia"/>
                <w:sz w:val="24"/>
              </w:rPr>
              <w:t>张景标</w:t>
            </w:r>
          </w:p>
        </w:tc>
        <w:tc>
          <w:tcPr>
            <w:tcW w:w="1602" w:type="dxa"/>
            <w:gridSpan w:val="2"/>
            <w:vAlign w:val="center"/>
          </w:tcPr>
          <w:p>
            <w:pPr>
              <w:jc w:val="center"/>
              <w:rPr>
                <w:sz w:val="24"/>
              </w:rPr>
            </w:pPr>
            <w:r>
              <w:rPr>
                <w:sz w:val="24"/>
              </w:rPr>
              <w:t>联系人</w:t>
            </w:r>
          </w:p>
        </w:tc>
        <w:tc>
          <w:tcPr>
            <w:tcW w:w="3146" w:type="dxa"/>
            <w:gridSpan w:val="3"/>
            <w:vAlign w:val="center"/>
          </w:tcPr>
          <w:p>
            <w:pPr>
              <w:jc w:val="center"/>
              <w:rPr>
                <w:sz w:val="24"/>
              </w:rPr>
            </w:pPr>
            <w:r>
              <w:rPr>
                <w:rFonts w:hint="eastAsia"/>
                <w:sz w:val="24"/>
              </w:rPr>
              <w:t>张景昌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jc w:val="center"/>
              <w:rPr>
                <w:sz w:val="24"/>
              </w:rPr>
            </w:pPr>
            <w:r>
              <w:rPr>
                <w:sz w:val="24"/>
              </w:rPr>
              <w:t>通讯地址</w:t>
            </w:r>
          </w:p>
        </w:tc>
        <w:tc>
          <w:tcPr>
            <w:tcW w:w="7815" w:type="dxa"/>
            <w:gridSpan w:val="9"/>
            <w:vAlign w:val="center"/>
          </w:tcPr>
          <w:p>
            <w:pPr>
              <w:jc w:val="center"/>
              <w:rPr>
                <w:sz w:val="24"/>
              </w:rPr>
            </w:pPr>
            <w:r>
              <w:rPr>
                <w:rFonts w:hint="eastAsia"/>
                <w:sz w:val="24"/>
              </w:rPr>
              <w:t>滑县慈周寨乡慈一村南地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jc w:val="center"/>
              <w:rPr>
                <w:sz w:val="24"/>
              </w:rPr>
            </w:pPr>
            <w:r>
              <w:rPr>
                <w:sz w:val="24"/>
              </w:rPr>
              <w:t>联系电话</w:t>
            </w:r>
          </w:p>
        </w:tc>
        <w:tc>
          <w:tcPr>
            <w:tcW w:w="1927" w:type="dxa"/>
            <w:gridSpan w:val="3"/>
            <w:vAlign w:val="center"/>
          </w:tcPr>
          <w:p>
            <w:pPr>
              <w:spacing w:line="560" w:lineRule="exact"/>
              <w:jc w:val="center"/>
              <w:rPr>
                <w:rFonts w:hint="eastAsia"/>
                <w:sz w:val="24"/>
              </w:rPr>
            </w:pPr>
            <w:r>
              <w:rPr>
                <w:sz w:val="24"/>
              </w:rPr>
              <w:t>13253019319</w:t>
            </w:r>
          </w:p>
        </w:tc>
        <w:tc>
          <w:tcPr>
            <w:tcW w:w="1140" w:type="dxa"/>
            <w:vAlign w:val="center"/>
          </w:tcPr>
          <w:p>
            <w:pPr>
              <w:spacing w:line="560" w:lineRule="exact"/>
              <w:jc w:val="center"/>
              <w:rPr>
                <w:sz w:val="24"/>
              </w:rPr>
            </w:pPr>
            <w:r>
              <w:rPr>
                <w:sz w:val="24"/>
              </w:rPr>
              <w:t>传真</w:t>
            </w:r>
          </w:p>
        </w:tc>
        <w:tc>
          <w:tcPr>
            <w:tcW w:w="1602" w:type="dxa"/>
            <w:gridSpan w:val="2"/>
            <w:vAlign w:val="center"/>
          </w:tcPr>
          <w:p>
            <w:pPr>
              <w:spacing w:line="560" w:lineRule="exact"/>
              <w:jc w:val="center"/>
              <w:rPr>
                <w:spacing w:val="-20"/>
                <w:sz w:val="24"/>
              </w:rPr>
            </w:pPr>
            <w:r>
              <w:rPr>
                <w:spacing w:val="-20"/>
                <w:sz w:val="24"/>
              </w:rPr>
              <w:t>/</w:t>
            </w:r>
          </w:p>
        </w:tc>
        <w:tc>
          <w:tcPr>
            <w:tcW w:w="1621" w:type="dxa"/>
            <w:vAlign w:val="center"/>
          </w:tcPr>
          <w:p>
            <w:pPr>
              <w:spacing w:line="560" w:lineRule="exact"/>
              <w:jc w:val="center"/>
              <w:rPr>
                <w:sz w:val="24"/>
              </w:rPr>
            </w:pPr>
            <w:r>
              <w:rPr>
                <w:sz w:val="24"/>
              </w:rPr>
              <w:t>邮政编码</w:t>
            </w:r>
          </w:p>
        </w:tc>
        <w:tc>
          <w:tcPr>
            <w:tcW w:w="1525" w:type="dxa"/>
            <w:gridSpan w:val="2"/>
            <w:vAlign w:val="center"/>
          </w:tcPr>
          <w:p>
            <w:pPr>
              <w:spacing w:line="560" w:lineRule="exact"/>
              <w:jc w:val="center"/>
              <w:rPr>
                <w:sz w:val="24"/>
              </w:rPr>
            </w:pPr>
            <w:r>
              <w:rPr>
                <w:sz w:val="24"/>
              </w:rPr>
              <w:t>45</w:t>
            </w:r>
            <w:r>
              <w:rPr>
                <w:rFonts w:hint="eastAsia"/>
                <w:sz w:val="24"/>
              </w:rPr>
              <w:t>64</w:t>
            </w:r>
            <w:r>
              <w:rPr>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spacing w:line="560" w:lineRule="exact"/>
              <w:jc w:val="center"/>
              <w:rPr>
                <w:sz w:val="24"/>
              </w:rPr>
            </w:pPr>
            <w:r>
              <w:rPr>
                <w:sz w:val="24"/>
              </w:rPr>
              <w:t>建设地点</w:t>
            </w:r>
          </w:p>
        </w:tc>
        <w:tc>
          <w:tcPr>
            <w:tcW w:w="7815" w:type="dxa"/>
            <w:gridSpan w:val="9"/>
            <w:vAlign w:val="center"/>
          </w:tcPr>
          <w:p>
            <w:pPr>
              <w:jc w:val="center"/>
              <w:rPr>
                <w:sz w:val="24"/>
                <w:lang w:val="en-US"/>
              </w:rPr>
            </w:pPr>
            <w:r>
              <w:rPr>
                <w:rFonts w:hint="eastAsia"/>
                <w:sz w:val="24"/>
                <w:highlight w:val="none"/>
              </w:rPr>
              <w:t>滑县慈周寨乡慈一村</w:t>
            </w:r>
            <w:r>
              <w:rPr>
                <w:rFonts w:hint="eastAsia"/>
                <w:sz w:val="24"/>
                <w:highlight w:val="none"/>
                <w:lang w:eastAsia="zh-CN"/>
              </w:rPr>
              <w:t>东</w:t>
            </w:r>
            <w:r>
              <w:rPr>
                <w:rFonts w:hint="eastAsia"/>
                <w:sz w:val="24"/>
                <w:highlight w:val="none"/>
                <w:lang w:val="en-US" w:eastAsia="zh-CN"/>
              </w:rPr>
              <w:t>437m处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748" w:type="dxa"/>
            <w:gridSpan w:val="2"/>
            <w:vAlign w:val="center"/>
          </w:tcPr>
          <w:p>
            <w:pPr>
              <w:spacing w:line="560" w:lineRule="exact"/>
              <w:jc w:val="center"/>
              <w:rPr>
                <w:sz w:val="24"/>
              </w:rPr>
            </w:pPr>
            <w:r>
              <w:rPr>
                <w:sz w:val="24"/>
              </w:rPr>
              <w:t>立项审批部门</w:t>
            </w:r>
          </w:p>
        </w:tc>
        <w:tc>
          <w:tcPr>
            <w:tcW w:w="2792" w:type="dxa"/>
            <w:gridSpan w:val="3"/>
            <w:vAlign w:val="center"/>
          </w:tcPr>
          <w:p>
            <w:pPr>
              <w:jc w:val="center"/>
              <w:rPr>
                <w:sz w:val="24"/>
              </w:rPr>
            </w:pPr>
            <w:r>
              <w:rPr>
                <w:rFonts w:hint="eastAsia"/>
                <w:sz w:val="24"/>
                <w:lang w:val="zh-CN"/>
              </w:rPr>
              <w:t>滑</w:t>
            </w:r>
            <w:r>
              <w:rPr>
                <w:sz w:val="24"/>
                <w:lang w:val="zh-CN"/>
              </w:rPr>
              <w:t>县发展和改革委员会</w:t>
            </w:r>
          </w:p>
        </w:tc>
        <w:tc>
          <w:tcPr>
            <w:tcW w:w="1602" w:type="dxa"/>
            <w:gridSpan w:val="2"/>
            <w:vAlign w:val="center"/>
          </w:tcPr>
          <w:p>
            <w:pPr>
              <w:jc w:val="center"/>
              <w:rPr>
                <w:rFonts w:hint="eastAsia"/>
                <w:sz w:val="24"/>
              </w:rPr>
            </w:pPr>
            <w:r>
              <w:rPr>
                <w:rFonts w:hint="eastAsia"/>
                <w:sz w:val="24"/>
                <w:lang w:val="zh-CN"/>
              </w:rPr>
              <w:t>项目代码</w:t>
            </w:r>
          </w:p>
        </w:tc>
        <w:tc>
          <w:tcPr>
            <w:tcW w:w="3146" w:type="dxa"/>
            <w:gridSpan w:val="3"/>
            <w:vAlign w:val="center"/>
          </w:tcPr>
          <w:p>
            <w:pPr>
              <w:jc w:val="center"/>
              <w:rPr>
                <w:rFonts w:hint="eastAsia"/>
                <w:sz w:val="24"/>
              </w:rPr>
            </w:pPr>
            <w:r>
              <w:rPr>
                <w:rFonts w:hint="eastAsia"/>
                <w:sz w:val="24"/>
              </w:rPr>
              <w:t>2018-410526-14-03-044282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spacing w:line="560" w:lineRule="exact"/>
              <w:jc w:val="center"/>
              <w:rPr>
                <w:sz w:val="24"/>
              </w:rPr>
            </w:pPr>
            <w:r>
              <w:rPr>
                <w:sz w:val="24"/>
              </w:rPr>
              <w:t>建设性质</w:t>
            </w:r>
          </w:p>
        </w:tc>
        <w:tc>
          <w:tcPr>
            <w:tcW w:w="3067" w:type="dxa"/>
            <w:gridSpan w:val="4"/>
            <w:vAlign w:val="center"/>
          </w:tcPr>
          <w:p>
            <w:pPr>
              <w:spacing w:line="560" w:lineRule="exact"/>
              <w:jc w:val="center"/>
              <w:rPr>
                <w:sz w:val="24"/>
              </w:rPr>
            </w:pPr>
            <w:r>
              <w:rPr>
                <w:sz w:val="24"/>
              </w:rPr>
              <w:t>新建■改扩建□技改□</w:t>
            </w:r>
          </w:p>
        </w:tc>
        <w:tc>
          <w:tcPr>
            <w:tcW w:w="1602" w:type="dxa"/>
            <w:gridSpan w:val="2"/>
            <w:vAlign w:val="center"/>
          </w:tcPr>
          <w:p>
            <w:pPr>
              <w:spacing w:line="560" w:lineRule="exact"/>
              <w:jc w:val="center"/>
              <w:rPr>
                <w:sz w:val="24"/>
              </w:rPr>
            </w:pPr>
            <w:r>
              <w:rPr>
                <w:sz w:val="24"/>
              </w:rPr>
              <w:t>行业类别</w:t>
            </w:r>
          </w:p>
          <w:p>
            <w:pPr>
              <w:spacing w:line="560" w:lineRule="exact"/>
              <w:jc w:val="center"/>
              <w:rPr>
                <w:sz w:val="24"/>
              </w:rPr>
            </w:pPr>
            <w:r>
              <w:rPr>
                <w:sz w:val="24"/>
              </w:rPr>
              <w:t>及代码</w:t>
            </w:r>
          </w:p>
        </w:tc>
        <w:tc>
          <w:tcPr>
            <w:tcW w:w="3146" w:type="dxa"/>
            <w:gridSpan w:val="3"/>
            <w:vAlign w:val="center"/>
          </w:tcPr>
          <w:p>
            <w:pPr>
              <w:spacing w:line="500" w:lineRule="exact"/>
              <w:jc w:val="center"/>
              <w:rPr>
                <w:bCs/>
                <w:sz w:val="24"/>
              </w:rPr>
            </w:pPr>
            <w:r>
              <w:rPr>
                <w:sz w:val="24"/>
              </w:rPr>
              <w:t>C</w:t>
            </w:r>
            <w:r>
              <w:rPr>
                <w:rFonts w:hint="eastAsia"/>
                <w:sz w:val="24"/>
              </w:rPr>
              <w:t>1419饼干及其他焙烤食品制造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spacing w:line="560" w:lineRule="exact"/>
              <w:jc w:val="center"/>
              <w:rPr>
                <w:sz w:val="24"/>
              </w:rPr>
            </w:pPr>
            <w:r>
              <w:rPr>
                <w:sz w:val="24"/>
              </w:rPr>
              <w:t>占地面积</w:t>
            </w:r>
          </w:p>
          <w:p>
            <w:pPr>
              <w:spacing w:line="560" w:lineRule="exact"/>
              <w:jc w:val="center"/>
              <w:rPr>
                <w:sz w:val="24"/>
              </w:rPr>
            </w:pPr>
            <w:r>
              <w:rPr>
                <w:sz w:val="24"/>
              </w:rPr>
              <w:t>(平方米)</w:t>
            </w:r>
          </w:p>
        </w:tc>
        <w:tc>
          <w:tcPr>
            <w:tcW w:w="3067" w:type="dxa"/>
            <w:gridSpan w:val="4"/>
            <w:vAlign w:val="center"/>
          </w:tcPr>
          <w:p>
            <w:pPr>
              <w:spacing w:line="560" w:lineRule="exact"/>
              <w:jc w:val="center"/>
              <w:rPr>
                <w:rFonts w:hint="eastAsia"/>
                <w:color w:val="FF0000"/>
                <w:sz w:val="24"/>
              </w:rPr>
            </w:pPr>
            <w:r>
              <w:rPr>
                <w:rFonts w:hint="eastAsia"/>
                <w:sz w:val="24"/>
              </w:rPr>
              <w:t>8466.67</w:t>
            </w:r>
          </w:p>
        </w:tc>
        <w:tc>
          <w:tcPr>
            <w:tcW w:w="1602" w:type="dxa"/>
            <w:gridSpan w:val="2"/>
            <w:vAlign w:val="center"/>
          </w:tcPr>
          <w:p>
            <w:pPr>
              <w:spacing w:line="560" w:lineRule="exact"/>
              <w:jc w:val="center"/>
              <w:rPr>
                <w:sz w:val="24"/>
              </w:rPr>
            </w:pPr>
            <w:r>
              <w:rPr>
                <w:sz w:val="24"/>
              </w:rPr>
              <w:t>绿化面积</w:t>
            </w:r>
          </w:p>
          <w:p>
            <w:pPr>
              <w:spacing w:line="560" w:lineRule="exact"/>
              <w:jc w:val="center"/>
              <w:rPr>
                <w:sz w:val="24"/>
              </w:rPr>
            </w:pPr>
            <w:r>
              <w:rPr>
                <w:sz w:val="24"/>
              </w:rPr>
              <w:t>(平方米)</w:t>
            </w:r>
          </w:p>
        </w:tc>
        <w:tc>
          <w:tcPr>
            <w:tcW w:w="3146" w:type="dxa"/>
            <w:gridSpan w:val="3"/>
            <w:vAlign w:val="center"/>
          </w:tcPr>
          <w:p>
            <w:pPr>
              <w:spacing w:line="560" w:lineRule="exact"/>
              <w:jc w:val="center"/>
              <w:rPr>
                <w:rFonts w:hint="eastAsia"/>
                <w:sz w:val="24"/>
              </w:rPr>
            </w:pPr>
            <w:r>
              <w:rPr>
                <w:rFonts w:hint="eastAsia"/>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spacing w:line="600" w:lineRule="exact"/>
              <w:jc w:val="center"/>
              <w:rPr>
                <w:sz w:val="24"/>
              </w:rPr>
            </w:pPr>
            <w:r>
              <w:rPr>
                <w:sz w:val="24"/>
              </w:rPr>
              <w:t>总投资</w:t>
            </w:r>
          </w:p>
          <w:p>
            <w:pPr>
              <w:spacing w:line="600" w:lineRule="exact"/>
              <w:jc w:val="center"/>
              <w:rPr>
                <w:sz w:val="24"/>
              </w:rPr>
            </w:pPr>
            <w:r>
              <w:rPr>
                <w:sz w:val="24"/>
              </w:rPr>
              <w:t>(万元)</w:t>
            </w:r>
          </w:p>
        </w:tc>
        <w:tc>
          <w:tcPr>
            <w:tcW w:w="1120" w:type="dxa"/>
            <w:gridSpan w:val="2"/>
            <w:vAlign w:val="center"/>
          </w:tcPr>
          <w:p>
            <w:pPr>
              <w:spacing w:line="600" w:lineRule="exact"/>
              <w:jc w:val="center"/>
              <w:rPr>
                <w:rFonts w:hint="eastAsia"/>
                <w:sz w:val="24"/>
              </w:rPr>
            </w:pPr>
            <w:r>
              <w:rPr>
                <w:rFonts w:hint="eastAsia"/>
                <w:sz w:val="24"/>
              </w:rPr>
              <w:t>100</w:t>
            </w:r>
          </w:p>
        </w:tc>
        <w:tc>
          <w:tcPr>
            <w:tcW w:w="1947" w:type="dxa"/>
            <w:gridSpan w:val="2"/>
            <w:vAlign w:val="center"/>
          </w:tcPr>
          <w:p>
            <w:pPr>
              <w:spacing w:line="600" w:lineRule="exact"/>
              <w:jc w:val="center"/>
              <w:rPr>
                <w:sz w:val="24"/>
              </w:rPr>
            </w:pPr>
            <w:r>
              <w:rPr>
                <w:sz w:val="24"/>
              </w:rPr>
              <w:t>其中：环保</w:t>
            </w:r>
          </w:p>
          <w:p>
            <w:pPr>
              <w:spacing w:line="600" w:lineRule="exact"/>
              <w:jc w:val="center"/>
              <w:rPr>
                <w:sz w:val="24"/>
              </w:rPr>
            </w:pPr>
            <w:r>
              <w:rPr>
                <w:sz w:val="24"/>
              </w:rPr>
              <w:t>投资(万元)</w:t>
            </w:r>
          </w:p>
        </w:tc>
        <w:tc>
          <w:tcPr>
            <w:tcW w:w="1602" w:type="dxa"/>
            <w:gridSpan w:val="2"/>
            <w:vAlign w:val="center"/>
          </w:tcPr>
          <w:p>
            <w:pPr>
              <w:spacing w:line="600" w:lineRule="exact"/>
              <w:jc w:val="center"/>
              <w:rPr>
                <w:rFonts w:hint="eastAsia"/>
                <w:sz w:val="24"/>
              </w:rPr>
            </w:pPr>
            <w:r>
              <w:rPr>
                <w:rFonts w:hint="eastAsia"/>
                <w:sz w:val="24"/>
              </w:rPr>
              <w:t>9.5</w:t>
            </w:r>
          </w:p>
        </w:tc>
        <w:tc>
          <w:tcPr>
            <w:tcW w:w="1747" w:type="dxa"/>
            <w:gridSpan w:val="2"/>
            <w:vAlign w:val="center"/>
          </w:tcPr>
          <w:p>
            <w:pPr>
              <w:spacing w:line="600" w:lineRule="exact"/>
              <w:jc w:val="center"/>
              <w:rPr>
                <w:sz w:val="24"/>
              </w:rPr>
            </w:pPr>
            <w:r>
              <w:rPr>
                <w:sz w:val="24"/>
              </w:rPr>
              <w:t>环保投资占总投资比例</w:t>
            </w:r>
          </w:p>
        </w:tc>
        <w:tc>
          <w:tcPr>
            <w:tcW w:w="1399" w:type="dxa"/>
            <w:vAlign w:val="center"/>
          </w:tcPr>
          <w:p>
            <w:pPr>
              <w:spacing w:line="600" w:lineRule="exact"/>
              <w:jc w:val="center"/>
              <w:rPr>
                <w:rFonts w:hint="eastAsia"/>
                <w:sz w:val="24"/>
              </w:rPr>
            </w:pPr>
            <w:r>
              <w:rPr>
                <w:rFonts w:hint="eastAsia"/>
                <w:color w:val="000000"/>
                <w:sz w:val="24"/>
              </w:rPr>
              <w:t>9.5</w:t>
            </w:r>
            <w:r>
              <w:rPr>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473" w:type="dxa"/>
            <w:vAlign w:val="center"/>
          </w:tcPr>
          <w:p>
            <w:pPr>
              <w:spacing w:line="600" w:lineRule="exact"/>
              <w:jc w:val="center"/>
              <w:rPr>
                <w:sz w:val="24"/>
              </w:rPr>
            </w:pPr>
            <w:r>
              <w:rPr>
                <w:sz w:val="24"/>
              </w:rPr>
              <w:t>评价经费</w:t>
            </w:r>
          </w:p>
          <w:p>
            <w:pPr>
              <w:spacing w:line="600" w:lineRule="exact"/>
              <w:jc w:val="center"/>
              <w:rPr>
                <w:sz w:val="24"/>
              </w:rPr>
            </w:pPr>
            <w:r>
              <w:rPr>
                <w:sz w:val="24"/>
              </w:rPr>
              <w:t>(万元)</w:t>
            </w:r>
          </w:p>
        </w:tc>
        <w:tc>
          <w:tcPr>
            <w:tcW w:w="1120" w:type="dxa"/>
            <w:gridSpan w:val="2"/>
            <w:vAlign w:val="center"/>
          </w:tcPr>
          <w:p>
            <w:pPr>
              <w:spacing w:line="600" w:lineRule="exact"/>
              <w:jc w:val="center"/>
              <w:rPr>
                <w:sz w:val="24"/>
              </w:rPr>
            </w:pPr>
          </w:p>
        </w:tc>
        <w:tc>
          <w:tcPr>
            <w:tcW w:w="2573" w:type="dxa"/>
            <w:gridSpan w:val="3"/>
            <w:vAlign w:val="center"/>
          </w:tcPr>
          <w:p>
            <w:pPr>
              <w:spacing w:line="600" w:lineRule="exact"/>
              <w:jc w:val="center"/>
              <w:rPr>
                <w:sz w:val="24"/>
              </w:rPr>
            </w:pPr>
            <w:r>
              <w:rPr>
                <w:sz w:val="24"/>
              </w:rPr>
              <w:t>预期投产日期</w:t>
            </w:r>
          </w:p>
        </w:tc>
        <w:tc>
          <w:tcPr>
            <w:tcW w:w="4122" w:type="dxa"/>
            <w:gridSpan w:val="4"/>
            <w:vAlign w:val="center"/>
          </w:tcPr>
          <w:p>
            <w:pPr>
              <w:spacing w:line="600" w:lineRule="exact"/>
              <w:jc w:val="center"/>
              <w:rPr>
                <w:sz w:val="24"/>
              </w:rPr>
            </w:pPr>
            <w:r>
              <w:rPr>
                <w:rFonts w:hint="eastAsia"/>
                <w:sz w:val="24"/>
                <w:highlight w:val="none"/>
              </w:rPr>
              <w:t>2019</w:t>
            </w:r>
            <w:r>
              <w:rPr>
                <w:sz w:val="24"/>
                <w:highlight w:val="none"/>
              </w:rPr>
              <w:t>年</w:t>
            </w:r>
            <w:r>
              <w:rPr>
                <w:rFonts w:hint="eastAsia"/>
                <w:sz w:val="24"/>
                <w:highlight w:val="none"/>
                <w:lang w:val="en-US" w:eastAsia="zh-CN"/>
              </w:rPr>
              <w:t>4</w:t>
            </w:r>
            <w:r>
              <w:rPr>
                <w:sz w:val="24"/>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1" w:hRule="atLeast"/>
          <w:jc w:val="center"/>
        </w:trPr>
        <w:tc>
          <w:tcPr>
            <w:tcW w:w="9288" w:type="dxa"/>
            <w:gridSpan w:val="10"/>
            <w:vAlign w:val="top"/>
          </w:tcPr>
          <w:p>
            <w:pPr>
              <w:spacing w:line="500" w:lineRule="exact"/>
              <w:rPr>
                <w:b/>
                <w:bCs/>
                <w:sz w:val="24"/>
              </w:rPr>
            </w:pPr>
            <w:r>
              <w:rPr>
                <w:b/>
                <w:bCs/>
                <w:sz w:val="24"/>
              </w:rPr>
              <w:t>内容及规模</w:t>
            </w:r>
          </w:p>
          <w:p>
            <w:pPr>
              <w:numPr>
                <w:ilvl w:val="0"/>
                <w:numId w:val="1"/>
                <w:numberingChange w:id="0" w:author="Xzjd" w:date="2017-05-07T18:49:00Z" w:original="%1:1:0:、"/>
              </w:numPr>
              <w:spacing w:line="500" w:lineRule="exact"/>
              <w:ind w:firstLine="482" w:firstLineChars="200"/>
              <w:rPr>
                <w:b/>
                <w:bCs/>
                <w:sz w:val="24"/>
              </w:rPr>
            </w:pPr>
            <w:r>
              <w:rPr>
                <w:b/>
                <w:bCs/>
                <w:sz w:val="24"/>
              </w:rPr>
              <w:t>建设项目概况</w:t>
            </w:r>
          </w:p>
          <w:p>
            <w:pPr>
              <w:spacing w:line="500" w:lineRule="exact"/>
              <w:ind w:firstLine="480" w:firstLineChars="200"/>
              <w:rPr>
                <w:sz w:val="24"/>
              </w:rPr>
            </w:pPr>
            <w:r>
              <w:rPr>
                <w:rFonts w:hint="eastAsia"/>
                <w:sz w:val="24"/>
              </w:rPr>
              <w:t>膨化食品是一种口感香脆、具有一定的营养价值的休闲食品，深得人们喜爱，具有广泛的市场。为抓住市场机遇，河南祥贝食品有限公司拟投资100万元，在滑县慈周寨乡慈一村建设年生产3000吨膨化食品建设项目。目前项目尚未建设。</w:t>
            </w:r>
            <w:r>
              <w:rPr>
                <w:color w:val="000000"/>
                <w:sz w:val="24"/>
              </w:rPr>
              <w:t>项目基本情况见表1</w:t>
            </w:r>
            <w:r>
              <w:rPr>
                <w:sz w:val="24"/>
                <w:lang w:val="zh-CN"/>
              </w:rPr>
              <w:t>。</w:t>
            </w:r>
          </w:p>
          <w:p>
            <w:pPr>
              <w:spacing w:line="500" w:lineRule="exact"/>
              <w:ind w:firstLine="482"/>
              <w:jc w:val="center"/>
              <w:rPr>
                <w:b/>
                <w:bCs/>
                <w:szCs w:val="21"/>
              </w:rPr>
            </w:pPr>
          </w:p>
          <w:p>
            <w:pPr>
              <w:spacing w:line="500" w:lineRule="exact"/>
              <w:ind w:firstLine="482"/>
              <w:jc w:val="center"/>
              <w:rPr>
                <w:b/>
                <w:bCs/>
                <w:szCs w:val="21"/>
              </w:rPr>
            </w:pPr>
          </w:p>
          <w:p>
            <w:pPr>
              <w:spacing w:line="500" w:lineRule="exact"/>
              <w:ind w:firstLine="482"/>
              <w:jc w:val="center"/>
              <w:rPr>
                <w:b/>
                <w:bCs/>
                <w:szCs w:val="21"/>
              </w:rPr>
            </w:pPr>
            <w:r>
              <w:rPr>
                <w:b/>
                <w:bCs/>
                <w:szCs w:val="21"/>
              </w:rPr>
              <w:t>表1  项目基本情况一览表</w:t>
            </w:r>
          </w:p>
          <w:tbl>
            <w:tblPr>
              <w:tblStyle w:val="28"/>
              <w:tblW w:w="906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950"/>
              <w:gridCol w:w="65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restart"/>
                  <w:vAlign w:val="center"/>
                </w:tcPr>
                <w:p>
                  <w:pPr>
                    <w:jc w:val="center"/>
                    <w:rPr>
                      <w:szCs w:val="21"/>
                    </w:rPr>
                  </w:pPr>
                  <w:r>
                    <w:rPr>
                      <w:szCs w:val="21"/>
                    </w:rPr>
                    <w:t>项目基本内容</w:t>
                  </w:r>
                </w:p>
              </w:tc>
              <w:tc>
                <w:tcPr>
                  <w:tcW w:w="1950" w:type="dxa"/>
                  <w:vAlign w:val="center"/>
                </w:tcPr>
                <w:p>
                  <w:pPr>
                    <w:jc w:val="center"/>
                    <w:rPr>
                      <w:szCs w:val="21"/>
                    </w:rPr>
                  </w:pPr>
                  <w:r>
                    <w:rPr>
                      <w:szCs w:val="21"/>
                    </w:rPr>
                    <w:t>项目名称</w:t>
                  </w:r>
                </w:p>
              </w:tc>
              <w:tc>
                <w:tcPr>
                  <w:tcW w:w="6549" w:type="dxa"/>
                  <w:vAlign w:val="center"/>
                </w:tcPr>
                <w:p>
                  <w:pPr>
                    <w:jc w:val="center"/>
                    <w:rPr>
                      <w:szCs w:val="21"/>
                    </w:rPr>
                  </w:pPr>
                  <w:r>
                    <w:rPr>
                      <w:rFonts w:hint="eastAsia"/>
                      <w:szCs w:val="21"/>
                      <w:lang w:val="zh-CN"/>
                    </w:rPr>
                    <w:t>年生产3000吨膨化食品建设项目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tabs>
                      <w:tab w:val="left" w:pos="2865"/>
                    </w:tabs>
                    <w:jc w:val="center"/>
                    <w:rPr>
                      <w:color w:val="000000"/>
                      <w:szCs w:val="21"/>
                    </w:rPr>
                  </w:pPr>
                </w:p>
              </w:tc>
              <w:tc>
                <w:tcPr>
                  <w:tcW w:w="1950" w:type="dxa"/>
                  <w:vAlign w:val="center"/>
                </w:tcPr>
                <w:p>
                  <w:pPr>
                    <w:tabs>
                      <w:tab w:val="left" w:pos="2865"/>
                    </w:tabs>
                    <w:jc w:val="center"/>
                    <w:rPr>
                      <w:color w:val="000000"/>
                      <w:szCs w:val="21"/>
                    </w:rPr>
                  </w:pPr>
                  <w:r>
                    <w:rPr>
                      <w:szCs w:val="21"/>
                    </w:rPr>
                    <w:t>建设单位</w:t>
                  </w:r>
                </w:p>
              </w:tc>
              <w:tc>
                <w:tcPr>
                  <w:tcW w:w="6549" w:type="dxa"/>
                  <w:vAlign w:val="center"/>
                </w:tcPr>
                <w:p>
                  <w:pPr>
                    <w:tabs>
                      <w:tab w:val="left" w:pos="2865"/>
                    </w:tabs>
                    <w:jc w:val="center"/>
                    <w:rPr>
                      <w:color w:val="000000"/>
                      <w:szCs w:val="21"/>
                    </w:rPr>
                  </w:pPr>
                  <w:r>
                    <w:rPr>
                      <w:rFonts w:hint="eastAsia"/>
                      <w:color w:val="000000"/>
                      <w:kern w:val="0"/>
                      <w:szCs w:val="21"/>
                    </w:rPr>
                    <w:t>河南祥贝食品有限公司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564" w:type="dxa"/>
                  <w:vMerge w:val="continue"/>
                  <w:vAlign w:val="center"/>
                </w:tcPr>
                <w:p>
                  <w:pPr>
                    <w:tabs>
                      <w:tab w:val="left" w:pos="2865"/>
                    </w:tabs>
                    <w:jc w:val="center"/>
                    <w:rPr>
                      <w:color w:val="000000"/>
                      <w:szCs w:val="21"/>
                    </w:rPr>
                  </w:pPr>
                </w:p>
              </w:tc>
              <w:tc>
                <w:tcPr>
                  <w:tcW w:w="1950" w:type="dxa"/>
                  <w:vAlign w:val="center"/>
                </w:tcPr>
                <w:p>
                  <w:pPr>
                    <w:tabs>
                      <w:tab w:val="left" w:pos="2865"/>
                    </w:tabs>
                    <w:jc w:val="center"/>
                    <w:rPr>
                      <w:color w:val="000000"/>
                      <w:szCs w:val="21"/>
                    </w:rPr>
                  </w:pPr>
                  <w:r>
                    <w:rPr>
                      <w:szCs w:val="21"/>
                    </w:rPr>
                    <w:t>建设性质</w:t>
                  </w:r>
                </w:p>
              </w:tc>
              <w:tc>
                <w:tcPr>
                  <w:tcW w:w="6549" w:type="dxa"/>
                  <w:vAlign w:val="center"/>
                </w:tcPr>
                <w:p>
                  <w:pPr>
                    <w:tabs>
                      <w:tab w:val="left" w:pos="2865"/>
                    </w:tabs>
                    <w:jc w:val="center"/>
                    <w:rPr>
                      <w:color w:val="000000"/>
                      <w:szCs w:val="21"/>
                    </w:rPr>
                  </w:pPr>
                  <w:r>
                    <w:rPr>
                      <w:color w:val="000000"/>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tabs>
                      <w:tab w:val="left" w:pos="2865"/>
                    </w:tabs>
                    <w:jc w:val="center"/>
                    <w:rPr>
                      <w:color w:val="000000"/>
                      <w:szCs w:val="21"/>
                    </w:rPr>
                  </w:pPr>
                </w:p>
              </w:tc>
              <w:tc>
                <w:tcPr>
                  <w:tcW w:w="1950" w:type="dxa"/>
                  <w:vAlign w:val="center"/>
                </w:tcPr>
                <w:p>
                  <w:pPr>
                    <w:jc w:val="center"/>
                    <w:rPr>
                      <w:szCs w:val="21"/>
                    </w:rPr>
                  </w:pPr>
                  <w:r>
                    <w:rPr>
                      <w:szCs w:val="21"/>
                    </w:rPr>
                    <w:t>劳动定员</w:t>
                  </w:r>
                </w:p>
              </w:tc>
              <w:tc>
                <w:tcPr>
                  <w:tcW w:w="6549" w:type="dxa"/>
                  <w:vAlign w:val="center"/>
                </w:tcPr>
                <w:p>
                  <w:pPr>
                    <w:jc w:val="center"/>
                    <w:rPr>
                      <w:szCs w:val="21"/>
                    </w:rPr>
                  </w:pPr>
                  <w:r>
                    <w:rPr>
                      <w:rFonts w:hint="eastAsia"/>
                      <w:szCs w:val="21"/>
                    </w:rPr>
                    <w:t>20</w:t>
                  </w:r>
                  <w:r>
                    <w:rPr>
                      <w:szCs w:val="21"/>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tabs>
                      <w:tab w:val="left" w:pos="2865"/>
                    </w:tabs>
                    <w:jc w:val="center"/>
                    <w:rPr>
                      <w:color w:val="000000"/>
                      <w:szCs w:val="21"/>
                    </w:rPr>
                  </w:pPr>
                </w:p>
              </w:tc>
              <w:tc>
                <w:tcPr>
                  <w:tcW w:w="1950" w:type="dxa"/>
                  <w:vAlign w:val="center"/>
                </w:tcPr>
                <w:p>
                  <w:pPr>
                    <w:jc w:val="center"/>
                    <w:rPr>
                      <w:szCs w:val="21"/>
                    </w:rPr>
                  </w:pPr>
                  <w:r>
                    <w:rPr>
                      <w:szCs w:val="21"/>
                    </w:rPr>
                    <w:t>工作制度</w:t>
                  </w:r>
                </w:p>
              </w:tc>
              <w:tc>
                <w:tcPr>
                  <w:tcW w:w="6549" w:type="dxa"/>
                  <w:vAlign w:val="center"/>
                </w:tcPr>
                <w:p>
                  <w:pPr>
                    <w:jc w:val="center"/>
                    <w:rPr>
                      <w:szCs w:val="21"/>
                      <w:lang w:val="zh-CN"/>
                    </w:rPr>
                  </w:pPr>
                  <w:r>
                    <w:rPr>
                      <w:szCs w:val="21"/>
                    </w:rPr>
                    <w:t>实行</w:t>
                  </w:r>
                  <w:r>
                    <w:rPr>
                      <w:rFonts w:hint="eastAsia"/>
                      <w:szCs w:val="21"/>
                    </w:rPr>
                    <w:t>每天</w:t>
                  </w:r>
                  <w:r>
                    <w:rPr>
                      <w:szCs w:val="21"/>
                    </w:rPr>
                    <w:t>单班</w:t>
                  </w:r>
                  <w:r>
                    <w:rPr>
                      <w:rFonts w:hint="eastAsia"/>
                      <w:szCs w:val="21"/>
                    </w:rPr>
                    <w:t>8</w:t>
                  </w:r>
                  <w:r>
                    <w:rPr>
                      <w:szCs w:val="21"/>
                    </w:rPr>
                    <w:t>小时工作制，年工作日</w:t>
                  </w:r>
                  <w:r>
                    <w:rPr>
                      <w:rFonts w:hint="eastAsia"/>
                      <w:szCs w:val="21"/>
                    </w:rPr>
                    <w:t>30</w:t>
                  </w:r>
                  <w:r>
                    <w:rPr>
                      <w:szCs w:val="21"/>
                    </w:rPr>
                    <w:t>0天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tabs>
                      <w:tab w:val="left" w:pos="2865"/>
                    </w:tabs>
                    <w:jc w:val="center"/>
                    <w:rPr>
                      <w:color w:val="000000"/>
                      <w:szCs w:val="21"/>
                    </w:rPr>
                  </w:pPr>
                </w:p>
              </w:tc>
              <w:tc>
                <w:tcPr>
                  <w:tcW w:w="1950" w:type="dxa"/>
                  <w:vAlign w:val="center"/>
                </w:tcPr>
                <w:p>
                  <w:pPr>
                    <w:jc w:val="center"/>
                    <w:rPr>
                      <w:szCs w:val="21"/>
                    </w:rPr>
                  </w:pPr>
                  <w:r>
                    <w:rPr>
                      <w:szCs w:val="21"/>
                    </w:rPr>
                    <w:t>环评文件类型</w:t>
                  </w:r>
                </w:p>
              </w:tc>
              <w:tc>
                <w:tcPr>
                  <w:tcW w:w="6549" w:type="dxa"/>
                  <w:vAlign w:val="center"/>
                </w:tcPr>
                <w:p>
                  <w:pPr>
                    <w:pStyle w:val="32"/>
                    <w:spacing w:line="240" w:lineRule="auto"/>
                    <w:textAlignment w:val="center"/>
                    <w:rPr>
                      <w:color w:val="auto"/>
                      <w:sz w:val="21"/>
                      <w:szCs w:val="21"/>
                    </w:rPr>
                  </w:pPr>
                  <w:r>
                    <w:rPr>
                      <w:sz w:val="21"/>
                      <w:szCs w:val="21"/>
                      <w:lang w:val="zh-CN"/>
                    </w:rPr>
                    <w:t>登记表</w:t>
                  </w:r>
                  <w:r>
                    <w:rPr>
                      <w:sz w:val="21"/>
                      <w:szCs w:val="21"/>
                    </w:rPr>
                    <w:t>□</w:t>
                  </w:r>
                  <w:r>
                    <w:rPr>
                      <w:sz w:val="21"/>
                      <w:szCs w:val="21"/>
                      <w:lang w:val="zh-CN"/>
                    </w:rPr>
                    <w:t>报告表</w:t>
                  </w:r>
                  <w:r>
                    <w:rPr>
                      <w:sz w:val="21"/>
                      <w:szCs w:val="21"/>
                    </w:rPr>
                    <w:t>■</w:t>
                  </w:r>
                  <w:r>
                    <w:rPr>
                      <w:sz w:val="21"/>
                      <w:szCs w:val="21"/>
                      <w:lang w:val="zh-CN"/>
                    </w:rPr>
                    <w:t>报告书</w:t>
                  </w: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4" w:type="dxa"/>
                  <w:vMerge w:val="restart"/>
                  <w:vAlign w:val="center"/>
                </w:tcPr>
                <w:p>
                  <w:pPr>
                    <w:jc w:val="center"/>
                    <w:rPr>
                      <w:szCs w:val="21"/>
                    </w:rPr>
                  </w:pPr>
                  <w:r>
                    <w:rPr>
                      <w:szCs w:val="21"/>
                    </w:rPr>
                    <w:t>产业特征</w:t>
                  </w:r>
                </w:p>
              </w:tc>
              <w:tc>
                <w:tcPr>
                  <w:tcW w:w="1950" w:type="dxa"/>
                  <w:vAlign w:val="center"/>
                </w:tcPr>
                <w:p>
                  <w:pPr>
                    <w:jc w:val="center"/>
                    <w:rPr>
                      <w:szCs w:val="21"/>
                    </w:rPr>
                  </w:pPr>
                  <w:r>
                    <w:rPr>
                      <w:szCs w:val="21"/>
                    </w:rPr>
                    <w:t>投资额（万元）</w:t>
                  </w:r>
                </w:p>
              </w:tc>
              <w:tc>
                <w:tcPr>
                  <w:tcW w:w="6549" w:type="dxa"/>
                  <w:vAlign w:val="center"/>
                </w:tcPr>
                <w:p>
                  <w:pPr>
                    <w:jc w:val="center"/>
                    <w:rPr>
                      <w:rFonts w:hint="eastAsia"/>
                      <w:szCs w:val="21"/>
                    </w:rPr>
                  </w:pPr>
                  <w:r>
                    <w:rPr>
                      <w:rFonts w:hint="eastAsia"/>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jc w:val="center"/>
                    <w:rPr>
                      <w:szCs w:val="21"/>
                    </w:rPr>
                  </w:pPr>
                </w:p>
              </w:tc>
              <w:tc>
                <w:tcPr>
                  <w:tcW w:w="1950" w:type="dxa"/>
                  <w:vAlign w:val="center"/>
                </w:tcPr>
                <w:p>
                  <w:pPr>
                    <w:jc w:val="center"/>
                    <w:rPr>
                      <w:szCs w:val="21"/>
                    </w:rPr>
                  </w:pPr>
                  <w:r>
                    <w:rPr>
                      <w:szCs w:val="21"/>
                    </w:rPr>
                    <w:t>环保投资（万元）</w:t>
                  </w:r>
                </w:p>
              </w:tc>
              <w:tc>
                <w:tcPr>
                  <w:tcW w:w="6549" w:type="dxa"/>
                  <w:vAlign w:val="center"/>
                </w:tcPr>
                <w:p>
                  <w:pPr>
                    <w:jc w:val="center"/>
                    <w:rPr>
                      <w:rFonts w:hint="eastAsia"/>
                      <w:szCs w:val="21"/>
                    </w:rPr>
                  </w:pPr>
                  <w:r>
                    <w:rPr>
                      <w:rFonts w:hint="eastAsia"/>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564" w:type="dxa"/>
                  <w:vMerge w:val="continue"/>
                  <w:vAlign w:val="center"/>
                </w:tcPr>
                <w:p>
                  <w:pPr>
                    <w:jc w:val="center"/>
                    <w:rPr>
                      <w:szCs w:val="21"/>
                    </w:rPr>
                  </w:pPr>
                </w:p>
              </w:tc>
              <w:tc>
                <w:tcPr>
                  <w:tcW w:w="1950" w:type="dxa"/>
                  <w:vAlign w:val="center"/>
                </w:tcPr>
                <w:p>
                  <w:pPr>
                    <w:jc w:val="center"/>
                    <w:rPr>
                      <w:szCs w:val="21"/>
                    </w:rPr>
                  </w:pPr>
                  <w:r>
                    <w:rPr>
                      <w:szCs w:val="21"/>
                    </w:rPr>
                    <w:t>产业类别</w:t>
                  </w:r>
                </w:p>
              </w:tc>
              <w:tc>
                <w:tcPr>
                  <w:tcW w:w="6549" w:type="dxa"/>
                  <w:vAlign w:val="center"/>
                </w:tcPr>
                <w:p>
                  <w:pPr>
                    <w:jc w:val="center"/>
                    <w:rPr>
                      <w:szCs w:val="21"/>
                    </w:rPr>
                  </w:pPr>
                  <w:r>
                    <w:rPr>
                      <w:szCs w:val="21"/>
                      <w:lang w:val="zh-CN"/>
                    </w:rPr>
                    <w:t>第二产业：工业和建筑业（本项目属于工业中的制造业）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jc w:val="center"/>
                    <w:rPr>
                      <w:szCs w:val="21"/>
                    </w:rPr>
                  </w:pPr>
                </w:p>
              </w:tc>
              <w:tc>
                <w:tcPr>
                  <w:tcW w:w="1950" w:type="dxa"/>
                  <w:vAlign w:val="center"/>
                </w:tcPr>
                <w:p>
                  <w:pPr>
                    <w:jc w:val="center"/>
                    <w:rPr>
                      <w:szCs w:val="21"/>
                      <w:lang w:val="zh-CN"/>
                    </w:rPr>
                  </w:pPr>
                  <w:r>
                    <w:rPr>
                      <w:szCs w:val="21"/>
                      <w:lang w:val="zh-CN"/>
                    </w:rPr>
                    <w:t>行业类别</w:t>
                  </w:r>
                </w:p>
              </w:tc>
              <w:tc>
                <w:tcPr>
                  <w:tcW w:w="6549" w:type="dxa"/>
                  <w:vAlign w:val="center"/>
                </w:tcPr>
                <w:p>
                  <w:pPr>
                    <w:jc w:val="center"/>
                    <w:rPr>
                      <w:szCs w:val="21"/>
                    </w:rPr>
                  </w:pPr>
                  <w:r>
                    <w:rPr>
                      <w:rFonts w:hint="eastAsia"/>
                      <w:szCs w:val="21"/>
                    </w:rPr>
                    <w:t>“三、食品制造业”第16条“营养食品、保健食品、冷冻饮品、食用冰制造及其他食品制造”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tabs>
                      <w:tab w:val="left" w:pos="2865"/>
                    </w:tabs>
                    <w:jc w:val="center"/>
                    <w:rPr>
                      <w:color w:val="000000"/>
                      <w:szCs w:val="21"/>
                    </w:rPr>
                  </w:pPr>
                </w:p>
              </w:tc>
              <w:tc>
                <w:tcPr>
                  <w:tcW w:w="1950" w:type="dxa"/>
                  <w:vAlign w:val="center"/>
                </w:tcPr>
                <w:p>
                  <w:pPr>
                    <w:jc w:val="center"/>
                    <w:rPr>
                      <w:szCs w:val="21"/>
                    </w:rPr>
                  </w:pPr>
                  <w:r>
                    <w:rPr>
                      <w:szCs w:val="21"/>
                    </w:rPr>
                    <w:t>5个行业总量控制行业</w:t>
                  </w:r>
                </w:p>
              </w:tc>
              <w:tc>
                <w:tcPr>
                  <w:tcW w:w="6549" w:type="dxa"/>
                  <w:vAlign w:val="center"/>
                </w:tcPr>
                <w:p>
                  <w:pPr>
                    <w:jc w:val="center"/>
                    <w:rPr>
                      <w:szCs w:val="21"/>
                    </w:rPr>
                  </w:pPr>
                  <w:r>
                    <w:rPr>
                      <w:szCs w:val="21"/>
                      <w:lang w:val="zh-CN"/>
                    </w:rPr>
                    <w:t>本项目属于工业和建筑业中的制造业，不属于</w:t>
                  </w:r>
                  <w:r>
                    <w:rPr>
                      <w:szCs w:val="21"/>
                    </w:rPr>
                    <w:t>钢铁、</w:t>
                  </w:r>
                </w:p>
                <w:p>
                  <w:pPr>
                    <w:jc w:val="center"/>
                    <w:rPr>
                      <w:szCs w:val="21"/>
                    </w:rPr>
                  </w:pPr>
                  <w:r>
                    <w:rPr>
                      <w:szCs w:val="21"/>
                    </w:rPr>
                    <w:t>水泥、造纸、印染、电力等行业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tabs>
                      <w:tab w:val="left" w:pos="2865"/>
                    </w:tabs>
                    <w:jc w:val="center"/>
                    <w:rPr>
                      <w:color w:val="000000"/>
                      <w:szCs w:val="21"/>
                    </w:rPr>
                  </w:pPr>
                </w:p>
              </w:tc>
              <w:tc>
                <w:tcPr>
                  <w:tcW w:w="1950" w:type="dxa"/>
                  <w:vAlign w:val="center"/>
                </w:tcPr>
                <w:p>
                  <w:pPr>
                    <w:jc w:val="center"/>
                    <w:rPr>
                      <w:szCs w:val="21"/>
                    </w:rPr>
                  </w:pPr>
                  <w:r>
                    <w:rPr>
                      <w:szCs w:val="21"/>
                    </w:rPr>
                    <w:t>投资主体</w:t>
                  </w:r>
                </w:p>
              </w:tc>
              <w:tc>
                <w:tcPr>
                  <w:tcW w:w="6549" w:type="dxa"/>
                  <w:vAlign w:val="center"/>
                </w:tcPr>
                <w:p>
                  <w:pPr>
                    <w:jc w:val="center"/>
                    <w:rPr>
                      <w:szCs w:val="21"/>
                    </w:rPr>
                  </w:pPr>
                  <w:r>
                    <w:rPr>
                      <w:szCs w:val="21"/>
                      <w:lang w:val="zh-CN"/>
                    </w:rPr>
                    <w:t>私有企业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4" w:type="dxa"/>
                  <w:vMerge w:val="restart"/>
                  <w:vAlign w:val="center"/>
                </w:tcPr>
                <w:p>
                  <w:pPr>
                    <w:jc w:val="center"/>
                    <w:rPr>
                      <w:szCs w:val="21"/>
                    </w:rPr>
                  </w:pPr>
                  <w:r>
                    <w:rPr>
                      <w:color w:val="000000"/>
                      <w:szCs w:val="21"/>
                    </w:rPr>
                    <w:t>厂址</w:t>
                  </w:r>
                </w:p>
              </w:tc>
              <w:tc>
                <w:tcPr>
                  <w:tcW w:w="1950" w:type="dxa"/>
                  <w:vAlign w:val="center"/>
                </w:tcPr>
                <w:p>
                  <w:pPr>
                    <w:jc w:val="center"/>
                    <w:rPr>
                      <w:szCs w:val="21"/>
                    </w:rPr>
                  </w:pPr>
                  <w:r>
                    <w:rPr>
                      <w:szCs w:val="21"/>
                    </w:rPr>
                    <w:t>省辖市名称</w:t>
                  </w:r>
                </w:p>
              </w:tc>
              <w:tc>
                <w:tcPr>
                  <w:tcW w:w="6549" w:type="dxa"/>
                  <w:vAlign w:val="center"/>
                </w:tcPr>
                <w:p>
                  <w:pPr>
                    <w:jc w:val="center"/>
                    <w:rPr>
                      <w:szCs w:val="21"/>
                    </w:rPr>
                  </w:pPr>
                  <w:r>
                    <w:rPr>
                      <w:szCs w:val="21"/>
                    </w:rPr>
                    <w:t>河南省</w:t>
                  </w:r>
                  <w:r>
                    <w:rPr>
                      <w:rFonts w:hint="eastAsia"/>
                      <w:szCs w:val="21"/>
                    </w:rPr>
                    <w:t>安阳市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tabs>
                      <w:tab w:val="left" w:pos="2865"/>
                    </w:tabs>
                    <w:jc w:val="center"/>
                    <w:rPr>
                      <w:color w:val="000000"/>
                      <w:szCs w:val="21"/>
                    </w:rPr>
                  </w:pPr>
                </w:p>
              </w:tc>
              <w:tc>
                <w:tcPr>
                  <w:tcW w:w="1950" w:type="dxa"/>
                  <w:vAlign w:val="center"/>
                </w:tcPr>
                <w:p>
                  <w:pPr>
                    <w:jc w:val="center"/>
                    <w:rPr>
                      <w:szCs w:val="21"/>
                    </w:rPr>
                  </w:pPr>
                  <w:r>
                    <w:rPr>
                      <w:szCs w:val="21"/>
                    </w:rPr>
                    <w:t>县（市）</w:t>
                  </w:r>
                </w:p>
              </w:tc>
              <w:tc>
                <w:tcPr>
                  <w:tcW w:w="6549" w:type="dxa"/>
                  <w:vAlign w:val="center"/>
                </w:tcPr>
                <w:p>
                  <w:pPr>
                    <w:jc w:val="center"/>
                    <w:rPr>
                      <w:szCs w:val="21"/>
                    </w:rPr>
                  </w:pPr>
                  <w:r>
                    <w:rPr>
                      <w:rFonts w:hint="eastAsia"/>
                      <w:szCs w:val="21"/>
                    </w:rPr>
                    <w:t>滑县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vAlign w:val="center"/>
                </w:tcPr>
                <w:p>
                  <w:pPr>
                    <w:tabs>
                      <w:tab w:val="left" w:pos="2865"/>
                    </w:tabs>
                    <w:jc w:val="center"/>
                    <w:rPr>
                      <w:color w:val="000000"/>
                      <w:szCs w:val="21"/>
                    </w:rPr>
                  </w:pPr>
                </w:p>
              </w:tc>
              <w:tc>
                <w:tcPr>
                  <w:tcW w:w="1950" w:type="dxa"/>
                  <w:vAlign w:val="center"/>
                </w:tcPr>
                <w:p>
                  <w:pPr>
                    <w:jc w:val="center"/>
                    <w:rPr>
                      <w:szCs w:val="21"/>
                    </w:rPr>
                  </w:pPr>
                  <w:r>
                    <w:rPr>
                      <w:szCs w:val="21"/>
                    </w:rPr>
                    <w:t>是否在产业集聚区（专业园区）</w:t>
                  </w:r>
                </w:p>
              </w:tc>
              <w:tc>
                <w:tcPr>
                  <w:tcW w:w="6549" w:type="dxa"/>
                  <w:vAlign w:val="center"/>
                </w:tcPr>
                <w:p>
                  <w:pPr>
                    <w:jc w:val="center"/>
                    <w:rPr>
                      <w:rFonts w:hint="eastAsia"/>
                      <w:szCs w:val="21"/>
                    </w:rPr>
                  </w:pPr>
                  <w:r>
                    <w:rPr>
                      <w:rFonts w:hint="eastAsia"/>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4" w:type="dxa"/>
                  <w:vMerge w:val="continue"/>
                  <w:textDirection w:val="tbRlV"/>
                  <w:vAlign w:val="center"/>
                </w:tcPr>
                <w:p>
                  <w:pPr>
                    <w:tabs>
                      <w:tab w:val="left" w:pos="2865"/>
                    </w:tabs>
                    <w:jc w:val="center"/>
                    <w:rPr>
                      <w:color w:val="000000"/>
                      <w:szCs w:val="21"/>
                    </w:rPr>
                  </w:pPr>
                </w:p>
              </w:tc>
              <w:tc>
                <w:tcPr>
                  <w:tcW w:w="1950" w:type="dxa"/>
                  <w:vAlign w:val="center"/>
                </w:tcPr>
                <w:p>
                  <w:pPr>
                    <w:jc w:val="center"/>
                    <w:rPr>
                      <w:szCs w:val="21"/>
                    </w:rPr>
                  </w:pPr>
                  <w:r>
                    <w:rPr>
                      <w:szCs w:val="21"/>
                    </w:rPr>
                    <w:t>流域</w:t>
                  </w:r>
                </w:p>
              </w:tc>
              <w:tc>
                <w:tcPr>
                  <w:tcW w:w="6549" w:type="dxa"/>
                  <w:vAlign w:val="center"/>
                </w:tcPr>
                <w:p>
                  <w:pPr>
                    <w:jc w:val="center"/>
                    <w:rPr>
                      <w:szCs w:val="21"/>
                    </w:rPr>
                  </w:pPr>
                  <w:r>
                    <w:rPr>
                      <w:szCs w:val="21"/>
                    </w:rPr>
                    <w:t>属于</w:t>
                  </w:r>
                  <w:r>
                    <w:rPr>
                      <w:rFonts w:hint="eastAsia"/>
                      <w:szCs w:val="21"/>
                    </w:rPr>
                    <w:t>黄河</w:t>
                  </w:r>
                  <w:r>
                    <w:rPr>
                      <w:szCs w:val="21"/>
                    </w:rPr>
                    <w:t>流域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14" w:type="dxa"/>
                  <w:gridSpan w:val="2"/>
                  <w:vAlign w:val="center"/>
                </w:tcPr>
                <w:p>
                  <w:pPr>
                    <w:jc w:val="center"/>
                    <w:rPr>
                      <w:rFonts w:hint="eastAsia"/>
                      <w:szCs w:val="21"/>
                    </w:rPr>
                  </w:pPr>
                  <w:r>
                    <w:rPr>
                      <w:rFonts w:hint="eastAsia"/>
                      <w:szCs w:val="21"/>
                    </w:rPr>
                    <w:t>项目特点</w:t>
                  </w:r>
                </w:p>
              </w:tc>
              <w:tc>
                <w:tcPr>
                  <w:tcW w:w="6549" w:type="dxa"/>
                  <w:vAlign w:val="center"/>
                </w:tcPr>
                <w:p>
                  <w:pPr>
                    <w:jc w:val="left"/>
                    <w:rPr>
                      <w:szCs w:val="21"/>
                    </w:rPr>
                  </w:pPr>
                  <w:r>
                    <w:rPr>
                      <w:spacing w:val="-2"/>
                      <w:szCs w:val="21"/>
                      <w:lang w:val="fr-FR"/>
                    </w:rPr>
                    <w:t>本项目为新建性质，以</w:t>
                  </w:r>
                  <w:r>
                    <w:rPr>
                      <w:rFonts w:hint="eastAsia"/>
                      <w:spacing w:val="-2"/>
                      <w:szCs w:val="21"/>
                      <w:lang w:val="fr-FR"/>
                    </w:rPr>
                    <w:t>糯米粉、大米粉、小麦粉、植物油、白砂糖、调味料、食盐</w:t>
                  </w:r>
                  <w:r>
                    <w:rPr>
                      <w:spacing w:val="-2"/>
                      <w:szCs w:val="21"/>
                      <w:lang w:val="fr-FR"/>
                    </w:rPr>
                    <w:t>等，</w:t>
                  </w:r>
                  <w:r>
                    <w:rPr>
                      <w:rFonts w:hint="eastAsia"/>
                      <w:spacing w:val="-2"/>
                      <w:szCs w:val="21"/>
                      <w:lang w:val="fr-FR"/>
                    </w:rPr>
                    <w:t>生产工艺为</w:t>
                  </w:r>
                  <w:r>
                    <w:rPr>
                      <w:rFonts w:hint="eastAsia"/>
                      <w:spacing w:val="5"/>
                      <w:szCs w:val="21"/>
                    </w:rPr>
                    <w:t>购进原材料-拌面-挤出--膨化--成型--油炸--包装--入库</w:t>
                  </w:r>
                  <w:r>
                    <w:rPr>
                      <w:spacing w:val="5"/>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13" w:hRule="atLeast"/>
                <w:jc w:val="center"/>
              </w:trPr>
              <w:tc>
                <w:tcPr>
                  <w:tcW w:w="2514" w:type="dxa"/>
                  <w:gridSpan w:val="2"/>
                  <w:vAlign w:val="center"/>
                </w:tcPr>
                <w:p>
                  <w:pPr>
                    <w:jc w:val="center"/>
                    <w:rPr>
                      <w:szCs w:val="21"/>
                    </w:rPr>
                  </w:pPr>
                  <w:r>
                    <w:rPr>
                      <w:szCs w:val="21"/>
                    </w:rPr>
                    <w:t>排水去向</w:t>
                  </w:r>
                </w:p>
              </w:tc>
              <w:tc>
                <w:tcPr>
                  <w:tcW w:w="6549" w:type="dxa"/>
                  <w:vAlign w:val="center"/>
                </w:tcPr>
                <w:p>
                  <w:pPr>
                    <w:tabs>
                      <w:tab w:val="left" w:pos="3225"/>
                    </w:tabs>
                    <w:rPr>
                      <w:spacing w:val="-2"/>
                      <w:szCs w:val="21"/>
                    </w:rPr>
                  </w:pPr>
                  <w:r>
                    <w:rPr>
                      <w:rFonts w:hint="eastAsia"/>
                    </w:rPr>
                    <w:t>生活污水</w:t>
                  </w:r>
                  <w:r>
                    <w:rPr>
                      <w:rFonts w:hAnsi="宋体"/>
                      <w:spacing w:val="-2"/>
                      <w:szCs w:val="21"/>
                    </w:rPr>
                    <w:t>经厂区化粪池处理后</w:t>
                  </w:r>
                  <w:r>
                    <w:t>，定期清运，沤制农家肥。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14" w:type="dxa"/>
                  <w:gridSpan w:val="2"/>
                  <w:vAlign w:val="center"/>
                </w:tcPr>
                <w:p>
                  <w:pPr>
                    <w:jc w:val="center"/>
                    <w:rPr>
                      <w:szCs w:val="21"/>
                    </w:rPr>
                  </w:pPr>
                  <w:r>
                    <w:rPr>
                      <w:szCs w:val="21"/>
                    </w:rPr>
                    <w:t>本项目污染因子</w:t>
                  </w:r>
                </w:p>
              </w:tc>
              <w:tc>
                <w:tcPr>
                  <w:tcW w:w="6549" w:type="dxa"/>
                  <w:vAlign w:val="center"/>
                </w:tcPr>
                <w:p>
                  <w:pPr>
                    <w:tabs>
                      <w:tab w:val="left" w:pos="2865"/>
                    </w:tabs>
                    <w:jc w:val="left"/>
                    <w:rPr>
                      <w:rFonts w:hint="eastAsia"/>
                      <w:spacing w:val="-2"/>
                      <w:szCs w:val="21"/>
                      <w:lang w:val="fr-FR"/>
                    </w:rPr>
                  </w:pPr>
                  <w:r>
                    <w:rPr>
                      <w:spacing w:val="-2"/>
                      <w:szCs w:val="21"/>
                      <w:lang w:val="fr-FR"/>
                    </w:rPr>
                    <w:t>①废气：主要为</w:t>
                  </w:r>
                  <w:r>
                    <w:rPr>
                      <w:rFonts w:hint="eastAsia"/>
                      <w:spacing w:val="-2"/>
                      <w:szCs w:val="21"/>
                      <w:lang w:val="fr-FR"/>
                    </w:rPr>
                    <w:t>拌面过程产生的粉尘</w:t>
                  </w:r>
                  <w:r>
                    <w:rPr>
                      <w:spacing w:val="-2"/>
                      <w:szCs w:val="21"/>
                      <w:lang w:val="fr-FR"/>
                    </w:rPr>
                    <w:t>；</w:t>
                  </w:r>
                  <w:r>
                    <w:rPr>
                      <w:rFonts w:hint="eastAsia"/>
                      <w:spacing w:val="-2"/>
                      <w:szCs w:val="21"/>
                      <w:lang w:val="fr-FR"/>
                    </w:rPr>
                    <w:t>油炸过程产生的油烟、异味以及油炸燃料废气；</w:t>
                  </w:r>
                </w:p>
                <w:p>
                  <w:pPr>
                    <w:tabs>
                      <w:tab w:val="left" w:pos="2865"/>
                    </w:tabs>
                    <w:jc w:val="left"/>
                    <w:rPr>
                      <w:spacing w:val="-2"/>
                      <w:szCs w:val="21"/>
                      <w:lang w:val="fr-FR"/>
                    </w:rPr>
                  </w:pPr>
                  <w:r>
                    <w:rPr>
                      <w:spacing w:val="-2"/>
                      <w:szCs w:val="21"/>
                      <w:lang w:val="fr-FR"/>
                    </w:rPr>
                    <w:t>②废水：</w:t>
                  </w:r>
                  <w:r>
                    <w:rPr>
                      <w:rFonts w:hint="eastAsia"/>
                      <w:spacing w:val="-2"/>
                      <w:szCs w:val="21"/>
                      <w:lang w:val="fr-FR"/>
                    </w:rPr>
                    <w:t>员工</w:t>
                  </w:r>
                  <w:r>
                    <w:rPr>
                      <w:spacing w:val="-2"/>
                      <w:szCs w:val="21"/>
                      <w:lang w:val="fr-FR"/>
                    </w:rPr>
                    <w:t>生活污水；</w:t>
                  </w:r>
                </w:p>
                <w:p>
                  <w:pPr>
                    <w:tabs>
                      <w:tab w:val="left" w:pos="2865"/>
                    </w:tabs>
                    <w:jc w:val="left"/>
                    <w:rPr>
                      <w:spacing w:val="-2"/>
                      <w:szCs w:val="21"/>
                      <w:lang w:val="fr-FR"/>
                    </w:rPr>
                  </w:pPr>
                  <w:r>
                    <w:rPr>
                      <w:spacing w:val="-2"/>
                      <w:szCs w:val="21"/>
                      <w:lang w:val="fr-FR"/>
                    </w:rPr>
                    <w:t>③噪声：主要为</w:t>
                  </w:r>
                  <w:r>
                    <w:rPr>
                      <w:rFonts w:hint="eastAsia"/>
                      <w:spacing w:val="-2"/>
                      <w:szCs w:val="21"/>
                      <w:lang w:val="fr-FR"/>
                    </w:rPr>
                    <w:t>拌面机</w:t>
                  </w:r>
                  <w:r>
                    <w:rPr>
                      <w:spacing w:val="-2"/>
                      <w:szCs w:val="21"/>
                      <w:lang w:val="fr-FR"/>
                    </w:rPr>
                    <w:t>、</w:t>
                  </w:r>
                  <w:r>
                    <w:rPr>
                      <w:rFonts w:hint="eastAsia"/>
                      <w:spacing w:val="-2"/>
                      <w:szCs w:val="21"/>
                      <w:lang w:val="fr-FR"/>
                    </w:rPr>
                    <w:t>挤出机</w:t>
                  </w:r>
                  <w:r>
                    <w:rPr>
                      <w:spacing w:val="-2"/>
                      <w:szCs w:val="21"/>
                      <w:lang w:val="fr-FR"/>
                    </w:rPr>
                    <w:t>、</w:t>
                  </w:r>
                  <w:r>
                    <w:rPr>
                      <w:rFonts w:hint="eastAsia"/>
                      <w:spacing w:val="-2"/>
                      <w:szCs w:val="21"/>
                      <w:lang w:val="fr-FR"/>
                    </w:rPr>
                    <w:t>膨化</w:t>
                  </w:r>
                  <w:r>
                    <w:rPr>
                      <w:spacing w:val="-2"/>
                      <w:szCs w:val="21"/>
                      <w:lang w:val="fr-FR"/>
                    </w:rPr>
                    <w:t>机、</w:t>
                  </w:r>
                  <w:r>
                    <w:rPr>
                      <w:rFonts w:hint="eastAsia"/>
                      <w:spacing w:val="-2"/>
                      <w:szCs w:val="21"/>
                      <w:lang w:val="fr-FR"/>
                    </w:rPr>
                    <w:t>油炸机、拌料机、全自动包装机</w:t>
                  </w:r>
                  <w:r>
                    <w:rPr>
                      <w:spacing w:val="-2"/>
                      <w:szCs w:val="21"/>
                      <w:lang w:val="fr-FR"/>
                    </w:rPr>
                    <w:t>等生产设备在运行过程中产生的噪声；</w:t>
                  </w:r>
                </w:p>
                <w:p>
                  <w:pPr>
                    <w:tabs>
                      <w:tab w:val="left" w:pos="2865"/>
                    </w:tabs>
                    <w:jc w:val="left"/>
                    <w:rPr>
                      <w:spacing w:val="-2"/>
                      <w:szCs w:val="21"/>
                      <w:lang w:val="fr-FR"/>
                    </w:rPr>
                  </w:pPr>
                  <w:r>
                    <w:rPr>
                      <w:spacing w:val="-2"/>
                      <w:szCs w:val="21"/>
                      <w:lang w:val="fr-FR"/>
                    </w:rPr>
                    <w:t>④生产固废：</w:t>
                  </w:r>
                  <w:r>
                    <w:rPr>
                      <w:rFonts w:hint="eastAsia"/>
                      <w:spacing w:val="-2"/>
                      <w:szCs w:val="21"/>
                      <w:lang w:val="fr-FR"/>
                    </w:rPr>
                    <w:t>废包装材料、废油、废油渣</w:t>
                  </w:r>
                  <w:r>
                    <w:rPr>
                      <w:spacing w:val="-2"/>
                      <w:szCs w:val="21"/>
                      <w:lang w:val="fr-FR"/>
                    </w:rPr>
                    <w:t>；</w:t>
                  </w:r>
                </w:p>
                <w:p>
                  <w:pPr>
                    <w:tabs>
                      <w:tab w:val="left" w:pos="360"/>
                      <w:tab w:val="left" w:pos="3225"/>
                    </w:tabs>
                    <w:rPr>
                      <w:color w:val="0000FF"/>
                      <w:spacing w:val="-2"/>
                      <w:szCs w:val="21"/>
                      <w:lang w:val="fr-FR"/>
                    </w:rPr>
                  </w:pPr>
                  <w:r>
                    <w:rPr>
                      <w:spacing w:val="-2"/>
                      <w:szCs w:val="21"/>
                      <w:lang w:val="fr-FR"/>
                    </w:rPr>
                    <w:t>⑤生活垃圾：主要为员工办公生活产生的生活垃圾。</w:t>
                  </w:r>
                </w:p>
              </w:tc>
            </w:tr>
          </w:tbl>
          <w:p>
            <w:pPr>
              <w:spacing w:line="360" w:lineRule="auto"/>
              <w:ind w:firstLine="480" w:firstLineChars="200"/>
              <w:jc w:val="left"/>
              <w:rPr>
                <w:sz w:val="24"/>
                <w:highlight w:val="none"/>
              </w:rPr>
            </w:pPr>
            <w:r>
              <w:rPr>
                <w:sz w:val="24"/>
              </w:rPr>
              <w:t>本项目为新建性质，</w:t>
            </w:r>
            <w:r>
              <w:rPr>
                <w:color w:val="000000"/>
                <w:sz w:val="24"/>
              </w:rPr>
              <w:t>已在</w:t>
            </w:r>
            <w:r>
              <w:rPr>
                <w:rFonts w:hint="eastAsia"/>
                <w:color w:val="000000"/>
                <w:sz w:val="24"/>
              </w:rPr>
              <w:t>滑县</w:t>
            </w:r>
            <w:r>
              <w:rPr>
                <w:color w:val="000000"/>
                <w:sz w:val="24"/>
              </w:rPr>
              <w:t>发展和改革委员会备案（</w:t>
            </w:r>
            <w:r>
              <w:rPr>
                <w:rFonts w:hint="eastAsia"/>
                <w:color w:val="000000"/>
                <w:sz w:val="24"/>
              </w:rPr>
              <w:t>项目代码：2018-410526-14-03-044282</w:t>
            </w:r>
            <w:r>
              <w:rPr>
                <w:color w:val="000000"/>
                <w:sz w:val="24"/>
              </w:rPr>
              <w:t>）。经对照《产业结构调整指导目录（2011年本）》</w:t>
            </w:r>
            <w:r>
              <w:rPr>
                <w:rFonts w:hint="eastAsia"/>
                <w:color w:val="000000"/>
                <w:sz w:val="24"/>
              </w:rPr>
              <w:t>（</w:t>
            </w:r>
            <w:r>
              <w:rPr>
                <w:color w:val="000000"/>
                <w:sz w:val="24"/>
              </w:rPr>
              <w:t>2013年修正</w:t>
            </w:r>
            <w:r>
              <w:rPr>
                <w:rFonts w:hint="eastAsia"/>
                <w:color w:val="000000"/>
                <w:sz w:val="24"/>
              </w:rPr>
              <w:t>）</w:t>
            </w:r>
            <w:r>
              <w:rPr>
                <w:color w:val="000000"/>
                <w:sz w:val="24"/>
              </w:rPr>
              <w:t>，</w:t>
            </w:r>
            <w:r>
              <w:rPr>
                <w:bCs/>
                <w:sz w:val="24"/>
                <w:lang w:val="zh-CN"/>
              </w:rPr>
              <w:t>本项目</w:t>
            </w:r>
            <w:r>
              <w:rPr>
                <w:rFonts w:hint="eastAsia"/>
                <w:bCs/>
                <w:sz w:val="24"/>
                <w:lang w:val="zh-CN"/>
              </w:rPr>
              <w:t>不</w:t>
            </w:r>
            <w:r>
              <w:rPr>
                <w:bCs/>
                <w:sz w:val="24"/>
                <w:lang w:val="zh-CN"/>
              </w:rPr>
              <w:t>属于</w:t>
            </w:r>
            <w:r>
              <w:rPr>
                <w:rFonts w:hint="eastAsia"/>
                <w:bCs/>
                <w:sz w:val="24"/>
                <w:lang w:val="zh-CN"/>
              </w:rPr>
              <w:t>鼓励类、限制类、淘汰类；依据《建设项目环境影响评价分类管理名录》（</w:t>
            </w:r>
            <w:r>
              <w:rPr>
                <w:color w:val="000000"/>
                <w:sz w:val="24"/>
              </w:rPr>
              <w:t>环境保护部部令2017年第44号、生态环境部部令2018年第1号</w:t>
            </w:r>
            <w:r>
              <w:rPr>
                <w:rFonts w:hint="eastAsia"/>
                <w:bCs/>
                <w:sz w:val="24"/>
                <w:lang w:val="zh-CN"/>
              </w:rPr>
              <w:t>）规定</w:t>
            </w:r>
            <w:r>
              <w:rPr>
                <w:sz w:val="24"/>
              </w:rPr>
              <w:t>根据《建设项目环境影响评价分类管理名录》（2017年，环保部44号令）</w:t>
            </w:r>
            <w:r>
              <w:rPr>
                <w:rFonts w:hint="eastAsia"/>
                <w:sz w:val="24"/>
              </w:rPr>
              <w:t>及《关于修改〈建设项目环境影响评价分类管理名录〉部分内容的决定》</w:t>
            </w:r>
            <w:r>
              <w:rPr>
                <w:sz w:val="24"/>
              </w:rPr>
              <w:t>（201</w:t>
            </w:r>
            <w:r>
              <w:rPr>
                <w:rFonts w:hint="eastAsia"/>
                <w:sz w:val="24"/>
              </w:rPr>
              <w:t>8</w:t>
            </w:r>
            <w:r>
              <w:rPr>
                <w:sz w:val="24"/>
              </w:rPr>
              <w:t>年，</w:t>
            </w:r>
            <w:r>
              <w:rPr>
                <w:rFonts w:hint="eastAsia"/>
                <w:sz w:val="24"/>
              </w:rPr>
              <w:t>生态环境</w:t>
            </w:r>
            <w:r>
              <w:rPr>
                <w:sz w:val="24"/>
              </w:rPr>
              <w:t>部</w:t>
            </w:r>
            <w:r>
              <w:rPr>
                <w:rFonts w:hint="eastAsia"/>
                <w:sz w:val="24"/>
              </w:rPr>
              <w:t>1</w:t>
            </w:r>
            <w:r>
              <w:rPr>
                <w:sz w:val="24"/>
              </w:rPr>
              <w:t>号令）的规定</w:t>
            </w:r>
            <w:r>
              <w:rPr>
                <w:rFonts w:hint="eastAsia"/>
                <w:bCs/>
                <w:sz w:val="24"/>
                <w:lang w:val="zh-CN"/>
              </w:rPr>
              <w:t>，本项目属于</w:t>
            </w:r>
            <w:r>
              <w:rPr>
                <w:rFonts w:hint="eastAsia"/>
                <w:bCs/>
                <w:sz w:val="24"/>
              </w:rPr>
              <w:t>“三、食品制造业</w:t>
            </w:r>
            <w:r>
              <w:rPr>
                <w:rFonts w:hint="eastAsia"/>
                <w:bCs/>
                <w:sz w:val="24"/>
                <w:highlight w:val="none"/>
              </w:rPr>
              <w:t>”第16条“营养食品、保健食品、冷冻饮品、食用冰制造及其他食品制造”</w:t>
            </w:r>
            <w:r>
              <w:rPr>
                <w:rFonts w:hint="eastAsia"/>
                <w:bCs/>
                <w:sz w:val="24"/>
                <w:highlight w:val="none"/>
                <w:lang w:val="zh-CN"/>
              </w:rPr>
              <w:t>应当编制环境影响评价报告表</w:t>
            </w:r>
            <w:r>
              <w:rPr>
                <w:bCs/>
                <w:sz w:val="24"/>
                <w:highlight w:val="none"/>
                <w:lang w:val="zh-CN"/>
              </w:rPr>
              <w:t>，符合国家产业政策。</w:t>
            </w:r>
            <w:r>
              <w:rPr>
                <w:sz w:val="24"/>
                <w:highlight w:val="none"/>
                <w:lang w:val="zh-CN"/>
              </w:rPr>
              <w:t>项目用地属于工业用地，</w:t>
            </w:r>
            <w:r>
              <w:rPr>
                <w:rFonts w:hint="eastAsia"/>
                <w:sz w:val="24"/>
                <w:highlight w:val="none"/>
                <w:lang w:val="zh-CN"/>
              </w:rPr>
              <w:t>符合慈周寨乡土地利用总体规划</w:t>
            </w:r>
            <w:r>
              <w:rPr>
                <w:sz w:val="24"/>
                <w:highlight w:val="none"/>
                <w:lang w:val="zh-CN"/>
              </w:rPr>
              <w:t>。选址已经</w:t>
            </w:r>
            <w:r>
              <w:rPr>
                <w:rFonts w:hint="eastAsia"/>
                <w:sz w:val="24"/>
                <w:highlight w:val="none"/>
              </w:rPr>
              <w:t>滑县慈周寨镇人民政府</w:t>
            </w:r>
            <w:r>
              <w:rPr>
                <w:sz w:val="24"/>
                <w:highlight w:val="none"/>
                <w:lang w:val="zh-CN"/>
              </w:rPr>
              <w:t>批准同意，符合</w:t>
            </w:r>
            <w:r>
              <w:rPr>
                <w:rFonts w:hint="eastAsia"/>
                <w:sz w:val="24"/>
                <w:highlight w:val="none"/>
                <w:lang w:val="zh-CN"/>
              </w:rPr>
              <w:t>慈周寨乡镇土地利用总体规划</w:t>
            </w:r>
            <w:r>
              <w:rPr>
                <w:sz w:val="24"/>
                <w:highlight w:val="none"/>
                <w:lang w:val="zh-CN"/>
              </w:rPr>
              <w:t>。</w:t>
            </w:r>
          </w:p>
          <w:p>
            <w:pPr>
              <w:spacing w:line="360" w:lineRule="auto"/>
              <w:ind w:firstLine="480" w:firstLineChars="200"/>
              <w:jc w:val="left"/>
              <w:rPr>
                <w:sz w:val="24"/>
                <w:lang w:val="zh-CN"/>
              </w:rPr>
            </w:pPr>
            <w:r>
              <w:rPr>
                <w:sz w:val="24"/>
              </w:rPr>
              <w:t>根据《环境影响评价技术导则地下水环境》（HJ610-2016）可知</w:t>
            </w:r>
            <w:r>
              <w:rPr>
                <w:sz w:val="24"/>
                <w:lang w:val="zh-CN"/>
              </w:rPr>
              <w:t>，本项目属于Ⅳ类建设项目，根据导则要求Ⅳ类建设项目不开展地下水环境影响评价。</w:t>
            </w:r>
          </w:p>
          <w:p>
            <w:pPr>
              <w:spacing w:line="360" w:lineRule="auto"/>
              <w:ind w:firstLine="482" w:firstLineChars="200"/>
              <w:jc w:val="left"/>
              <w:rPr>
                <w:b/>
                <w:sz w:val="24"/>
              </w:rPr>
            </w:pPr>
            <w:r>
              <w:rPr>
                <w:b/>
                <w:sz w:val="24"/>
              </w:rPr>
              <w:t>2、建设地址</w:t>
            </w:r>
          </w:p>
          <w:p>
            <w:pPr>
              <w:spacing w:line="360" w:lineRule="auto"/>
              <w:ind w:firstLine="480" w:firstLineChars="200"/>
              <w:rPr>
                <w:sz w:val="24"/>
              </w:rPr>
            </w:pPr>
            <w:r>
              <w:rPr>
                <w:sz w:val="24"/>
              </w:rPr>
              <w:t>本项目位于</w:t>
            </w:r>
            <w:r>
              <w:rPr>
                <w:rFonts w:hint="eastAsia"/>
                <w:sz w:val="24"/>
              </w:rPr>
              <w:t>滑县慈周寨乡慈一村南地</w:t>
            </w:r>
            <w:r>
              <w:rPr>
                <w:sz w:val="24"/>
              </w:rPr>
              <w:t>，中心经纬度为：东经114.656837°；北纬35.343408°。</w:t>
            </w:r>
            <w:r>
              <w:rPr>
                <w:rFonts w:hint="eastAsia"/>
                <w:sz w:val="24"/>
              </w:rPr>
              <w:t>项目西面和南面均为农田，项目北面为049乡道，隔049乡道为滑县粮油食品公司</w:t>
            </w:r>
            <w:r>
              <w:rPr>
                <w:rFonts w:hint="eastAsia"/>
                <w:sz w:val="24"/>
                <w:highlight w:val="none"/>
              </w:rPr>
              <w:t>，项目东侧为慈周寨镇第一水厂（根据附件6证明，本项目占地为非引用水源保护地）。距离本</w:t>
            </w:r>
            <w:r>
              <w:rPr>
                <w:rFonts w:hint="eastAsia"/>
                <w:sz w:val="24"/>
              </w:rPr>
              <w:t>项目最近的环境敏感点为西侧约437m处慈一村。</w:t>
            </w:r>
            <w:r>
              <w:rPr>
                <w:sz w:val="24"/>
              </w:rPr>
              <w:t>项目周边环境示意图如图1所示。</w:t>
            </w:r>
          </w:p>
          <w:p>
            <w:pPr>
              <w:tabs>
                <w:tab w:val="left" w:pos="1578"/>
              </w:tabs>
              <w:jc w:val="center"/>
            </w:pPr>
            <w:r>
              <w:drawing>
                <wp:inline distT="0" distB="0" distL="114300" distR="114300">
                  <wp:extent cx="5760720" cy="3479800"/>
                  <wp:effectExtent l="0" t="0" r="11430" b="6350"/>
                  <wp:docPr id="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3"/>
                          <pic:cNvPicPr>
                            <a:picLocks noChangeAspect="1"/>
                          </pic:cNvPicPr>
                        </pic:nvPicPr>
                        <pic:blipFill>
                          <a:blip r:embed="rId10"/>
                          <a:stretch>
                            <a:fillRect/>
                          </a:stretch>
                        </pic:blipFill>
                        <pic:spPr>
                          <a:xfrm>
                            <a:off x="0" y="0"/>
                            <a:ext cx="5760720" cy="3479800"/>
                          </a:xfrm>
                          <a:prstGeom prst="rect">
                            <a:avLst/>
                          </a:prstGeom>
                          <a:noFill/>
                          <a:ln w="9525">
                            <a:noFill/>
                          </a:ln>
                        </pic:spPr>
                      </pic:pic>
                    </a:graphicData>
                  </a:graphic>
                </wp:inline>
              </w:drawing>
            </w:r>
          </w:p>
          <w:p>
            <w:pPr>
              <w:tabs>
                <w:tab w:val="left" w:pos="1578"/>
              </w:tabs>
              <w:jc w:val="center"/>
              <w:rPr>
                <w:bCs/>
                <w:sz w:val="24"/>
              </w:rPr>
            </w:pPr>
            <w:r>
              <w:rPr>
                <w:b/>
                <w:bCs/>
                <w:szCs w:val="20"/>
              </w:rPr>
              <w:t>图1 项目周边环境示意图</w:t>
            </w:r>
          </w:p>
          <w:p>
            <w:pPr>
              <w:tabs>
                <w:tab w:val="left" w:pos="1578"/>
              </w:tabs>
              <w:spacing w:line="520" w:lineRule="exact"/>
              <w:ind w:left="470" w:leftChars="224"/>
              <w:rPr>
                <w:b/>
                <w:sz w:val="24"/>
              </w:rPr>
            </w:pPr>
            <w:r>
              <w:rPr>
                <w:rFonts w:hint="eastAsia"/>
                <w:b/>
                <w:sz w:val="24"/>
              </w:rPr>
              <w:t>3</w:t>
            </w:r>
            <w:r>
              <w:rPr>
                <w:b/>
                <w:sz w:val="24"/>
              </w:rPr>
              <w:t>、建设内容</w:t>
            </w:r>
          </w:p>
          <w:p>
            <w:pPr>
              <w:spacing w:line="520" w:lineRule="exact"/>
              <w:ind w:firstLine="472" w:firstLineChars="196"/>
              <w:rPr>
                <w:b/>
                <w:sz w:val="24"/>
              </w:rPr>
            </w:pPr>
            <w:r>
              <w:rPr>
                <w:rFonts w:hint="eastAsia"/>
                <w:b/>
                <w:sz w:val="24"/>
              </w:rPr>
              <w:t>3</w:t>
            </w:r>
            <w:r>
              <w:rPr>
                <w:b/>
                <w:sz w:val="24"/>
              </w:rPr>
              <w:t>.1主体工程</w:t>
            </w:r>
          </w:p>
          <w:p>
            <w:pPr>
              <w:spacing w:line="360" w:lineRule="auto"/>
              <w:ind w:firstLine="480" w:firstLineChars="200"/>
              <w:rPr>
                <w:b/>
                <w:bCs/>
                <w:szCs w:val="21"/>
              </w:rPr>
            </w:pPr>
            <w:r>
              <w:rPr>
                <w:sz w:val="24"/>
              </w:rPr>
              <w:t>本项目占地面积为</w:t>
            </w:r>
            <w:r>
              <w:rPr>
                <w:rFonts w:hint="eastAsia"/>
                <w:sz w:val="24"/>
              </w:rPr>
              <w:t>8466.7</w:t>
            </w:r>
            <w:r>
              <w:rPr>
                <w:sz w:val="24"/>
              </w:rPr>
              <w:t>m</w:t>
            </w:r>
            <w:r>
              <w:rPr>
                <w:sz w:val="24"/>
                <w:vertAlign w:val="superscript"/>
              </w:rPr>
              <w:t>2</w:t>
            </w:r>
            <w:r>
              <w:rPr>
                <w:sz w:val="24"/>
              </w:rPr>
              <w:t>，总建筑面积为</w:t>
            </w:r>
            <w:r>
              <w:rPr>
                <w:rFonts w:hint="eastAsia"/>
                <w:sz w:val="24"/>
              </w:rPr>
              <w:t>6000</w:t>
            </w:r>
            <w:r>
              <w:rPr>
                <w:sz w:val="24"/>
              </w:rPr>
              <w:t>m</w:t>
            </w:r>
            <w:r>
              <w:rPr>
                <w:sz w:val="24"/>
                <w:vertAlign w:val="superscript"/>
              </w:rPr>
              <w:t>2</w:t>
            </w:r>
            <w:r>
              <w:rPr>
                <w:sz w:val="24"/>
              </w:rPr>
              <w:t>，土建工程主</w:t>
            </w:r>
            <w:r>
              <w:rPr>
                <w:sz w:val="24"/>
                <w:highlight w:val="none"/>
              </w:rPr>
              <w:t>要包</w:t>
            </w:r>
            <w:r>
              <w:rPr>
                <w:rFonts w:hint="eastAsia"/>
                <w:sz w:val="24"/>
                <w:highlight w:val="none"/>
              </w:rPr>
              <w:t>括生产车间（原料库、拌面间、膨化间、油炸间、包装间、成品库）办公楼、厕所</w:t>
            </w:r>
            <w:r>
              <w:rPr>
                <w:sz w:val="24"/>
                <w:highlight w:val="none"/>
              </w:rPr>
              <w:t>等</w:t>
            </w:r>
            <w:r>
              <w:rPr>
                <w:sz w:val="24"/>
              </w:rPr>
              <w:t>，主要土建工程见下表2。项目组成及工程内容见表3</w:t>
            </w:r>
            <w:r>
              <w:rPr>
                <w:rFonts w:hint="eastAsia"/>
                <w:sz w:val="24"/>
              </w:rPr>
              <w:t>。</w:t>
            </w:r>
            <w:bookmarkStart w:id="1" w:name="OLE_LINK2"/>
          </w:p>
          <w:p>
            <w:pPr>
              <w:spacing w:line="360" w:lineRule="auto"/>
              <w:jc w:val="center"/>
              <w:rPr>
                <w:b/>
                <w:bCs/>
                <w:szCs w:val="21"/>
              </w:rPr>
            </w:pPr>
            <w:r>
              <w:rPr>
                <w:b/>
                <w:bCs/>
                <w:szCs w:val="21"/>
              </w:rPr>
              <w:t>表</w:t>
            </w:r>
            <w:bookmarkEnd w:id="1"/>
            <w:r>
              <w:rPr>
                <w:b/>
                <w:bCs/>
                <w:szCs w:val="21"/>
              </w:rPr>
              <w:t>2  主要土建工程一览表</w:t>
            </w:r>
          </w:p>
          <w:tbl>
            <w:tblPr>
              <w:tblStyle w:val="28"/>
              <w:tblW w:w="90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20"/>
              <w:gridCol w:w="1690"/>
              <w:gridCol w:w="2260"/>
              <w:gridCol w:w="27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6" w:type="dxa"/>
                  <w:vAlign w:val="center"/>
                </w:tcPr>
                <w:p>
                  <w:pPr>
                    <w:jc w:val="center"/>
                    <w:rPr>
                      <w:szCs w:val="21"/>
                    </w:rPr>
                  </w:pPr>
                  <w:r>
                    <w:rPr>
                      <w:szCs w:val="21"/>
                    </w:rPr>
                    <w:t>序号</w:t>
                  </w:r>
                </w:p>
              </w:tc>
              <w:tc>
                <w:tcPr>
                  <w:tcW w:w="1720" w:type="dxa"/>
                  <w:vAlign w:val="center"/>
                </w:tcPr>
                <w:p>
                  <w:pPr>
                    <w:jc w:val="center"/>
                    <w:rPr>
                      <w:szCs w:val="21"/>
                    </w:rPr>
                  </w:pPr>
                  <w:r>
                    <w:rPr>
                      <w:szCs w:val="21"/>
                    </w:rPr>
                    <w:t>建筑物名称</w:t>
                  </w:r>
                </w:p>
              </w:tc>
              <w:tc>
                <w:tcPr>
                  <w:tcW w:w="1690" w:type="dxa"/>
                  <w:vAlign w:val="center"/>
                </w:tcPr>
                <w:p>
                  <w:pPr>
                    <w:jc w:val="center"/>
                    <w:rPr>
                      <w:szCs w:val="21"/>
                    </w:rPr>
                  </w:pPr>
                  <w:r>
                    <w:rPr>
                      <w:szCs w:val="21"/>
                    </w:rPr>
                    <w:t>建筑面积（m</w:t>
                  </w:r>
                  <w:r>
                    <w:rPr>
                      <w:szCs w:val="21"/>
                      <w:vertAlign w:val="superscript"/>
                    </w:rPr>
                    <w:t>2</w:t>
                  </w:r>
                  <w:r>
                    <w:rPr>
                      <w:szCs w:val="21"/>
                    </w:rPr>
                    <w:t>）</w:t>
                  </w:r>
                </w:p>
              </w:tc>
              <w:tc>
                <w:tcPr>
                  <w:tcW w:w="2260" w:type="dxa"/>
                  <w:vAlign w:val="center"/>
                </w:tcPr>
                <w:p>
                  <w:pPr>
                    <w:jc w:val="center"/>
                    <w:rPr>
                      <w:szCs w:val="21"/>
                    </w:rPr>
                  </w:pPr>
                  <w:r>
                    <w:rPr>
                      <w:szCs w:val="21"/>
                    </w:rPr>
                    <w:t>结构</w:t>
                  </w:r>
                </w:p>
              </w:tc>
              <w:tc>
                <w:tcPr>
                  <w:tcW w:w="2736" w:type="dxa"/>
                  <w:vAlign w:val="center"/>
                </w:tcPr>
                <w:p>
                  <w:pPr>
                    <w:jc w:val="center"/>
                    <w:rPr>
                      <w:rFonts w:hint="eastAsia"/>
                      <w:szCs w:val="21"/>
                    </w:rPr>
                  </w:pPr>
                  <w:r>
                    <w:rPr>
                      <w:rFonts w:hint="eastAsia"/>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6" w:type="dxa"/>
                  <w:vAlign w:val="center"/>
                </w:tcPr>
                <w:p>
                  <w:pPr>
                    <w:jc w:val="center"/>
                    <w:rPr>
                      <w:szCs w:val="21"/>
                    </w:rPr>
                  </w:pPr>
                  <w:r>
                    <w:rPr>
                      <w:szCs w:val="21"/>
                    </w:rPr>
                    <w:t>1</w:t>
                  </w:r>
                </w:p>
              </w:tc>
              <w:tc>
                <w:tcPr>
                  <w:tcW w:w="1720" w:type="dxa"/>
                  <w:vAlign w:val="center"/>
                </w:tcPr>
                <w:p>
                  <w:pPr>
                    <w:jc w:val="center"/>
                    <w:rPr>
                      <w:rFonts w:hint="eastAsia"/>
                      <w:szCs w:val="21"/>
                    </w:rPr>
                  </w:pPr>
                  <w:r>
                    <w:rPr>
                      <w:rFonts w:hint="eastAsia"/>
                      <w:szCs w:val="21"/>
                    </w:rPr>
                    <w:t>生产车间</w:t>
                  </w:r>
                </w:p>
              </w:tc>
              <w:tc>
                <w:tcPr>
                  <w:tcW w:w="1690" w:type="dxa"/>
                  <w:vAlign w:val="center"/>
                </w:tcPr>
                <w:p>
                  <w:pPr>
                    <w:jc w:val="center"/>
                    <w:rPr>
                      <w:szCs w:val="21"/>
                    </w:rPr>
                  </w:pPr>
                  <w:r>
                    <w:rPr>
                      <w:rFonts w:hint="eastAsia"/>
                      <w:color w:val="080808"/>
                      <w:szCs w:val="21"/>
                    </w:rPr>
                    <w:t>5800</w:t>
                  </w:r>
                </w:p>
              </w:tc>
              <w:tc>
                <w:tcPr>
                  <w:tcW w:w="2260" w:type="dxa"/>
                  <w:vAlign w:val="center"/>
                </w:tcPr>
                <w:p>
                  <w:pPr>
                    <w:jc w:val="center"/>
                    <w:rPr>
                      <w:szCs w:val="21"/>
                    </w:rPr>
                  </w:pPr>
                  <w:r>
                    <w:rPr>
                      <w:szCs w:val="21"/>
                    </w:rPr>
                    <w:t>1F，钢构</w:t>
                  </w:r>
                  <w:r>
                    <w:rPr>
                      <w:rFonts w:hint="eastAsia"/>
                      <w:szCs w:val="21"/>
                    </w:rPr>
                    <w:t>，高度8m</w:t>
                  </w:r>
                </w:p>
              </w:tc>
              <w:tc>
                <w:tcPr>
                  <w:tcW w:w="2736" w:type="dxa"/>
                  <w:vAlign w:val="center"/>
                </w:tcPr>
                <w:p>
                  <w:pPr>
                    <w:rPr>
                      <w:rFonts w:hint="eastAsia"/>
                      <w:szCs w:val="21"/>
                    </w:rPr>
                  </w:pPr>
                  <w:r>
                    <w:rPr>
                      <w:rFonts w:hint="eastAsia"/>
                      <w:szCs w:val="21"/>
                    </w:rPr>
                    <w:t>生产厂房包括原料库</w:t>
                  </w:r>
                  <w:r>
                    <w:rPr>
                      <w:szCs w:val="21"/>
                    </w:rPr>
                    <w:t>、</w:t>
                  </w:r>
                  <w:r>
                    <w:rPr>
                      <w:rFonts w:hint="eastAsia"/>
                      <w:szCs w:val="21"/>
                    </w:rPr>
                    <w:t>拌面间</w:t>
                  </w:r>
                  <w:r>
                    <w:rPr>
                      <w:szCs w:val="21"/>
                    </w:rPr>
                    <w:t>、</w:t>
                  </w:r>
                  <w:r>
                    <w:rPr>
                      <w:rFonts w:hint="eastAsia"/>
                      <w:szCs w:val="21"/>
                    </w:rPr>
                    <w:t>膨化间、油炸间、包装间、成品库等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6" w:type="dxa"/>
                  <w:vAlign w:val="center"/>
                </w:tcPr>
                <w:p>
                  <w:pPr>
                    <w:jc w:val="center"/>
                    <w:rPr>
                      <w:rFonts w:hint="eastAsia"/>
                      <w:szCs w:val="21"/>
                    </w:rPr>
                  </w:pPr>
                  <w:r>
                    <w:rPr>
                      <w:rFonts w:hint="eastAsia"/>
                      <w:szCs w:val="21"/>
                    </w:rPr>
                    <w:t>2</w:t>
                  </w:r>
                </w:p>
              </w:tc>
              <w:tc>
                <w:tcPr>
                  <w:tcW w:w="1720" w:type="dxa"/>
                  <w:vAlign w:val="center"/>
                </w:tcPr>
                <w:p>
                  <w:pPr>
                    <w:jc w:val="center"/>
                    <w:rPr>
                      <w:rFonts w:hint="eastAsia"/>
                      <w:szCs w:val="21"/>
                    </w:rPr>
                  </w:pPr>
                  <w:r>
                    <w:rPr>
                      <w:rFonts w:hint="eastAsia"/>
                      <w:color w:val="080808"/>
                      <w:szCs w:val="21"/>
                    </w:rPr>
                    <w:t>办公楼</w:t>
                  </w:r>
                </w:p>
              </w:tc>
              <w:tc>
                <w:tcPr>
                  <w:tcW w:w="1690" w:type="dxa"/>
                  <w:vAlign w:val="center"/>
                </w:tcPr>
                <w:p>
                  <w:pPr>
                    <w:autoSpaceDE w:val="0"/>
                    <w:autoSpaceDN w:val="0"/>
                    <w:adjustRightInd w:val="0"/>
                    <w:jc w:val="center"/>
                    <w:rPr>
                      <w:rFonts w:hint="eastAsia"/>
                      <w:color w:val="080808"/>
                      <w:szCs w:val="21"/>
                    </w:rPr>
                  </w:pPr>
                  <w:r>
                    <w:rPr>
                      <w:rFonts w:hint="eastAsia"/>
                      <w:color w:val="000000"/>
                      <w:szCs w:val="21"/>
                    </w:rPr>
                    <w:t>185</w:t>
                  </w:r>
                </w:p>
              </w:tc>
              <w:tc>
                <w:tcPr>
                  <w:tcW w:w="2260" w:type="dxa"/>
                  <w:vAlign w:val="center"/>
                </w:tcPr>
                <w:p>
                  <w:pPr>
                    <w:jc w:val="center"/>
                    <w:rPr>
                      <w:szCs w:val="21"/>
                    </w:rPr>
                  </w:pPr>
                  <w:r>
                    <w:rPr>
                      <w:rFonts w:hint="eastAsia"/>
                      <w:szCs w:val="21"/>
                    </w:rPr>
                    <w:t>2</w:t>
                  </w:r>
                  <w:r>
                    <w:rPr>
                      <w:szCs w:val="21"/>
                    </w:rPr>
                    <w:t>F，</w:t>
                  </w:r>
                  <w:r>
                    <w:rPr>
                      <w:rFonts w:hint="eastAsia"/>
                      <w:szCs w:val="21"/>
                    </w:rPr>
                    <w:t>砖混，高度共8m</w:t>
                  </w:r>
                </w:p>
              </w:tc>
              <w:tc>
                <w:tcPr>
                  <w:tcW w:w="2736" w:type="dxa"/>
                  <w:vAlign w:val="center"/>
                </w:tcPr>
                <w:p>
                  <w:pPr>
                    <w:ind w:firstLine="1260" w:firstLineChars="600"/>
                    <w:rPr>
                      <w:rFonts w:hint="eastAsia"/>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6" w:type="dxa"/>
                  <w:vAlign w:val="center"/>
                </w:tcPr>
                <w:p>
                  <w:pPr>
                    <w:jc w:val="center"/>
                    <w:rPr>
                      <w:rFonts w:hint="eastAsia"/>
                      <w:szCs w:val="21"/>
                    </w:rPr>
                  </w:pPr>
                  <w:r>
                    <w:rPr>
                      <w:rFonts w:hint="eastAsia"/>
                      <w:szCs w:val="21"/>
                    </w:rPr>
                    <w:t>3</w:t>
                  </w:r>
                </w:p>
              </w:tc>
              <w:tc>
                <w:tcPr>
                  <w:tcW w:w="1720" w:type="dxa"/>
                  <w:vAlign w:val="center"/>
                </w:tcPr>
                <w:p>
                  <w:pPr>
                    <w:jc w:val="center"/>
                    <w:rPr>
                      <w:rFonts w:hint="eastAsia"/>
                      <w:szCs w:val="21"/>
                    </w:rPr>
                  </w:pPr>
                  <w:r>
                    <w:rPr>
                      <w:rFonts w:hint="eastAsia"/>
                      <w:szCs w:val="21"/>
                    </w:rPr>
                    <w:t>厕所</w:t>
                  </w:r>
                </w:p>
              </w:tc>
              <w:tc>
                <w:tcPr>
                  <w:tcW w:w="1690" w:type="dxa"/>
                  <w:vAlign w:val="center"/>
                </w:tcPr>
                <w:p>
                  <w:pPr>
                    <w:jc w:val="center"/>
                    <w:rPr>
                      <w:rFonts w:hint="eastAsia"/>
                      <w:color w:val="080808"/>
                      <w:szCs w:val="21"/>
                    </w:rPr>
                  </w:pPr>
                  <w:r>
                    <w:rPr>
                      <w:rFonts w:hint="eastAsia"/>
                      <w:color w:val="080808"/>
                      <w:szCs w:val="21"/>
                    </w:rPr>
                    <w:t>15</w:t>
                  </w:r>
                </w:p>
              </w:tc>
              <w:tc>
                <w:tcPr>
                  <w:tcW w:w="2260" w:type="dxa"/>
                  <w:vAlign w:val="center"/>
                </w:tcPr>
                <w:p>
                  <w:pPr>
                    <w:jc w:val="center"/>
                    <w:rPr>
                      <w:szCs w:val="21"/>
                    </w:rPr>
                  </w:pPr>
                  <w:r>
                    <w:rPr>
                      <w:szCs w:val="21"/>
                    </w:rPr>
                    <w:t>1F，</w:t>
                  </w:r>
                  <w:r>
                    <w:rPr>
                      <w:rFonts w:hint="eastAsia"/>
                      <w:szCs w:val="21"/>
                    </w:rPr>
                    <w:t>砖混</w:t>
                  </w:r>
                </w:p>
              </w:tc>
              <w:tc>
                <w:tcPr>
                  <w:tcW w:w="2736" w:type="dxa"/>
                  <w:vAlign w:val="center"/>
                </w:tcPr>
                <w:p>
                  <w:pPr>
                    <w:jc w:val="center"/>
                    <w:rPr>
                      <w:rFonts w:hint="eastAsia"/>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6" w:type="dxa"/>
                  <w:vAlign w:val="center"/>
                </w:tcPr>
                <w:p>
                  <w:pPr>
                    <w:jc w:val="center"/>
                    <w:rPr>
                      <w:rFonts w:hint="eastAsia"/>
                      <w:szCs w:val="21"/>
                    </w:rPr>
                  </w:pPr>
                  <w:r>
                    <w:rPr>
                      <w:rFonts w:hint="eastAsia"/>
                      <w:szCs w:val="21"/>
                    </w:rPr>
                    <w:t>4</w:t>
                  </w:r>
                </w:p>
              </w:tc>
              <w:tc>
                <w:tcPr>
                  <w:tcW w:w="1720" w:type="dxa"/>
                  <w:vAlign w:val="center"/>
                </w:tcPr>
                <w:p>
                  <w:pPr>
                    <w:jc w:val="center"/>
                    <w:rPr>
                      <w:rFonts w:hint="eastAsia"/>
                      <w:szCs w:val="21"/>
                    </w:rPr>
                  </w:pPr>
                  <w:r>
                    <w:rPr>
                      <w:rFonts w:hint="eastAsia"/>
                      <w:szCs w:val="21"/>
                    </w:rPr>
                    <w:t>总计</w:t>
                  </w:r>
                </w:p>
              </w:tc>
              <w:tc>
                <w:tcPr>
                  <w:tcW w:w="1690" w:type="dxa"/>
                  <w:vAlign w:val="center"/>
                </w:tcPr>
                <w:p>
                  <w:pPr>
                    <w:jc w:val="center"/>
                    <w:rPr>
                      <w:rFonts w:hint="eastAsia"/>
                      <w:color w:val="080808"/>
                      <w:szCs w:val="21"/>
                    </w:rPr>
                  </w:pPr>
                  <w:r>
                    <w:rPr>
                      <w:rFonts w:hint="eastAsia"/>
                      <w:color w:val="080808"/>
                      <w:szCs w:val="21"/>
                    </w:rPr>
                    <w:t>6000</w:t>
                  </w:r>
                </w:p>
              </w:tc>
              <w:tc>
                <w:tcPr>
                  <w:tcW w:w="2260" w:type="dxa"/>
                  <w:vAlign w:val="center"/>
                </w:tcPr>
                <w:p>
                  <w:pPr>
                    <w:jc w:val="center"/>
                    <w:rPr>
                      <w:rFonts w:hint="eastAsia"/>
                      <w:szCs w:val="21"/>
                    </w:rPr>
                  </w:pPr>
                  <w:r>
                    <w:rPr>
                      <w:rFonts w:hint="eastAsia"/>
                      <w:szCs w:val="21"/>
                    </w:rPr>
                    <w:t>/</w:t>
                  </w:r>
                </w:p>
              </w:tc>
              <w:tc>
                <w:tcPr>
                  <w:tcW w:w="2736" w:type="dxa"/>
                  <w:vAlign w:val="center"/>
                </w:tcPr>
                <w:p>
                  <w:pPr>
                    <w:jc w:val="center"/>
                    <w:rPr>
                      <w:rFonts w:hint="eastAsia"/>
                      <w:szCs w:val="21"/>
                    </w:rPr>
                  </w:pPr>
                  <w:r>
                    <w:rPr>
                      <w:rFonts w:hint="eastAsia"/>
                      <w:szCs w:val="21"/>
                    </w:rPr>
                    <w:t>/</w:t>
                  </w:r>
                </w:p>
              </w:tc>
            </w:tr>
          </w:tbl>
          <w:p>
            <w:pPr>
              <w:spacing w:line="360" w:lineRule="auto"/>
              <w:jc w:val="center"/>
              <w:rPr>
                <w:b/>
                <w:bCs/>
                <w:color w:val="000000"/>
                <w:szCs w:val="21"/>
              </w:rPr>
            </w:pPr>
            <w:r>
              <w:rPr>
                <w:b/>
                <w:bCs/>
                <w:color w:val="000000"/>
                <w:szCs w:val="21"/>
              </w:rPr>
              <w:t>表3  本项目组成及工程内容表</w:t>
            </w:r>
          </w:p>
          <w:tbl>
            <w:tblPr>
              <w:tblStyle w:val="28"/>
              <w:tblW w:w="90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370"/>
              <w:gridCol w:w="5074"/>
              <w:gridCol w:w="1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46" w:type="dxa"/>
                  <w:vAlign w:val="center"/>
                </w:tcPr>
                <w:p>
                  <w:pPr>
                    <w:autoSpaceDE w:val="0"/>
                    <w:autoSpaceDN w:val="0"/>
                    <w:adjustRightInd w:val="0"/>
                    <w:jc w:val="center"/>
                    <w:rPr>
                      <w:szCs w:val="21"/>
                    </w:rPr>
                  </w:pPr>
                  <w:r>
                    <w:rPr>
                      <w:szCs w:val="21"/>
                    </w:rPr>
                    <w:t>项目组成</w:t>
                  </w:r>
                </w:p>
              </w:tc>
              <w:tc>
                <w:tcPr>
                  <w:tcW w:w="1370" w:type="dxa"/>
                  <w:vAlign w:val="center"/>
                </w:tcPr>
                <w:p>
                  <w:pPr>
                    <w:autoSpaceDE w:val="0"/>
                    <w:autoSpaceDN w:val="0"/>
                    <w:adjustRightInd w:val="0"/>
                    <w:jc w:val="center"/>
                    <w:rPr>
                      <w:szCs w:val="21"/>
                    </w:rPr>
                  </w:pPr>
                  <w:r>
                    <w:rPr>
                      <w:szCs w:val="21"/>
                    </w:rPr>
                    <w:t>项目</w:t>
                  </w:r>
                </w:p>
              </w:tc>
              <w:tc>
                <w:tcPr>
                  <w:tcW w:w="5074" w:type="dxa"/>
                  <w:vAlign w:val="center"/>
                </w:tcPr>
                <w:p>
                  <w:pPr>
                    <w:autoSpaceDE w:val="0"/>
                    <w:autoSpaceDN w:val="0"/>
                    <w:adjustRightInd w:val="0"/>
                    <w:jc w:val="center"/>
                    <w:rPr>
                      <w:szCs w:val="21"/>
                    </w:rPr>
                  </w:pPr>
                  <w:r>
                    <w:rPr>
                      <w:szCs w:val="21"/>
                    </w:rPr>
                    <w:t>工程内容</w:t>
                  </w:r>
                </w:p>
              </w:tc>
              <w:tc>
                <w:tcPr>
                  <w:tcW w:w="1952" w:type="dxa"/>
                  <w:vAlign w:val="center"/>
                </w:tcPr>
                <w:p>
                  <w:pPr>
                    <w:autoSpaceDE w:val="0"/>
                    <w:autoSpaceDN w:val="0"/>
                    <w:adjustRightInd w:val="0"/>
                    <w:jc w:val="center"/>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restart"/>
                  <w:vAlign w:val="center"/>
                </w:tcPr>
                <w:p>
                  <w:pPr>
                    <w:autoSpaceDE w:val="0"/>
                    <w:autoSpaceDN w:val="0"/>
                    <w:adjustRightInd w:val="0"/>
                    <w:jc w:val="center"/>
                    <w:rPr>
                      <w:szCs w:val="21"/>
                    </w:rPr>
                  </w:pPr>
                  <w:r>
                    <w:rPr>
                      <w:szCs w:val="21"/>
                    </w:rPr>
                    <w:t>主体工程</w:t>
                  </w:r>
                </w:p>
              </w:tc>
              <w:tc>
                <w:tcPr>
                  <w:tcW w:w="1370" w:type="dxa"/>
                  <w:vAlign w:val="center"/>
                </w:tcPr>
                <w:p>
                  <w:pPr>
                    <w:autoSpaceDE w:val="0"/>
                    <w:autoSpaceDN w:val="0"/>
                    <w:adjustRightInd w:val="0"/>
                    <w:jc w:val="center"/>
                    <w:rPr>
                      <w:rFonts w:hint="eastAsia"/>
                      <w:szCs w:val="21"/>
                    </w:rPr>
                  </w:pPr>
                  <w:r>
                    <w:rPr>
                      <w:rFonts w:hint="eastAsia"/>
                      <w:szCs w:val="21"/>
                    </w:rPr>
                    <w:t>生产车间</w:t>
                  </w:r>
                </w:p>
              </w:tc>
              <w:tc>
                <w:tcPr>
                  <w:tcW w:w="5074" w:type="dxa"/>
                  <w:tcMar>
                    <w:left w:w="57" w:type="dxa"/>
                    <w:right w:w="57" w:type="dxa"/>
                  </w:tcMar>
                  <w:vAlign w:val="center"/>
                </w:tcPr>
                <w:p>
                  <w:pPr>
                    <w:autoSpaceDE w:val="0"/>
                    <w:autoSpaceDN w:val="0"/>
                    <w:adjustRightInd w:val="0"/>
                    <w:jc w:val="left"/>
                    <w:rPr>
                      <w:rFonts w:hint="eastAsia"/>
                      <w:szCs w:val="21"/>
                    </w:rPr>
                  </w:pPr>
                  <w:r>
                    <w:rPr>
                      <w:rFonts w:hint="eastAsia"/>
                      <w:szCs w:val="21"/>
                    </w:rPr>
                    <w:t>1F，建筑</w:t>
                  </w:r>
                  <w:r>
                    <w:rPr>
                      <w:color w:val="000000"/>
                      <w:szCs w:val="21"/>
                    </w:rPr>
                    <w:t>面积</w:t>
                  </w:r>
                  <w:r>
                    <w:rPr>
                      <w:rFonts w:hint="eastAsia"/>
                      <w:color w:val="000000"/>
                      <w:szCs w:val="21"/>
                    </w:rPr>
                    <w:t>58</w:t>
                  </w:r>
                  <w:r>
                    <w:rPr>
                      <w:rFonts w:hint="eastAsia"/>
                      <w:color w:val="000000"/>
                      <w:szCs w:val="21"/>
                      <w:highlight w:val="none"/>
                    </w:rPr>
                    <w:t>00</w:t>
                  </w:r>
                  <w:r>
                    <w:rPr>
                      <w:rFonts w:eastAsia="楷体_GB2312"/>
                      <w:color w:val="000000"/>
                      <w:szCs w:val="21"/>
                      <w:highlight w:val="none"/>
                    </w:rPr>
                    <w:t>m</w:t>
                  </w:r>
                  <w:r>
                    <w:rPr>
                      <w:rFonts w:eastAsia="楷体_GB2312"/>
                      <w:color w:val="000000"/>
                      <w:szCs w:val="21"/>
                      <w:highlight w:val="none"/>
                      <w:vertAlign w:val="superscript"/>
                    </w:rPr>
                    <w:t>2</w:t>
                  </w:r>
                  <w:r>
                    <w:rPr>
                      <w:rStyle w:val="27"/>
                      <w:rFonts w:hint="eastAsia"/>
                      <w:highlight w:val="none"/>
                    </w:rPr>
                    <w:t>（145m</w:t>
                  </w:r>
                  <w:r>
                    <w:rPr>
                      <w:rStyle w:val="27"/>
                      <w:rFonts w:ascii="Arial" w:hAnsi="Arial" w:cs="Arial"/>
                      <w:highlight w:val="none"/>
                    </w:rPr>
                    <w:t>×</w:t>
                  </w:r>
                  <w:r>
                    <w:rPr>
                      <w:rStyle w:val="27"/>
                      <w:rFonts w:hint="eastAsia"/>
                      <w:highlight w:val="none"/>
                    </w:rPr>
                    <w:t>40m）</w:t>
                  </w:r>
                </w:p>
              </w:tc>
              <w:tc>
                <w:tcPr>
                  <w:tcW w:w="1952" w:type="dxa"/>
                  <w:vAlign w:val="center"/>
                </w:tcPr>
                <w:p>
                  <w:pPr>
                    <w:autoSpaceDE w:val="0"/>
                    <w:autoSpaceDN w:val="0"/>
                    <w:adjustRightInd w:val="0"/>
                    <w:jc w:val="center"/>
                    <w:rPr>
                      <w:szCs w:val="21"/>
                    </w:rPr>
                  </w:pPr>
                  <w:r>
                    <w:rPr>
                      <w:rFonts w:hint="eastAsia"/>
                      <w:szCs w:val="21"/>
                    </w:rPr>
                    <w:t>封闭车间，含2条生产线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szCs w:val="21"/>
                    </w:rPr>
                  </w:pPr>
                </w:p>
              </w:tc>
              <w:tc>
                <w:tcPr>
                  <w:tcW w:w="1370" w:type="dxa"/>
                  <w:vAlign w:val="center"/>
                </w:tcPr>
                <w:p>
                  <w:pPr>
                    <w:autoSpaceDE w:val="0"/>
                    <w:autoSpaceDN w:val="0"/>
                    <w:adjustRightInd w:val="0"/>
                    <w:jc w:val="center"/>
                    <w:rPr>
                      <w:rFonts w:hint="eastAsia"/>
                      <w:szCs w:val="21"/>
                    </w:rPr>
                  </w:pPr>
                  <w:r>
                    <w:rPr>
                      <w:rFonts w:hint="eastAsia"/>
                      <w:szCs w:val="21"/>
                    </w:rPr>
                    <w:t>拌面间</w:t>
                  </w:r>
                </w:p>
              </w:tc>
              <w:tc>
                <w:tcPr>
                  <w:tcW w:w="5074" w:type="dxa"/>
                  <w:tcMar>
                    <w:left w:w="57" w:type="dxa"/>
                    <w:right w:w="57" w:type="dxa"/>
                  </w:tcMar>
                  <w:vAlign w:val="center"/>
                </w:tcPr>
                <w:p>
                  <w:pPr>
                    <w:autoSpaceDE w:val="0"/>
                    <w:autoSpaceDN w:val="0"/>
                    <w:adjustRightInd w:val="0"/>
                    <w:jc w:val="left"/>
                    <w:rPr>
                      <w:rFonts w:hint="eastAsia"/>
                      <w:szCs w:val="21"/>
                    </w:rPr>
                  </w:pPr>
                  <w:r>
                    <w:rPr>
                      <w:rFonts w:hint="eastAsia"/>
                      <w:szCs w:val="21"/>
                    </w:rPr>
                    <w:t>1F，建筑</w:t>
                  </w:r>
                  <w:r>
                    <w:rPr>
                      <w:color w:val="000000"/>
                      <w:szCs w:val="21"/>
                    </w:rPr>
                    <w:t>面积</w:t>
                  </w:r>
                  <w:r>
                    <w:rPr>
                      <w:rFonts w:hint="eastAsia"/>
                      <w:color w:val="000000"/>
                      <w:szCs w:val="21"/>
                    </w:rPr>
                    <w:t>580</w:t>
                  </w:r>
                  <w:r>
                    <w:rPr>
                      <w:rFonts w:eastAsia="楷体_GB2312"/>
                      <w:color w:val="000000"/>
                      <w:szCs w:val="21"/>
                    </w:rPr>
                    <w:t>m</w:t>
                  </w:r>
                  <w:r>
                    <w:rPr>
                      <w:rFonts w:eastAsia="楷体_GB2312"/>
                      <w:color w:val="000000"/>
                      <w:szCs w:val="21"/>
                      <w:vertAlign w:val="superscript"/>
                    </w:rPr>
                    <w:t>2</w:t>
                  </w:r>
                </w:p>
              </w:tc>
              <w:tc>
                <w:tcPr>
                  <w:tcW w:w="1952" w:type="dxa"/>
                  <w:vAlign w:val="center"/>
                </w:tcPr>
                <w:p>
                  <w:pPr>
                    <w:autoSpaceDE w:val="0"/>
                    <w:autoSpaceDN w:val="0"/>
                    <w:adjustRightInd w:val="0"/>
                    <w:jc w:val="center"/>
                    <w:rPr>
                      <w:rFonts w:hint="eastAsia"/>
                      <w:szCs w:val="21"/>
                    </w:rPr>
                  </w:pPr>
                  <w:r>
                    <w:rPr>
                      <w:rFonts w:hint="eastAsia"/>
                      <w:szCs w:val="21"/>
                    </w:rPr>
                    <w:t>位于生产厂房内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szCs w:val="21"/>
                    </w:rPr>
                  </w:pPr>
                </w:p>
              </w:tc>
              <w:tc>
                <w:tcPr>
                  <w:tcW w:w="1370" w:type="dxa"/>
                  <w:vAlign w:val="center"/>
                </w:tcPr>
                <w:p>
                  <w:pPr>
                    <w:autoSpaceDE w:val="0"/>
                    <w:autoSpaceDN w:val="0"/>
                    <w:adjustRightInd w:val="0"/>
                    <w:jc w:val="center"/>
                    <w:rPr>
                      <w:rFonts w:hint="eastAsia"/>
                      <w:szCs w:val="21"/>
                    </w:rPr>
                  </w:pPr>
                  <w:r>
                    <w:rPr>
                      <w:rFonts w:hint="eastAsia"/>
                      <w:szCs w:val="21"/>
                    </w:rPr>
                    <w:t>膨化间</w:t>
                  </w:r>
                </w:p>
              </w:tc>
              <w:tc>
                <w:tcPr>
                  <w:tcW w:w="5074" w:type="dxa"/>
                  <w:tcMar>
                    <w:left w:w="57" w:type="dxa"/>
                    <w:right w:w="57" w:type="dxa"/>
                  </w:tcMar>
                  <w:vAlign w:val="center"/>
                </w:tcPr>
                <w:p>
                  <w:pPr>
                    <w:autoSpaceDE w:val="0"/>
                    <w:autoSpaceDN w:val="0"/>
                    <w:adjustRightInd w:val="0"/>
                    <w:jc w:val="left"/>
                    <w:rPr>
                      <w:rFonts w:hint="eastAsia"/>
                      <w:szCs w:val="21"/>
                    </w:rPr>
                  </w:pPr>
                  <w:r>
                    <w:rPr>
                      <w:rFonts w:hint="eastAsia"/>
                      <w:szCs w:val="21"/>
                    </w:rPr>
                    <w:t>1F，建筑</w:t>
                  </w:r>
                  <w:r>
                    <w:rPr>
                      <w:color w:val="000000"/>
                      <w:szCs w:val="21"/>
                    </w:rPr>
                    <w:t>面积</w:t>
                  </w:r>
                  <w:r>
                    <w:rPr>
                      <w:rFonts w:hint="eastAsia"/>
                      <w:color w:val="000000"/>
                      <w:szCs w:val="21"/>
                    </w:rPr>
                    <w:t>1160</w:t>
                  </w:r>
                  <w:r>
                    <w:rPr>
                      <w:rFonts w:eastAsia="楷体_GB2312"/>
                      <w:color w:val="000000"/>
                      <w:szCs w:val="21"/>
                    </w:rPr>
                    <w:t>m</w:t>
                  </w:r>
                  <w:r>
                    <w:rPr>
                      <w:rFonts w:eastAsia="楷体_GB2312"/>
                      <w:color w:val="000000"/>
                      <w:szCs w:val="21"/>
                      <w:vertAlign w:val="superscript"/>
                    </w:rPr>
                    <w:t>2</w:t>
                  </w:r>
                </w:p>
              </w:tc>
              <w:tc>
                <w:tcPr>
                  <w:tcW w:w="1952" w:type="dxa"/>
                  <w:vAlign w:val="center"/>
                </w:tcPr>
                <w:p>
                  <w:pPr>
                    <w:autoSpaceDE w:val="0"/>
                    <w:autoSpaceDN w:val="0"/>
                    <w:adjustRightInd w:val="0"/>
                    <w:jc w:val="center"/>
                    <w:rPr>
                      <w:rFonts w:hint="eastAsia"/>
                      <w:szCs w:val="21"/>
                    </w:rPr>
                  </w:pPr>
                  <w:r>
                    <w:rPr>
                      <w:rFonts w:hint="eastAsia"/>
                      <w:szCs w:val="21"/>
                    </w:rPr>
                    <w:t>位于生产厂房内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szCs w:val="21"/>
                    </w:rPr>
                  </w:pPr>
                </w:p>
              </w:tc>
              <w:tc>
                <w:tcPr>
                  <w:tcW w:w="1370" w:type="dxa"/>
                  <w:vAlign w:val="center"/>
                </w:tcPr>
                <w:p>
                  <w:pPr>
                    <w:autoSpaceDE w:val="0"/>
                    <w:autoSpaceDN w:val="0"/>
                    <w:adjustRightInd w:val="0"/>
                    <w:jc w:val="center"/>
                    <w:rPr>
                      <w:rFonts w:hint="eastAsia"/>
                      <w:szCs w:val="21"/>
                    </w:rPr>
                  </w:pPr>
                  <w:r>
                    <w:rPr>
                      <w:rFonts w:hint="eastAsia"/>
                      <w:szCs w:val="21"/>
                    </w:rPr>
                    <w:t>油炸间</w:t>
                  </w:r>
                </w:p>
              </w:tc>
              <w:tc>
                <w:tcPr>
                  <w:tcW w:w="5074" w:type="dxa"/>
                  <w:tcMar>
                    <w:left w:w="57" w:type="dxa"/>
                    <w:right w:w="57" w:type="dxa"/>
                  </w:tcMar>
                  <w:vAlign w:val="center"/>
                </w:tcPr>
                <w:p>
                  <w:pPr>
                    <w:autoSpaceDE w:val="0"/>
                    <w:autoSpaceDN w:val="0"/>
                    <w:adjustRightInd w:val="0"/>
                    <w:jc w:val="left"/>
                    <w:rPr>
                      <w:rFonts w:hint="eastAsia"/>
                      <w:szCs w:val="21"/>
                    </w:rPr>
                  </w:pPr>
                  <w:r>
                    <w:rPr>
                      <w:rFonts w:hint="eastAsia"/>
                      <w:szCs w:val="21"/>
                    </w:rPr>
                    <w:t>1F，建筑</w:t>
                  </w:r>
                  <w:r>
                    <w:rPr>
                      <w:color w:val="000000"/>
                      <w:szCs w:val="21"/>
                    </w:rPr>
                    <w:t>面积</w:t>
                  </w:r>
                  <w:r>
                    <w:rPr>
                      <w:rFonts w:hint="eastAsia"/>
                      <w:color w:val="000000"/>
                      <w:szCs w:val="21"/>
                    </w:rPr>
                    <w:t>1160</w:t>
                  </w:r>
                  <w:r>
                    <w:rPr>
                      <w:rFonts w:eastAsia="楷体_GB2312"/>
                      <w:color w:val="000000"/>
                      <w:szCs w:val="21"/>
                    </w:rPr>
                    <w:t>m</w:t>
                  </w:r>
                  <w:r>
                    <w:rPr>
                      <w:rFonts w:eastAsia="楷体_GB2312"/>
                      <w:color w:val="000000"/>
                      <w:szCs w:val="21"/>
                      <w:vertAlign w:val="superscript"/>
                    </w:rPr>
                    <w:t>2</w:t>
                  </w:r>
                </w:p>
              </w:tc>
              <w:tc>
                <w:tcPr>
                  <w:tcW w:w="1952" w:type="dxa"/>
                  <w:vAlign w:val="center"/>
                </w:tcPr>
                <w:p>
                  <w:pPr>
                    <w:autoSpaceDE w:val="0"/>
                    <w:autoSpaceDN w:val="0"/>
                    <w:adjustRightInd w:val="0"/>
                    <w:jc w:val="center"/>
                    <w:rPr>
                      <w:rFonts w:hint="eastAsia"/>
                      <w:szCs w:val="21"/>
                    </w:rPr>
                  </w:pPr>
                  <w:r>
                    <w:rPr>
                      <w:rFonts w:hint="eastAsia"/>
                      <w:szCs w:val="21"/>
                    </w:rPr>
                    <w:t>位于生产厂房内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restart"/>
                  <w:vAlign w:val="center"/>
                </w:tcPr>
                <w:p>
                  <w:pPr>
                    <w:autoSpaceDE w:val="0"/>
                    <w:autoSpaceDN w:val="0"/>
                    <w:adjustRightInd w:val="0"/>
                    <w:jc w:val="center"/>
                    <w:rPr>
                      <w:rFonts w:hint="eastAsia"/>
                      <w:szCs w:val="21"/>
                    </w:rPr>
                  </w:pPr>
                  <w:r>
                    <w:rPr>
                      <w:rFonts w:hint="eastAsia"/>
                      <w:szCs w:val="21"/>
                    </w:rPr>
                    <w:t>储运工程</w:t>
                  </w:r>
                </w:p>
              </w:tc>
              <w:tc>
                <w:tcPr>
                  <w:tcW w:w="1370" w:type="dxa"/>
                  <w:vAlign w:val="center"/>
                </w:tcPr>
                <w:p>
                  <w:pPr>
                    <w:jc w:val="center"/>
                    <w:rPr>
                      <w:rFonts w:hint="eastAsia"/>
                      <w:color w:val="080808"/>
                      <w:szCs w:val="21"/>
                    </w:rPr>
                  </w:pPr>
                  <w:r>
                    <w:rPr>
                      <w:rFonts w:hint="eastAsia"/>
                      <w:szCs w:val="21"/>
                    </w:rPr>
                    <w:t>原料库</w:t>
                  </w:r>
                </w:p>
              </w:tc>
              <w:tc>
                <w:tcPr>
                  <w:tcW w:w="5074" w:type="dxa"/>
                  <w:tcMar>
                    <w:left w:w="57" w:type="dxa"/>
                    <w:right w:w="57" w:type="dxa"/>
                  </w:tcMar>
                  <w:vAlign w:val="center"/>
                </w:tcPr>
                <w:p>
                  <w:pPr>
                    <w:autoSpaceDE w:val="0"/>
                    <w:autoSpaceDN w:val="0"/>
                    <w:adjustRightInd w:val="0"/>
                    <w:jc w:val="left"/>
                    <w:rPr>
                      <w:rFonts w:hint="eastAsia"/>
                      <w:szCs w:val="21"/>
                    </w:rPr>
                  </w:pPr>
                  <w:r>
                    <w:rPr>
                      <w:rFonts w:hint="eastAsia"/>
                      <w:szCs w:val="21"/>
                    </w:rPr>
                    <w:t>1F，建筑</w:t>
                  </w:r>
                  <w:r>
                    <w:rPr>
                      <w:color w:val="000000"/>
                      <w:szCs w:val="21"/>
                    </w:rPr>
                    <w:t>面积</w:t>
                  </w:r>
                  <w:r>
                    <w:rPr>
                      <w:rFonts w:hint="eastAsia"/>
                      <w:color w:val="000000"/>
                      <w:szCs w:val="21"/>
                    </w:rPr>
                    <w:t>580</w:t>
                  </w:r>
                  <w:r>
                    <w:rPr>
                      <w:rFonts w:eastAsia="楷体_GB2312"/>
                      <w:color w:val="000000"/>
                      <w:szCs w:val="21"/>
                    </w:rPr>
                    <w:t>m</w:t>
                  </w:r>
                  <w:r>
                    <w:rPr>
                      <w:rFonts w:eastAsia="楷体_GB2312"/>
                      <w:color w:val="000000"/>
                      <w:szCs w:val="21"/>
                      <w:vertAlign w:val="superscript"/>
                    </w:rPr>
                    <w:t>2</w:t>
                  </w:r>
                </w:p>
              </w:tc>
              <w:tc>
                <w:tcPr>
                  <w:tcW w:w="1952" w:type="dxa"/>
                  <w:vAlign w:val="center"/>
                </w:tcPr>
                <w:p>
                  <w:pPr>
                    <w:autoSpaceDE w:val="0"/>
                    <w:autoSpaceDN w:val="0"/>
                    <w:adjustRightInd w:val="0"/>
                    <w:jc w:val="center"/>
                    <w:rPr>
                      <w:rFonts w:hint="eastAsia"/>
                      <w:szCs w:val="21"/>
                    </w:rPr>
                  </w:pPr>
                  <w:r>
                    <w:rPr>
                      <w:rFonts w:hint="eastAsia"/>
                      <w:szCs w:val="21"/>
                    </w:rPr>
                    <w:t>位于生产厂房内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rFonts w:hint="eastAsia"/>
                      <w:szCs w:val="21"/>
                    </w:rPr>
                  </w:pPr>
                </w:p>
              </w:tc>
              <w:tc>
                <w:tcPr>
                  <w:tcW w:w="1370" w:type="dxa"/>
                  <w:vAlign w:val="center"/>
                </w:tcPr>
                <w:p>
                  <w:pPr>
                    <w:jc w:val="center"/>
                    <w:rPr>
                      <w:rFonts w:hint="eastAsia"/>
                      <w:color w:val="080808"/>
                      <w:szCs w:val="21"/>
                    </w:rPr>
                  </w:pPr>
                  <w:r>
                    <w:rPr>
                      <w:rFonts w:hint="eastAsia"/>
                      <w:color w:val="080808"/>
                      <w:szCs w:val="21"/>
                    </w:rPr>
                    <w:t>成品库</w:t>
                  </w:r>
                </w:p>
              </w:tc>
              <w:tc>
                <w:tcPr>
                  <w:tcW w:w="5074" w:type="dxa"/>
                  <w:tcMar>
                    <w:left w:w="57" w:type="dxa"/>
                    <w:right w:w="57" w:type="dxa"/>
                  </w:tcMar>
                  <w:vAlign w:val="center"/>
                </w:tcPr>
                <w:p>
                  <w:pPr>
                    <w:autoSpaceDE w:val="0"/>
                    <w:autoSpaceDN w:val="0"/>
                    <w:adjustRightInd w:val="0"/>
                    <w:jc w:val="left"/>
                    <w:rPr>
                      <w:rFonts w:hint="eastAsia"/>
                      <w:szCs w:val="21"/>
                    </w:rPr>
                  </w:pPr>
                  <w:r>
                    <w:rPr>
                      <w:rFonts w:hint="eastAsia"/>
                      <w:szCs w:val="21"/>
                    </w:rPr>
                    <w:t>1F，建筑</w:t>
                  </w:r>
                  <w:r>
                    <w:rPr>
                      <w:color w:val="000000"/>
                      <w:szCs w:val="21"/>
                    </w:rPr>
                    <w:t>面积</w:t>
                  </w:r>
                  <w:r>
                    <w:rPr>
                      <w:rFonts w:hint="eastAsia"/>
                      <w:color w:val="000000"/>
                      <w:szCs w:val="21"/>
                    </w:rPr>
                    <w:t>1160</w:t>
                  </w:r>
                  <w:r>
                    <w:rPr>
                      <w:rFonts w:eastAsia="楷体_GB2312"/>
                      <w:color w:val="000000"/>
                      <w:szCs w:val="21"/>
                    </w:rPr>
                    <w:t>m</w:t>
                  </w:r>
                  <w:r>
                    <w:rPr>
                      <w:rFonts w:eastAsia="楷体_GB2312"/>
                      <w:color w:val="000000"/>
                      <w:szCs w:val="21"/>
                      <w:vertAlign w:val="superscript"/>
                    </w:rPr>
                    <w:t>2</w:t>
                  </w:r>
                </w:p>
              </w:tc>
              <w:tc>
                <w:tcPr>
                  <w:tcW w:w="1952" w:type="dxa"/>
                  <w:vAlign w:val="center"/>
                </w:tcPr>
                <w:p>
                  <w:pPr>
                    <w:autoSpaceDE w:val="0"/>
                    <w:autoSpaceDN w:val="0"/>
                    <w:adjustRightInd w:val="0"/>
                    <w:jc w:val="center"/>
                    <w:rPr>
                      <w:rFonts w:hint="eastAsia"/>
                      <w:szCs w:val="21"/>
                    </w:rPr>
                  </w:pPr>
                  <w:r>
                    <w:rPr>
                      <w:rFonts w:hint="eastAsia"/>
                      <w:szCs w:val="21"/>
                    </w:rPr>
                    <w:t>位于生产厂房内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rFonts w:hint="eastAsia"/>
                      <w:szCs w:val="21"/>
                    </w:rPr>
                  </w:pPr>
                </w:p>
              </w:tc>
              <w:tc>
                <w:tcPr>
                  <w:tcW w:w="1370" w:type="dxa"/>
                  <w:vAlign w:val="center"/>
                </w:tcPr>
                <w:p>
                  <w:pPr>
                    <w:jc w:val="center"/>
                    <w:rPr>
                      <w:rFonts w:hint="eastAsia"/>
                      <w:color w:val="080808"/>
                      <w:szCs w:val="21"/>
                    </w:rPr>
                  </w:pPr>
                  <w:r>
                    <w:rPr>
                      <w:rFonts w:hint="eastAsia"/>
                      <w:szCs w:val="21"/>
                    </w:rPr>
                    <w:t>包装间</w:t>
                  </w:r>
                </w:p>
              </w:tc>
              <w:tc>
                <w:tcPr>
                  <w:tcW w:w="5074" w:type="dxa"/>
                  <w:tcMar>
                    <w:left w:w="57" w:type="dxa"/>
                    <w:right w:w="57" w:type="dxa"/>
                  </w:tcMar>
                  <w:vAlign w:val="center"/>
                </w:tcPr>
                <w:p>
                  <w:pPr>
                    <w:autoSpaceDE w:val="0"/>
                    <w:autoSpaceDN w:val="0"/>
                    <w:adjustRightInd w:val="0"/>
                    <w:jc w:val="left"/>
                    <w:rPr>
                      <w:rFonts w:hint="eastAsia"/>
                      <w:szCs w:val="21"/>
                    </w:rPr>
                  </w:pPr>
                  <w:r>
                    <w:rPr>
                      <w:rFonts w:hint="eastAsia"/>
                      <w:szCs w:val="21"/>
                    </w:rPr>
                    <w:t>1F，建筑</w:t>
                  </w:r>
                  <w:r>
                    <w:rPr>
                      <w:color w:val="000000"/>
                      <w:szCs w:val="21"/>
                    </w:rPr>
                    <w:t>面积</w:t>
                  </w:r>
                  <w:r>
                    <w:rPr>
                      <w:rFonts w:hint="eastAsia"/>
                      <w:color w:val="000000"/>
                      <w:szCs w:val="21"/>
                    </w:rPr>
                    <w:t>1160</w:t>
                  </w:r>
                  <w:r>
                    <w:rPr>
                      <w:rFonts w:eastAsia="楷体_GB2312"/>
                      <w:color w:val="000000"/>
                      <w:szCs w:val="21"/>
                    </w:rPr>
                    <w:t>m</w:t>
                  </w:r>
                  <w:r>
                    <w:rPr>
                      <w:rFonts w:eastAsia="楷体_GB2312"/>
                      <w:color w:val="000000"/>
                      <w:szCs w:val="21"/>
                      <w:vertAlign w:val="superscript"/>
                    </w:rPr>
                    <w:t>2</w:t>
                  </w:r>
                </w:p>
              </w:tc>
              <w:tc>
                <w:tcPr>
                  <w:tcW w:w="1952" w:type="dxa"/>
                  <w:vAlign w:val="center"/>
                </w:tcPr>
                <w:p>
                  <w:pPr>
                    <w:autoSpaceDE w:val="0"/>
                    <w:autoSpaceDN w:val="0"/>
                    <w:adjustRightInd w:val="0"/>
                    <w:jc w:val="center"/>
                    <w:rPr>
                      <w:rFonts w:hint="eastAsia"/>
                      <w:szCs w:val="21"/>
                    </w:rPr>
                  </w:pPr>
                  <w:r>
                    <w:rPr>
                      <w:rFonts w:hint="eastAsia"/>
                      <w:szCs w:val="21"/>
                    </w:rPr>
                    <w:t>位于生产厂房内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Align w:val="center"/>
                </w:tcPr>
                <w:p>
                  <w:pPr>
                    <w:autoSpaceDE w:val="0"/>
                    <w:autoSpaceDN w:val="0"/>
                    <w:adjustRightInd w:val="0"/>
                    <w:jc w:val="center"/>
                    <w:rPr>
                      <w:szCs w:val="21"/>
                    </w:rPr>
                  </w:pPr>
                  <w:r>
                    <w:rPr>
                      <w:szCs w:val="21"/>
                    </w:rPr>
                    <w:t>配套工程</w:t>
                  </w:r>
                </w:p>
              </w:tc>
              <w:tc>
                <w:tcPr>
                  <w:tcW w:w="1370" w:type="dxa"/>
                  <w:vAlign w:val="center"/>
                </w:tcPr>
                <w:p>
                  <w:pPr>
                    <w:autoSpaceDE w:val="0"/>
                    <w:autoSpaceDN w:val="0"/>
                    <w:adjustRightInd w:val="0"/>
                    <w:jc w:val="center"/>
                    <w:rPr>
                      <w:rFonts w:hint="eastAsia"/>
                      <w:szCs w:val="21"/>
                    </w:rPr>
                  </w:pPr>
                  <w:r>
                    <w:rPr>
                      <w:rFonts w:hint="eastAsia"/>
                      <w:szCs w:val="21"/>
                    </w:rPr>
                    <w:t>办公室</w:t>
                  </w:r>
                </w:p>
              </w:tc>
              <w:tc>
                <w:tcPr>
                  <w:tcW w:w="5074" w:type="dxa"/>
                  <w:tcMar>
                    <w:left w:w="57" w:type="dxa"/>
                    <w:right w:w="57" w:type="dxa"/>
                  </w:tcMar>
                  <w:vAlign w:val="center"/>
                </w:tcPr>
                <w:p>
                  <w:pPr>
                    <w:autoSpaceDE w:val="0"/>
                    <w:autoSpaceDN w:val="0"/>
                    <w:adjustRightInd w:val="0"/>
                    <w:jc w:val="left"/>
                    <w:rPr>
                      <w:szCs w:val="21"/>
                    </w:rPr>
                  </w:pPr>
                  <w:r>
                    <w:rPr>
                      <w:rFonts w:hint="eastAsia"/>
                      <w:szCs w:val="21"/>
                    </w:rPr>
                    <w:t>2F，</w:t>
                  </w:r>
                  <w:r>
                    <w:rPr>
                      <w:color w:val="000000"/>
                      <w:szCs w:val="21"/>
                    </w:rPr>
                    <w:t>建筑面积</w:t>
                  </w:r>
                  <w:r>
                    <w:rPr>
                      <w:rFonts w:hint="eastAsia"/>
                      <w:color w:val="000000"/>
                      <w:szCs w:val="21"/>
                    </w:rPr>
                    <w:t>185</w:t>
                  </w:r>
                  <w:r>
                    <w:rPr>
                      <w:rFonts w:eastAsia="楷体_GB2312"/>
                      <w:color w:val="000000"/>
                      <w:szCs w:val="21"/>
                    </w:rPr>
                    <w:t>m</w:t>
                  </w:r>
                  <w:r>
                    <w:rPr>
                      <w:rFonts w:eastAsia="楷体_GB2312"/>
                      <w:color w:val="000000"/>
                      <w:szCs w:val="21"/>
                      <w:vertAlign w:val="superscript"/>
                    </w:rPr>
                    <w:t>2</w:t>
                  </w:r>
                </w:p>
              </w:tc>
              <w:tc>
                <w:tcPr>
                  <w:tcW w:w="1952" w:type="dxa"/>
                  <w:vAlign w:val="center"/>
                </w:tcPr>
                <w:p>
                  <w:pPr>
                    <w:autoSpaceDE w:val="0"/>
                    <w:autoSpaceDN w:val="0"/>
                    <w:adjustRightInd w:val="0"/>
                    <w:jc w:val="center"/>
                    <w:rPr>
                      <w:szCs w:val="21"/>
                    </w:rPr>
                  </w:pPr>
                  <w:r>
                    <w:rPr>
                      <w:szCs w:val="21"/>
                    </w:rPr>
                    <w:t>员工日常办公</w:t>
                  </w:r>
                  <w:r>
                    <w:rPr>
                      <w:rFonts w:hint="eastAsia"/>
                      <w:szCs w:val="21"/>
                    </w:rPr>
                    <w:t>，位于生产厂房内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restart"/>
                  <w:vAlign w:val="center"/>
                </w:tcPr>
                <w:p>
                  <w:pPr>
                    <w:autoSpaceDE w:val="0"/>
                    <w:autoSpaceDN w:val="0"/>
                    <w:adjustRightInd w:val="0"/>
                    <w:jc w:val="center"/>
                    <w:rPr>
                      <w:szCs w:val="21"/>
                    </w:rPr>
                  </w:pPr>
                  <w:r>
                    <w:rPr>
                      <w:szCs w:val="21"/>
                    </w:rPr>
                    <w:t>公用工程</w:t>
                  </w:r>
                </w:p>
              </w:tc>
              <w:tc>
                <w:tcPr>
                  <w:tcW w:w="1370" w:type="dxa"/>
                  <w:vAlign w:val="center"/>
                </w:tcPr>
                <w:p>
                  <w:pPr>
                    <w:autoSpaceDE w:val="0"/>
                    <w:autoSpaceDN w:val="0"/>
                    <w:adjustRightInd w:val="0"/>
                    <w:jc w:val="center"/>
                    <w:rPr>
                      <w:szCs w:val="21"/>
                    </w:rPr>
                  </w:pPr>
                  <w:r>
                    <w:rPr>
                      <w:szCs w:val="21"/>
                    </w:rPr>
                    <w:t>给水</w:t>
                  </w:r>
                </w:p>
              </w:tc>
              <w:tc>
                <w:tcPr>
                  <w:tcW w:w="5074" w:type="dxa"/>
                  <w:vAlign w:val="center"/>
                </w:tcPr>
                <w:p>
                  <w:pPr>
                    <w:rPr>
                      <w:szCs w:val="21"/>
                    </w:rPr>
                  </w:pPr>
                  <w:r>
                    <w:rPr>
                      <w:szCs w:val="21"/>
                    </w:rPr>
                    <w:t>由</w:t>
                  </w:r>
                  <w:r>
                    <w:rPr>
                      <w:rFonts w:hint="eastAsia"/>
                      <w:szCs w:val="21"/>
                    </w:rPr>
                    <w:t>慈周寨镇第一水厂</w:t>
                  </w:r>
                  <w:r>
                    <w:rPr>
                      <w:szCs w:val="21"/>
                    </w:rPr>
                    <w:t>供给</w:t>
                  </w:r>
                </w:p>
              </w:tc>
              <w:tc>
                <w:tcPr>
                  <w:tcW w:w="1952" w:type="dxa"/>
                  <w:vAlign w:val="center"/>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szCs w:val="21"/>
                    </w:rPr>
                  </w:pPr>
                </w:p>
              </w:tc>
              <w:tc>
                <w:tcPr>
                  <w:tcW w:w="1370" w:type="dxa"/>
                  <w:vAlign w:val="center"/>
                </w:tcPr>
                <w:p>
                  <w:pPr>
                    <w:autoSpaceDE w:val="0"/>
                    <w:autoSpaceDN w:val="0"/>
                    <w:adjustRightInd w:val="0"/>
                    <w:jc w:val="center"/>
                    <w:rPr>
                      <w:szCs w:val="21"/>
                    </w:rPr>
                  </w:pPr>
                  <w:r>
                    <w:rPr>
                      <w:szCs w:val="21"/>
                    </w:rPr>
                    <w:t>供电</w:t>
                  </w:r>
                </w:p>
              </w:tc>
              <w:tc>
                <w:tcPr>
                  <w:tcW w:w="5074" w:type="dxa"/>
                  <w:vAlign w:val="center"/>
                </w:tcPr>
                <w:p>
                  <w:pPr>
                    <w:rPr>
                      <w:szCs w:val="21"/>
                    </w:rPr>
                  </w:pPr>
                  <w:r>
                    <w:rPr>
                      <w:szCs w:val="21"/>
                    </w:rPr>
                    <w:t>由</w:t>
                  </w:r>
                  <w:r>
                    <w:rPr>
                      <w:rFonts w:hint="eastAsia"/>
                      <w:szCs w:val="21"/>
                    </w:rPr>
                    <w:t>慈周寨</w:t>
                  </w:r>
                  <w:r>
                    <w:rPr>
                      <w:szCs w:val="21"/>
                    </w:rPr>
                    <w:t>电网统一供给</w:t>
                  </w:r>
                </w:p>
              </w:tc>
              <w:tc>
                <w:tcPr>
                  <w:tcW w:w="1952" w:type="dxa"/>
                  <w:vAlign w:val="center"/>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6" w:type="dxa"/>
                  <w:vMerge w:val="continue"/>
                  <w:vAlign w:val="center"/>
                </w:tcPr>
                <w:p>
                  <w:pPr>
                    <w:autoSpaceDE w:val="0"/>
                    <w:autoSpaceDN w:val="0"/>
                    <w:adjustRightInd w:val="0"/>
                    <w:jc w:val="center"/>
                    <w:rPr>
                      <w:szCs w:val="21"/>
                    </w:rPr>
                  </w:pPr>
                </w:p>
              </w:tc>
              <w:tc>
                <w:tcPr>
                  <w:tcW w:w="1370" w:type="dxa"/>
                  <w:vAlign w:val="center"/>
                </w:tcPr>
                <w:p>
                  <w:pPr>
                    <w:autoSpaceDE w:val="0"/>
                    <w:autoSpaceDN w:val="0"/>
                    <w:adjustRightInd w:val="0"/>
                    <w:jc w:val="center"/>
                    <w:rPr>
                      <w:szCs w:val="21"/>
                    </w:rPr>
                  </w:pPr>
                  <w:r>
                    <w:rPr>
                      <w:szCs w:val="21"/>
                    </w:rPr>
                    <w:t>供热</w:t>
                  </w:r>
                </w:p>
              </w:tc>
              <w:tc>
                <w:tcPr>
                  <w:tcW w:w="5074" w:type="dxa"/>
                  <w:vAlign w:val="center"/>
                </w:tcPr>
                <w:p>
                  <w:pPr>
                    <w:rPr>
                      <w:szCs w:val="21"/>
                    </w:rPr>
                  </w:pPr>
                  <w:r>
                    <w:rPr>
                      <w:szCs w:val="21"/>
                    </w:rPr>
                    <w:t>车间冬季不供暖</w:t>
                  </w:r>
                  <w:r>
                    <w:rPr>
                      <w:rFonts w:hint="eastAsia"/>
                      <w:szCs w:val="21"/>
                    </w:rPr>
                    <w:t>，办公室采用空调采暖</w:t>
                  </w:r>
                </w:p>
              </w:tc>
              <w:tc>
                <w:tcPr>
                  <w:tcW w:w="1952" w:type="dxa"/>
                  <w:vAlign w:val="center"/>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szCs w:val="21"/>
                    </w:rPr>
                  </w:pPr>
                </w:p>
              </w:tc>
              <w:tc>
                <w:tcPr>
                  <w:tcW w:w="1370" w:type="dxa"/>
                  <w:vAlign w:val="center"/>
                </w:tcPr>
                <w:p>
                  <w:pPr>
                    <w:autoSpaceDE w:val="0"/>
                    <w:autoSpaceDN w:val="0"/>
                    <w:adjustRightInd w:val="0"/>
                    <w:jc w:val="center"/>
                    <w:rPr>
                      <w:szCs w:val="21"/>
                    </w:rPr>
                  </w:pPr>
                  <w:r>
                    <w:rPr>
                      <w:szCs w:val="21"/>
                    </w:rPr>
                    <w:t>制冷</w:t>
                  </w:r>
                </w:p>
              </w:tc>
              <w:tc>
                <w:tcPr>
                  <w:tcW w:w="5074" w:type="dxa"/>
                  <w:vAlign w:val="center"/>
                </w:tcPr>
                <w:p>
                  <w:pPr>
                    <w:rPr>
                      <w:szCs w:val="21"/>
                    </w:rPr>
                  </w:pPr>
                  <w:r>
                    <w:rPr>
                      <w:szCs w:val="21"/>
                    </w:rPr>
                    <w:t>车间采用</w:t>
                  </w:r>
                  <w:r>
                    <w:rPr>
                      <w:rFonts w:hint="eastAsia"/>
                      <w:szCs w:val="21"/>
                    </w:rPr>
                    <w:t>风机强制</w:t>
                  </w:r>
                  <w:r>
                    <w:rPr>
                      <w:szCs w:val="21"/>
                    </w:rPr>
                    <w:t>通风</w:t>
                  </w:r>
                  <w:r>
                    <w:rPr>
                      <w:rFonts w:hint="eastAsia"/>
                      <w:szCs w:val="21"/>
                    </w:rPr>
                    <w:t>，办公室采用空调制冷</w:t>
                  </w:r>
                </w:p>
              </w:tc>
              <w:tc>
                <w:tcPr>
                  <w:tcW w:w="1952" w:type="dxa"/>
                  <w:vAlign w:val="center"/>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restart"/>
                  <w:vAlign w:val="center"/>
                </w:tcPr>
                <w:p>
                  <w:pPr>
                    <w:autoSpaceDE w:val="0"/>
                    <w:autoSpaceDN w:val="0"/>
                    <w:adjustRightInd w:val="0"/>
                    <w:jc w:val="center"/>
                    <w:rPr>
                      <w:szCs w:val="21"/>
                    </w:rPr>
                  </w:pPr>
                  <w:r>
                    <w:rPr>
                      <w:szCs w:val="21"/>
                    </w:rPr>
                    <w:t>环保设施</w:t>
                  </w:r>
                </w:p>
              </w:tc>
              <w:tc>
                <w:tcPr>
                  <w:tcW w:w="1370" w:type="dxa"/>
                  <w:vAlign w:val="center"/>
                </w:tcPr>
                <w:p>
                  <w:pPr>
                    <w:autoSpaceDE w:val="0"/>
                    <w:autoSpaceDN w:val="0"/>
                    <w:adjustRightInd w:val="0"/>
                    <w:jc w:val="center"/>
                    <w:rPr>
                      <w:szCs w:val="21"/>
                    </w:rPr>
                  </w:pPr>
                  <w:r>
                    <w:rPr>
                      <w:szCs w:val="21"/>
                    </w:rPr>
                    <w:t>废气</w:t>
                  </w:r>
                </w:p>
              </w:tc>
              <w:tc>
                <w:tcPr>
                  <w:tcW w:w="5074" w:type="dxa"/>
                  <w:vAlign w:val="center"/>
                </w:tcPr>
                <w:p>
                  <w:pPr>
                    <w:numPr>
                      <w:ilvl w:val="0"/>
                      <w:numId w:val="2"/>
                      <w:numberingChange w:id="1" w:author="Windows 用户" w:date="2018-09-13T09:16:00Z" w:original=""/>
                    </w:numPr>
                    <w:tabs>
                      <w:tab w:val="left" w:pos="378"/>
                      <w:tab w:val="clear" w:pos="554"/>
                    </w:tabs>
                    <w:ind w:left="134" w:firstLine="0"/>
                    <w:rPr>
                      <w:szCs w:val="21"/>
                    </w:rPr>
                  </w:pPr>
                  <w:r>
                    <w:rPr>
                      <w:spacing w:val="-2"/>
                      <w:szCs w:val="21"/>
                      <w:lang w:val="fr-FR"/>
                    </w:rPr>
                    <w:t>主要为原料在</w:t>
                  </w:r>
                  <w:r>
                    <w:rPr>
                      <w:rFonts w:hint="eastAsia"/>
                      <w:spacing w:val="-2"/>
                      <w:szCs w:val="21"/>
                      <w:highlight w:val="none"/>
                      <w:lang w:val="fr-FR"/>
                    </w:rPr>
                    <w:t>拌面和油炸</w:t>
                  </w:r>
                  <w:r>
                    <w:rPr>
                      <w:spacing w:val="-2"/>
                      <w:szCs w:val="21"/>
                      <w:highlight w:val="none"/>
                      <w:lang w:val="fr-FR"/>
                    </w:rPr>
                    <w:t>工序产生的粉尘和</w:t>
                  </w:r>
                  <w:r>
                    <w:rPr>
                      <w:rFonts w:hint="eastAsia"/>
                      <w:spacing w:val="-2"/>
                      <w:szCs w:val="21"/>
                      <w:highlight w:val="none"/>
                      <w:lang w:val="fr-FR"/>
                    </w:rPr>
                    <w:t>油烟。拌料</w:t>
                  </w:r>
                  <w:r>
                    <w:rPr>
                      <w:spacing w:val="-2"/>
                      <w:szCs w:val="21"/>
                      <w:highlight w:val="none"/>
                      <w:lang w:val="fr-FR"/>
                    </w:rPr>
                    <w:t>粉尘</w:t>
                  </w:r>
                  <w:r>
                    <w:rPr>
                      <w:rFonts w:hint="eastAsia"/>
                      <w:spacing w:val="-2"/>
                      <w:szCs w:val="21"/>
                      <w:highlight w:val="none"/>
                      <w:lang w:val="fr-FR"/>
                    </w:rPr>
                    <w:t>经</w:t>
                  </w:r>
                  <w:r>
                    <w:rPr>
                      <w:rFonts w:hint="eastAsia"/>
                      <w:szCs w:val="21"/>
                      <w:highlight w:val="none"/>
                    </w:rPr>
                    <w:t>袋式除尘收集处理后经15m高排气筒排放；</w:t>
                  </w:r>
                  <w:r>
                    <w:rPr>
                      <w:rFonts w:hint="eastAsia"/>
                      <w:spacing w:val="-2"/>
                      <w:szCs w:val="21"/>
                      <w:highlight w:val="none"/>
                      <w:lang w:val="fr-FR"/>
                    </w:rPr>
                    <w:t>油烟经集气罩收集后由静电油烟净化装置进行处理后</w:t>
                  </w:r>
                  <w:r>
                    <w:rPr>
                      <w:rFonts w:hint="eastAsia"/>
                      <w:spacing w:val="-2"/>
                      <w:szCs w:val="21"/>
                      <w:highlight w:val="none"/>
                      <w:lang w:val="fr-FR" w:eastAsia="zh-CN"/>
                    </w:rPr>
                    <w:t>经</w:t>
                  </w:r>
                  <w:r>
                    <w:rPr>
                      <w:rFonts w:hint="eastAsia"/>
                      <w:spacing w:val="-2"/>
                      <w:szCs w:val="21"/>
                      <w:highlight w:val="none"/>
                      <w:lang w:val="en-US" w:eastAsia="zh-CN"/>
                    </w:rPr>
                    <w:t>15m高排气筒排放；</w:t>
                  </w:r>
                  <w:r>
                    <w:rPr>
                      <w:rFonts w:hint="eastAsia"/>
                      <w:highlight w:val="none"/>
                    </w:rPr>
                    <w:t>油炸燃气废气</w:t>
                  </w:r>
                  <w:r>
                    <w:rPr>
                      <w:rFonts w:hint="eastAsia"/>
                      <w:highlight w:val="none"/>
                      <w:lang w:eastAsia="zh-CN"/>
                    </w:rPr>
                    <w:t>经全封闭油炸灶</w:t>
                  </w:r>
                  <w:r>
                    <w:rPr>
                      <w:rFonts w:hint="eastAsia"/>
                      <w:highlight w:val="none"/>
                      <w:lang w:val="en-US" w:eastAsia="zh-CN"/>
                    </w:rPr>
                    <w:t>+</w:t>
                  </w:r>
                  <w:r>
                    <w:rPr>
                      <w:rFonts w:hint="eastAsia"/>
                      <w:spacing w:val="-2"/>
                      <w:szCs w:val="21"/>
                      <w:highlight w:val="none"/>
                    </w:rPr>
                    <w:t>15m高排气筒排放</w:t>
                  </w:r>
                  <w:r>
                    <w:rPr>
                      <w:szCs w:val="21"/>
                      <w:highlight w:val="none"/>
                    </w:rPr>
                    <w:t>。</w:t>
                  </w:r>
                </w:p>
              </w:tc>
              <w:tc>
                <w:tcPr>
                  <w:tcW w:w="1952" w:type="dxa"/>
                  <w:vAlign w:val="center"/>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szCs w:val="21"/>
                    </w:rPr>
                  </w:pPr>
                </w:p>
              </w:tc>
              <w:tc>
                <w:tcPr>
                  <w:tcW w:w="1370" w:type="dxa"/>
                  <w:vAlign w:val="center"/>
                </w:tcPr>
                <w:p>
                  <w:pPr>
                    <w:autoSpaceDE w:val="0"/>
                    <w:autoSpaceDN w:val="0"/>
                    <w:adjustRightInd w:val="0"/>
                    <w:jc w:val="center"/>
                    <w:rPr>
                      <w:szCs w:val="21"/>
                    </w:rPr>
                  </w:pPr>
                  <w:r>
                    <w:rPr>
                      <w:szCs w:val="21"/>
                    </w:rPr>
                    <w:t>废水</w:t>
                  </w:r>
                </w:p>
              </w:tc>
              <w:tc>
                <w:tcPr>
                  <w:tcW w:w="5074" w:type="dxa"/>
                  <w:vAlign w:val="center"/>
                </w:tcPr>
                <w:p>
                  <w:pPr>
                    <w:numPr>
                      <w:ilvl w:val="0"/>
                      <w:numId w:val="2"/>
                      <w:numberingChange w:id="2" w:author="Xzjd" w:date="2017-05-07T18:49:00Z" w:original=""/>
                    </w:numPr>
                    <w:tabs>
                      <w:tab w:val="left" w:pos="333"/>
                      <w:tab w:val="clear" w:pos="554"/>
                    </w:tabs>
                    <w:ind w:left="50" w:firstLine="92"/>
                    <w:rPr>
                      <w:szCs w:val="21"/>
                    </w:rPr>
                  </w:pPr>
                  <w:r>
                    <w:rPr>
                      <w:rFonts w:hint="eastAsia"/>
                    </w:rPr>
                    <w:t>员工生活污水</w:t>
                  </w:r>
                  <w:r>
                    <w:rPr>
                      <w:rFonts w:hAnsi="宋体"/>
                      <w:spacing w:val="-2"/>
                      <w:szCs w:val="21"/>
                    </w:rPr>
                    <w:t>经厂区化粪池处理后</w:t>
                  </w:r>
                  <w:r>
                    <w:t>，定期清运，沤制农家肥</w:t>
                  </w:r>
                  <w:r>
                    <w:rPr>
                      <w:rFonts w:hint="eastAsia"/>
                    </w:rPr>
                    <w:t>。</w:t>
                  </w:r>
                </w:p>
              </w:tc>
              <w:tc>
                <w:tcPr>
                  <w:tcW w:w="1952" w:type="dxa"/>
                  <w:vAlign w:val="center"/>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szCs w:val="21"/>
                    </w:rPr>
                  </w:pPr>
                </w:p>
              </w:tc>
              <w:tc>
                <w:tcPr>
                  <w:tcW w:w="1370" w:type="dxa"/>
                  <w:vAlign w:val="center"/>
                </w:tcPr>
                <w:p>
                  <w:pPr>
                    <w:autoSpaceDE w:val="0"/>
                    <w:autoSpaceDN w:val="0"/>
                    <w:adjustRightInd w:val="0"/>
                    <w:jc w:val="center"/>
                    <w:rPr>
                      <w:szCs w:val="21"/>
                    </w:rPr>
                  </w:pPr>
                  <w:r>
                    <w:rPr>
                      <w:szCs w:val="21"/>
                    </w:rPr>
                    <w:t>固废</w:t>
                  </w:r>
                </w:p>
              </w:tc>
              <w:tc>
                <w:tcPr>
                  <w:tcW w:w="5074" w:type="dxa"/>
                  <w:vAlign w:val="center"/>
                </w:tcPr>
                <w:p>
                  <w:pPr>
                    <w:numPr>
                      <w:ilvl w:val="0"/>
                      <w:numId w:val="2"/>
                      <w:numberingChange w:id="3" w:author="Xzjd" w:date="2017-05-07T18:49:00Z" w:original=""/>
                    </w:numPr>
                    <w:tabs>
                      <w:tab w:val="left" w:pos="50"/>
                      <w:tab w:val="clear" w:pos="554"/>
                    </w:tabs>
                    <w:ind w:left="0" w:firstLine="142"/>
                    <w:rPr>
                      <w:szCs w:val="21"/>
                    </w:rPr>
                  </w:pPr>
                  <w:r>
                    <w:rPr>
                      <w:rFonts w:hint="eastAsia"/>
                      <w:spacing w:val="-2"/>
                      <w:szCs w:val="21"/>
                      <w:lang w:val="fr-FR"/>
                    </w:rPr>
                    <w:t>废油交由</w:t>
                  </w:r>
                  <w:r>
                    <w:rPr>
                      <w:rFonts w:hint="eastAsia"/>
                      <w:spacing w:val="-2"/>
                      <w:szCs w:val="21"/>
                    </w:rPr>
                    <w:t>废油脂处置的单位集中处理</w:t>
                  </w:r>
                  <w:r>
                    <w:rPr>
                      <w:rFonts w:hint="eastAsia"/>
                      <w:spacing w:val="-2"/>
                      <w:szCs w:val="21"/>
                      <w:lang w:val="fr-FR"/>
                    </w:rPr>
                    <w:t>；废油渣外售给养殖等单位作为饲料综合利用；</w:t>
                  </w:r>
                  <w:r>
                    <w:rPr>
                      <w:rFonts w:hint="eastAsia"/>
                      <w:szCs w:val="21"/>
                    </w:rPr>
                    <w:t>生活垃圾</w:t>
                  </w:r>
                  <w:r>
                    <w:rPr>
                      <w:szCs w:val="21"/>
                    </w:rPr>
                    <w:t>交由环卫部门</w:t>
                  </w:r>
                  <w:r>
                    <w:rPr>
                      <w:rFonts w:hint="eastAsia"/>
                      <w:szCs w:val="21"/>
                    </w:rPr>
                    <w:t>统一</w:t>
                  </w:r>
                  <w:r>
                    <w:rPr>
                      <w:szCs w:val="21"/>
                    </w:rPr>
                    <w:t>处置</w:t>
                  </w:r>
                  <w:r>
                    <w:rPr>
                      <w:rFonts w:hint="eastAsia"/>
                      <w:szCs w:val="21"/>
                    </w:rPr>
                    <w:t>；</w:t>
                  </w:r>
                  <w:r>
                    <w:rPr>
                      <w:szCs w:val="21"/>
                    </w:rPr>
                    <w:t>废</w:t>
                  </w:r>
                  <w:r>
                    <w:rPr>
                      <w:rFonts w:hint="eastAsia"/>
                      <w:szCs w:val="21"/>
                    </w:rPr>
                    <w:t>旧</w:t>
                  </w:r>
                  <w:r>
                    <w:rPr>
                      <w:szCs w:val="21"/>
                    </w:rPr>
                    <w:t>包装材料收集后外售</w:t>
                  </w:r>
                  <w:r>
                    <w:rPr>
                      <w:rFonts w:hint="eastAsia"/>
                      <w:szCs w:val="21"/>
                    </w:rPr>
                    <w:t>。</w:t>
                  </w:r>
                </w:p>
              </w:tc>
              <w:tc>
                <w:tcPr>
                  <w:tcW w:w="1952" w:type="dxa"/>
                  <w:vAlign w:val="center"/>
                </w:tcPr>
                <w:p>
                  <w:pPr>
                    <w:autoSpaceDE w:val="0"/>
                    <w:autoSpaceDN w:val="0"/>
                    <w:adjustRightIn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6" w:type="dxa"/>
                  <w:vMerge w:val="continue"/>
                  <w:vAlign w:val="center"/>
                </w:tcPr>
                <w:p>
                  <w:pPr>
                    <w:autoSpaceDE w:val="0"/>
                    <w:autoSpaceDN w:val="0"/>
                    <w:adjustRightInd w:val="0"/>
                    <w:jc w:val="center"/>
                    <w:rPr>
                      <w:szCs w:val="21"/>
                    </w:rPr>
                  </w:pPr>
                </w:p>
              </w:tc>
              <w:tc>
                <w:tcPr>
                  <w:tcW w:w="1370" w:type="dxa"/>
                  <w:vAlign w:val="center"/>
                </w:tcPr>
                <w:p>
                  <w:pPr>
                    <w:autoSpaceDE w:val="0"/>
                    <w:autoSpaceDN w:val="0"/>
                    <w:adjustRightInd w:val="0"/>
                    <w:jc w:val="center"/>
                    <w:rPr>
                      <w:szCs w:val="21"/>
                    </w:rPr>
                  </w:pPr>
                  <w:r>
                    <w:rPr>
                      <w:szCs w:val="21"/>
                    </w:rPr>
                    <w:t>噪声</w:t>
                  </w:r>
                </w:p>
              </w:tc>
              <w:tc>
                <w:tcPr>
                  <w:tcW w:w="5074" w:type="dxa"/>
                  <w:vAlign w:val="center"/>
                </w:tcPr>
                <w:p>
                  <w:pPr>
                    <w:numPr>
                      <w:ilvl w:val="0"/>
                      <w:numId w:val="2"/>
                      <w:numberingChange w:id="4" w:author="Xzjd" w:date="2017-05-07T18:49:00Z" w:original=""/>
                    </w:numPr>
                    <w:tabs>
                      <w:tab w:val="left" w:pos="404"/>
                      <w:tab w:val="clear" w:pos="554"/>
                    </w:tabs>
                    <w:ind w:left="0" w:firstLine="142"/>
                    <w:rPr>
                      <w:szCs w:val="21"/>
                    </w:rPr>
                  </w:pPr>
                  <w:r>
                    <w:rPr>
                      <w:szCs w:val="21"/>
                    </w:rPr>
                    <w:t>本项目噪声主要为机械设备在运行过程中产生的噪声，</w:t>
                  </w:r>
                  <w:r>
                    <w:rPr>
                      <w:rFonts w:hint="eastAsia"/>
                      <w:szCs w:val="21"/>
                    </w:rPr>
                    <w:t>产噪</w:t>
                  </w:r>
                  <w:r>
                    <w:rPr>
                      <w:szCs w:val="21"/>
                    </w:rPr>
                    <w:t>设备采取减振、</w:t>
                  </w:r>
                  <w:r>
                    <w:rPr>
                      <w:rFonts w:hint="eastAsia"/>
                      <w:szCs w:val="21"/>
                    </w:rPr>
                    <w:t>消声、</w:t>
                  </w:r>
                  <w:r>
                    <w:rPr>
                      <w:szCs w:val="21"/>
                    </w:rPr>
                    <w:t>隔声等措施。</w:t>
                  </w:r>
                </w:p>
              </w:tc>
              <w:tc>
                <w:tcPr>
                  <w:tcW w:w="1952" w:type="dxa"/>
                  <w:vAlign w:val="center"/>
                </w:tcPr>
                <w:p>
                  <w:pPr>
                    <w:autoSpaceDE w:val="0"/>
                    <w:autoSpaceDN w:val="0"/>
                    <w:adjustRightInd w:val="0"/>
                    <w:jc w:val="center"/>
                    <w:rPr>
                      <w:szCs w:val="21"/>
                    </w:rPr>
                  </w:pPr>
                  <w:r>
                    <w:rPr>
                      <w:szCs w:val="21"/>
                    </w:rPr>
                    <w:t>--</w:t>
                  </w:r>
                </w:p>
              </w:tc>
            </w:tr>
          </w:tbl>
          <w:p>
            <w:pPr>
              <w:spacing w:line="360" w:lineRule="auto"/>
              <w:ind w:firstLine="480" w:firstLineChars="200"/>
              <w:rPr>
                <w:b/>
                <w:bCs/>
                <w:szCs w:val="21"/>
              </w:rPr>
            </w:pPr>
            <w:r>
              <w:rPr>
                <w:rFonts w:hint="eastAsia"/>
                <w:color w:val="000000"/>
                <w:sz w:val="24"/>
              </w:rPr>
              <w:t>本项目拟建</w:t>
            </w:r>
            <w:r>
              <w:rPr>
                <w:rFonts w:hint="eastAsia"/>
                <w:color w:val="000000"/>
                <w:sz w:val="24"/>
                <w:highlight w:val="none"/>
              </w:rPr>
              <w:t>设2条膨化</w:t>
            </w:r>
            <w:r>
              <w:rPr>
                <w:rFonts w:hint="eastAsia"/>
                <w:color w:val="000000"/>
                <w:sz w:val="24"/>
              </w:rPr>
              <w:t>食品生产线，位于封闭生产车间。</w:t>
            </w:r>
            <w:r>
              <w:rPr>
                <w:color w:val="000000"/>
                <w:sz w:val="24"/>
              </w:rPr>
              <w:t>经对照《产业结构调整指导目录</w:t>
            </w:r>
            <w:r>
              <w:rPr>
                <w:rFonts w:hint="eastAsia"/>
                <w:color w:val="000000"/>
                <w:sz w:val="24"/>
              </w:rPr>
              <w:t>（</w:t>
            </w:r>
            <w:r>
              <w:rPr>
                <w:color w:val="000000"/>
                <w:sz w:val="24"/>
              </w:rPr>
              <w:t>2011年本</w:t>
            </w:r>
            <w:r>
              <w:rPr>
                <w:rFonts w:hint="eastAsia"/>
                <w:color w:val="000000"/>
                <w:sz w:val="24"/>
              </w:rPr>
              <w:t>）</w:t>
            </w:r>
            <w:r>
              <w:rPr>
                <w:color w:val="000000"/>
                <w:sz w:val="24"/>
              </w:rPr>
              <w:t>》（2013年修正），</w:t>
            </w:r>
            <w:r>
              <w:rPr>
                <w:rFonts w:hint="eastAsia"/>
                <w:color w:val="000000"/>
                <w:sz w:val="24"/>
              </w:rPr>
              <w:t>本项目</w:t>
            </w:r>
            <w:r>
              <w:rPr>
                <w:color w:val="000000"/>
                <w:sz w:val="24"/>
              </w:rPr>
              <w:t>设备均不属于目录中限制类、淘汰类设备</w:t>
            </w:r>
            <w:r>
              <w:rPr>
                <w:rFonts w:hint="eastAsia"/>
                <w:color w:val="000000"/>
                <w:sz w:val="24"/>
              </w:rPr>
              <w:t xml:space="preserve">。                      </w:t>
            </w:r>
            <w:r>
              <w:rPr>
                <w:b/>
                <w:bCs/>
                <w:szCs w:val="21"/>
              </w:rPr>
              <w:t>表4  主要设备一览表</w:t>
            </w:r>
          </w:p>
          <w:tbl>
            <w:tblPr>
              <w:tblStyle w:val="28"/>
              <w:tblW w:w="90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142"/>
              <w:gridCol w:w="1528"/>
              <w:gridCol w:w="1405"/>
              <w:gridCol w:w="1643"/>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736" w:type="dxa"/>
                  <w:vMerge w:val="restart"/>
                  <w:vAlign w:val="center"/>
                </w:tcPr>
                <w:p>
                  <w:pPr>
                    <w:tabs>
                      <w:tab w:val="left" w:pos="5475"/>
                    </w:tabs>
                    <w:jc w:val="center"/>
                    <w:rPr>
                      <w:b/>
                      <w:bCs/>
                      <w:color w:val="000000"/>
                      <w:szCs w:val="21"/>
                    </w:rPr>
                  </w:pPr>
                  <w:r>
                    <w:rPr>
                      <w:b/>
                      <w:bCs/>
                      <w:color w:val="000000"/>
                      <w:szCs w:val="21"/>
                    </w:rPr>
                    <w:t>序号</w:t>
                  </w:r>
                </w:p>
              </w:tc>
              <w:tc>
                <w:tcPr>
                  <w:tcW w:w="2142" w:type="dxa"/>
                  <w:vMerge w:val="restart"/>
                  <w:vAlign w:val="center"/>
                </w:tcPr>
                <w:p>
                  <w:pPr>
                    <w:tabs>
                      <w:tab w:val="left" w:pos="5475"/>
                    </w:tabs>
                    <w:jc w:val="center"/>
                    <w:rPr>
                      <w:b/>
                      <w:bCs/>
                      <w:color w:val="000000"/>
                      <w:szCs w:val="21"/>
                    </w:rPr>
                  </w:pPr>
                  <w:r>
                    <w:rPr>
                      <w:b/>
                      <w:bCs/>
                      <w:color w:val="000000"/>
                      <w:szCs w:val="21"/>
                    </w:rPr>
                    <w:t>设备名称</w:t>
                  </w:r>
                </w:p>
              </w:tc>
              <w:tc>
                <w:tcPr>
                  <w:tcW w:w="1528" w:type="dxa"/>
                  <w:vMerge w:val="restart"/>
                  <w:vAlign w:val="center"/>
                </w:tcPr>
                <w:p>
                  <w:pPr>
                    <w:tabs>
                      <w:tab w:val="left" w:pos="5475"/>
                    </w:tabs>
                    <w:jc w:val="center"/>
                    <w:rPr>
                      <w:rFonts w:hint="eastAsia"/>
                      <w:b/>
                      <w:bCs/>
                      <w:color w:val="000000"/>
                      <w:szCs w:val="21"/>
                    </w:rPr>
                  </w:pPr>
                  <w:r>
                    <w:rPr>
                      <w:rFonts w:hint="eastAsia"/>
                      <w:b/>
                      <w:bCs/>
                      <w:color w:val="000000"/>
                      <w:szCs w:val="21"/>
                    </w:rPr>
                    <w:t>设备型号</w:t>
                  </w:r>
                </w:p>
              </w:tc>
              <w:tc>
                <w:tcPr>
                  <w:tcW w:w="4636" w:type="dxa"/>
                  <w:gridSpan w:val="3"/>
                  <w:vAlign w:val="center"/>
                </w:tcPr>
                <w:p>
                  <w:pPr>
                    <w:tabs>
                      <w:tab w:val="left" w:pos="5475"/>
                    </w:tabs>
                    <w:jc w:val="center"/>
                    <w:rPr>
                      <w:b/>
                      <w:bCs/>
                      <w:color w:val="000000"/>
                      <w:szCs w:val="21"/>
                    </w:rPr>
                  </w:pPr>
                  <w:r>
                    <w:rPr>
                      <w:b/>
                      <w:bCs/>
                      <w:color w:val="000000"/>
                      <w:szCs w:val="21"/>
                    </w:rPr>
                    <w:t>数量/台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736" w:type="dxa"/>
                  <w:vMerge w:val="continue"/>
                  <w:vAlign w:val="center"/>
                </w:tcPr>
                <w:p>
                  <w:pPr>
                    <w:tabs>
                      <w:tab w:val="left" w:pos="5475"/>
                    </w:tabs>
                    <w:jc w:val="center"/>
                    <w:rPr>
                      <w:b/>
                      <w:bCs/>
                      <w:u w:val="single"/>
                    </w:rPr>
                  </w:pPr>
                </w:p>
              </w:tc>
              <w:tc>
                <w:tcPr>
                  <w:tcW w:w="2142" w:type="dxa"/>
                  <w:vMerge w:val="continue"/>
                  <w:vAlign w:val="center"/>
                </w:tcPr>
                <w:p>
                  <w:pPr>
                    <w:tabs>
                      <w:tab w:val="left" w:pos="5475"/>
                    </w:tabs>
                    <w:jc w:val="center"/>
                    <w:rPr>
                      <w:b/>
                      <w:bCs/>
                      <w:u w:val="single"/>
                    </w:rPr>
                  </w:pPr>
                </w:p>
              </w:tc>
              <w:tc>
                <w:tcPr>
                  <w:tcW w:w="1528" w:type="dxa"/>
                  <w:vMerge w:val="continue"/>
                  <w:vAlign w:val="center"/>
                </w:tcPr>
                <w:p>
                  <w:pPr>
                    <w:tabs>
                      <w:tab w:val="left" w:pos="5475"/>
                    </w:tabs>
                    <w:jc w:val="center"/>
                    <w:rPr>
                      <w:b/>
                      <w:bCs/>
                      <w:u w:val="single"/>
                    </w:rPr>
                  </w:pPr>
                </w:p>
              </w:tc>
              <w:tc>
                <w:tcPr>
                  <w:tcW w:w="1405" w:type="dxa"/>
                  <w:vAlign w:val="center"/>
                </w:tcPr>
                <w:p>
                  <w:pPr>
                    <w:tabs>
                      <w:tab w:val="left" w:pos="5475"/>
                    </w:tabs>
                    <w:jc w:val="center"/>
                    <w:rPr>
                      <w:b/>
                      <w:bCs/>
                      <w:color w:val="000000"/>
                      <w:szCs w:val="21"/>
                    </w:rPr>
                  </w:pPr>
                  <w:r>
                    <w:rPr>
                      <w:rFonts w:hint="eastAsia"/>
                      <w:b/>
                      <w:bCs/>
                      <w:color w:val="000000"/>
                      <w:szCs w:val="21"/>
                    </w:rPr>
                    <w:t>1#生产线</w:t>
                  </w:r>
                </w:p>
              </w:tc>
              <w:tc>
                <w:tcPr>
                  <w:tcW w:w="1643" w:type="dxa"/>
                  <w:vAlign w:val="center"/>
                </w:tcPr>
                <w:p>
                  <w:pPr>
                    <w:tabs>
                      <w:tab w:val="left" w:pos="5475"/>
                    </w:tabs>
                    <w:jc w:val="center"/>
                    <w:rPr>
                      <w:rFonts w:hint="eastAsia"/>
                      <w:b/>
                      <w:bCs/>
                      <w:color w:val="000000"/>
                      <w:szCs w:val="21"/>
                    </w:rPr>
                  </w:pPr>
                  <w:r>
                    <w:rPr>
                      <w:rFonts w:hint="eastAsia"/>
                      <w:b/>
                      <w:bCs/>
                      <w:color w:val="000000"/>
                      <w:szCs w:val="21"/>
                    </w:rPr>
                    <w:t>2#生产线</w:t>
                  </w:r>
                </w:p>
              </w:tc>
              <w:tc>
                <w:tcPr>
                  <w:tcW w:w="1588" w:type="dxa"/>
                  <w:vAlign w:val="center"/>
                </w:tcPr>
                <w:p>
                  <w:pPr>
                    <w:tabs>
                      <w:tab w:val="left" w:pos="5475"/>
                    </w:tabs>
                    <w:jc w:val="center"/>
                    <w:rPr>
                      <w:rFonts w:hint="eastAsia"/>
                      <w:b/>
                      <w:bCs/>
                      <w:color w:val="000000"/>
                      <w:szCs w:val="21"/>
                    </w:rPr>
                  </w:pPr>
                  <w:r>
                    <w:rPr>
                      <w:rFonts w:hint="eastAsia"/>
                      <w:b/>
                      <w:bCs/>
                      <w:color w:val="000000"/>
                      <w:szCs w:val="21"/>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36" w:type="dxa"/>
                  <w:vAlign w:val="center"/>
                </w:tcPr>
                <w:p>
                  <w:pPr>
                    <w:adjustRightInd w:val="0"/>
                    <w:snapToGrid w:val="0"/>
                    <w:jc w:val="center"/>
                    <w:rPr>
                      <w:szCs w:val="21"/>
                    </w:rPr>
                  </w:pPr>
                  <w:r>
                    <w:rPr>
                      <w:szCs w:val="21"/>
                    </w:rPr>
                    <w:t>1</w:t>
                  </w:r>
                </w:p>
              </w:tc>
              <w:tc>
                <w:tcPr>
                  <w:tcW w:w="2142" w:type="dxa"/>
                  <w:vAlign w:val="top"/>
                </w:tcPr>
                <w:p>
                  <w:pPr>
                    <w:adjustRightInd w:val="0"/>
                    <w:snapToGrid w:val="0"/>
                    <w:jc w:val="center"/>
                    <w:rPr>
                      <w:b/>
                      <w:bCs/>
                      <w:color w:val="000000"/>
                      <w:szCs w:val="21"/>
                      <w:u w:val="single"/>
                    </w:rPr>
                  </w:pPr>
                  <w:r>
                    <w:rPr>
                      <w:szCs w:val="21"/>
                    </w:rPr>
                    <w:t>拌面机</w:t>
                  </w:r>
                </w:p>
              </w:tc>
              <w:tc>
                <w:tcPr>
                  <w:tcW w:w="1528" w:type="dxa"/>
                  <w:vAlign w:val="top"/>
                </w:tcPr>
                <w:p>
                  <w:pPr>
                    <w:adjustRightInd w:val="0"/>
                    <w:snapToGrid w:val="0"/>
                    <w:jc w:val="center"/>
                    <w:rPr>
                      <w:b/>
                      <w:bCs/>
                      <w:color w:val="000000"/>
                      <w:szCs w:val="21"/>
                      <w:u w:val="single"/>
                    </w:rPr>
                  </w:pPr>
                  <w:r>
                    <w:rPr>
                      <w:szCs w:val="21"/>
                    </w:rPr>
                    <w:t>BMJ-60</w:t>
                  </w:r>
                </w:p>
              </w:tc>
              <w:tc>
                <w:tcPr>
                  <w:tcW w:w="1405" w:type="dxa"/>
                  <w:vAlign w:val="center"/>
                </w:tcPr>
                <w:p>
                  <w:pPr>
                    <w:tabs>
                      <w:tab w:val="left" w:pos="5475"/>
                    </w:tabs>
                    <w:jc w:val="center"/>
                    <w:rPr>
                      <w:rFonts w:hint="eastAsia"/>
                      <w:color w:val="000000"/>
                      <w:szCs w:val="21"/>
                    </w:rPr>
                  </w:pPr>
                  <w:r>
                    <w:rPr>
                      <w:rFonts w:hint="eastAsia"/>
                      <w:color w:val="000000"/>
                      <w:szCs w:val="21"/>
                    </w:rPr>
                    <w:t>2</w:t>
                  </w:r>
                </w:p>
              </w:tc>
              <w:tc>
                <w:tcPr>
                  <w:tcW w:w="1643" w:type="dxa"/>
                  <w:vAlign w:val="center"/>
                </w:tcPr>
                <w:p>
                  <w:pPr>
                    <w:tabs>
                      <w:tab w:val="left" w:pos="5475"/>
                    </w:tabs>
                    <w:jc w:val="center"/>
                    <w:rPr>
                      <w:color w:val="000000"/>
                      <w:szCs w:val="21"/>
                    </w:rPr>
                  </w:pPr>
                  <w:r>
                    <w:rPr>
                      <w:color w:val="000000"/>
                      <w:szCs w:val="21"/>
                    </w:rPr>
                    <w:t>1</w:t>
                  </w:r>
                </w:p>
              </w:tc>
              <w:tc>
                <w:tcPr>
                  <w:tcW w:w="1588" w:type="dxa"/>
                  <w:vAlign w:val="top"/>
                </w:tcPr>
                <w:p>
                  <w:pPr>
                    <w:tabs>
                      <w:tab w:val="left" w:pos="5475"/>
                    </w:tabs>
                    <w:jc w:val="center"/>
                    <w:rPr>
                      <w:rFonts w:hint="eastAsia"/>
                      <w:color w:val="000000"/>
                      <w:szCs w:val="21"/>
                    </w:rPr>
                  </w:pPr>
                  <w:r>
                    <w:rPr>
                      <w:rFonts w:hint="eastAsia"/>
                      <w:color w:val="00000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36" w:type="dxa"/>
                  <w:vAlign w:val="center"/>
                </w:tcPr>
                <w:p>
                  <w:pPr>
                    <w:adjustRightInd w:val="0"/>
                    <w:snapToGrid w:val="0"/>
                    <w:jc w:val="center"/>
                    <w:rPr>
                      <w:szCs w:val="21"/>
                    </w:rPr>
                  </w:pPr>
                  <w:r>
                    <w:rPr>
                      <w:szCs w:val="21"/>
                    </w:rPr>
                    <w:t>2</w:t>
                  </w:r>
                </w:p>
              </w:tc>
              <w:tc>
                <w:tcPr>
                  <w:tcW w:w="2142" w:type="dxa"/>
                  <w:vAlign w:val="top"/>
                </w:tcPr>
                <w:p>
                  <w:pPr>
                    <w:adjustRightInd w:val="0"/>
                    <w:snapToGrid w:val="0"/>
                    <w:jc w:val="center"/>
                    <w:rPr>
                      <w:b/>
                      <w:bCs/>
                      <w:color w:val="000000"/>
                      <w:szCs w:val="21"/>
                      <w:u w:val="single"/>
                    </w:rPr>
                  </w:pPr>
                  <w:r>
                    <w:rPr>
                      <w:szCs w:val="21"/>
                    </w:rPr>
                    <w:t>挤出机</w:t>
                  </w:r>
                </w:p>
              </w:tc>
              <w:tc>
                <w:tcPr>
                  <w:tcW w:w="1528" w:type="dxa"/>
                  <w:vAlign w:val="top"/>
                </w:tcPr>
                <w:p>
                  <w:pPr>
                    <w:adjustRightInd w:val="0"/>
                    <w:snapToGrid w:val="0"/>
                    <w:jc w:val="center"/>
                    <w:rPr>
                      <w:b/>
                      <w:bCs/>
                      <w:color w:val="000000"/>
                      <w:szCs w:val="21"/>
                      <w:u w:val="single"/>
                    </w:rPr>
                  </w:pPr>
                  <w:r>
                    <w:rPr>
                      <w:szCs w:val="21"/>
                    </w:rPr>
                    <w:t>DLG-111</w:t>
                  </w:r>
                </w:p>
              </w:tc>
              <w:tc>
                <w:tcPr>
                  <w:tcW w:w="1405" w:type="dxa"/>
                  <w:vAlign w:val="center"/>
                </w:tcPr>
                <w:p>
                  <w:pPr>
                    <w:tabs>
                      <w:tab w:val="left" w:pos="5475"/>
                    </w:tabs>
                    <w:jc w:val="center"/>
                    <w:rPr>
                      <w:rFonts w:hint="eastAsia"/>
                      <w:color w:val="000000"/>
                      <w:szCs w:val="21"/>
                    </w:rPr>
                  </w:pPr>
                  <w:r>
                    <w:rPr>
                      <w:rFonts w:hint="eastAsia"/>
                      <w:color w:val="000000"/>
                      <w:szCs w:val="21"/>
                    </w:rPr>
                    <w:t>8</w:t>
                  </w:r>
                </w:p>
              </w:tc>
              <w:tc>
                <w:tcPr>
                  <w:tcW w:w="1643" w:type="dxa"/>
                  <w:vAlign w:val="center"/>
                </w:tcPr>
                <w:p>
                  <w:pPr>
                    <w:tabs>
                      <w:tab w:val="left" w:pos="5475"/>
                    </w:tabs>
                    <w:jc w:val="center"/>
                    <w:rPr>
                      <w:color w:val="000000"/>
                      <w:szCs w:val="21"/>
                    </w:rPr>
                  </w:pPr>
                  <w:r>
                    <w:rPr>
                      <w:color w:val="000000"/>
                      <w:szCs w:val="21"/>
                    </w:rPr>
                    <w:t>0</w:t>
                  </w:r>
                </w:p>
              </w:tc>
              <w:tc>
                <w:tcPr>
                  <w:tcW w:w="1588" w:type="dxa"/>
                  <w:vAlign w:val="top"/>
                </w:tcPr>
                <w:p>
                  <w:pPr>
                    <w:tabs>
                      <w:tab w:val="left" w:pos="5475"/>
                    </w:tabs>
                    <w:jc w:val="center"/>
                    <w:rPr>
                      <w:color w:val="000000"/>
                      <w:szCs w:val="21"/>
                    </w:rPr>
                  </w:pPr>
                  <w:r>
                    <w:rPr>
                      <w:color w:val="000000"/>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36" w:type="dxa"/>
                  <w:vAlign w:val="center"/>
                </w:tcPr>
                <w:p>
                  <w:pPr>
                    <w:adjustRightInd w:val="0"/>
                    <w:snapToGrid w:val="0"/>
                    <w:jc w:val="center"/>
                    <w:rPr>
                      <w:szCs w:val="21"/>
                    </w:rPr>
                  </w:pPr>
                  <w:r>
                    <w:rPr>
                      <w:szCs w:val="21"/>
                    </w:rPr>
                    <w:t>3</w:t>
                  </w:r>
                </w:p>
              </w:tc>
              <w:tc>
                <w:tcPr>
                  <w:tcW w:w="2142" w:type="dxa"/>
                  <w:vAlign w:val="top"/>
                </w:tcPr>
                <w:p>
                  <w:pPr>
                    <w:adjustRightInd w:val="0"/>
                    <w:snapToGrid w:val="0"/>
                    <w:jc w:val="center"/>
                    <w:rPr>
                      <w:b/>
                      <w:bCs/>
                      <w:color w:val="000000"/>
                      <w:szCs w:val="21"/>
                      <w:u w:val="single"/>
                    </w:rPr>
                  </w:pPr>
                  <w:r>
                    <w:rPr>
                      <w:szCs w:val="21"/>
                    </w:rPr>
                    <w:t>膨化机</w:t>
                  </w:r>
                </w:p>
              </w:tc>
              <w:tc>
                <w:tcPr>
                  <w:tcW w:w="1528" w:type="dxa"/>
                  <w:vAlign w:val="top"/>
                </w:tcPr>
                <w:p>
                  <w:pPr>
                    <w:adjustRightInd w:val="0"/>
                    <w:snapToGrid w:val="0"/>
                    <w:jc w:val="center"/>
                    <w:rPr>
                      <w:b/>
                      <w:bCs/>
                      <w:color w:val="000000"/>
                      <w:szCs w:val="21"/>
                      <w:u w:val="single"/>
                    </w:rPr>
                  </w:pPr>
                  <w:r>
                    <w:rPr>
                      <w:szCs w:val="21"/>
                    </w:rPr>
                    <w:t>SLG65-111</w:t>
                  </w:r>
                </w:p>
              </w:tc>
              <w:tc>
                <w:tcPr>
                  <w:tcW w:w="1405" w:type="dxa"/>
                  <w:vAlign w:val="center"/>
                </w:tcPr>
                <w:p>
                  <w:pPr>
                    <w:tabs>
                      <w:tab w:val="left" w:pos="5475"/>
                    </w:tabs>
                    <w:jc w:val="center"/>
                    <w:rPr>
                      <w:color w:val="000000"/>
                      <w:szCs w:val="21"/>
                    </w:rPr>
                  </w:pPr>
                  <w:r>
                    <w:rPr>
                      <w:color w:val="000000"/>
                      <w:szCs w:val="21"/>
                    </w:rPr>
                    <w:t>0</w:t>
                  </w:r>
                </w:p>
              </w:tc>
              <w:tc>
                <w:tcPr>
                  <w:tcW w:w="1643" w:type="dxa"/>
                  <w:vAlign w:val="center"/>
                </w:tcPr>
                <w:p>
                  <w:pPr>
                    <w:tabs>
                      <w:tab w:val="left" w:pos="5475"/>
                    </w:tabs>
                    <w:jc w:val="center"/>
                    <w:rPr>
                      <w:color w:val="000000"/>
                      <w:szCs w:val="21"/>
                    </w:rPr>
                  </w:pPr>
                  <w:r>
                    <w:rPr>
                      <w:color w:val="000000"/>
                      <w:szCs w:val="21"/>
                    </w:rPr>
                    <w:t>6</w:t>
                  </w:r>
                </w:p>
              </w:tc>
              <w:tc>
                <w:tcPr>
                  <w:tcW w:w="1588" w:type="dxa"/>
                  <w:vAlign w:val="top"/>
                </w:tcPr>
                <w:p>
                  <w:pPr>
                    <w:tabs>
                      <w:tab w:val="left" w:pos="5475"/>
                    </w:tabs>
                    <w:jc w:val="center"/>
                    <w:rPr>
                      <w:color w:val="000000"/>
                      <w:szCs w:val="21"/>
                    </w:rPr>
                  </w:pPr>
                  <w:r>
                    <w:rPr>
                      <w:color w:val="000000"/>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736" w:type="dxa"/>
                  <w:vAlign w:val="center"/>
                </w:tcPr>
                <w:p>
                  <w:pPr>
                    <w:adjustRightInd w:val="0"/>
                    <w:snapToGrid w:val="0"/>
                    <w:jc w:val="center"/>
                    <w:rPr>
                      <w:szCs w:val="21"/>
                    </w:rPr>
                  </w:pPr>
                  <w:r>
                    <w:rPr>
                      <w:szCs w:val="21"/>
                    </w:rPr>
                    <w:t>4</w:t>
                  </w:r>
                </w:p>
              </w:tc>
              <w:tc>
                <w:tcPr>
                  <w:tcW w:w="2142" w:type="dxa"/>
                  <w:vAlign w:val="top"/>
                </w:tcPr>
                <w:p>
                  <w:pPr>
                    <w:adjustRightInd w:val="0"/>
                    <w:snapToGrid w:val="0"/>
                    <w:jc w:val="center"/>
                    <w:rPr>
                      <w:b/>
                      <w:bCs/>
                      <w:color w:val="000000"/>
                      <w:szCs w:val="21"/>
                      <w:u w:val="single"/>
                    </w:rPr>
                  </w:pPr>
                  <w:r>
                    <w:rPr>
                      <w:rFonts w:hint="eastAsia"/>
                      <w:szCs w:val="21"/>
                      <w:highlight w:val="none"/>
                    </w:rPr>
                    <w:t>燃气</w:t>
                  </w:r>
                  <w:r>
                    <w:rPr>
                      <w:szCs w:val="21"/>
                      <w:highlight w:val="none"/>
                    </w:rPr>
                    <w:t>油炸机</w:t>
                  </w:r>
                </w:p>
              </w:tc>
              <w:tc>
                <w:tcPr>
                  <w:tcW w:w="1528" w:type="dxa"/>
                  <w:vAlign w:val="top"/>
                </w:tcPr>
                <w:p>
                  <w:pPr>
                    <w:adjustRightInd w:val="0"/>
                    <w:snapToGrid w:val="0"/>
                    <w:jc w:val="center"/>
                    <w:rPr>
                      <w:b/>
                      <w:bCs/>
                      <w:color w:val="000000"/>
                      <w:szCs w:val="21"/>
                      <w:u w:val="single"/>
                    </w:rPr>
                  </w:pPr>
                  <w:r>
                    <w:rPr>
                      <w:szCs w:val="21"/>
                    </w:rPr>
                    <w:t>180-YIG</w:t>
                  </w:r>
                </w:p>
              </w:tc>
              <w:tc>
                <w:tcPr>
                  <w:tcW w:w="1405" w:type="dxa"/>
                  <w:vAlign w:val="center"/>
                </w:tcPr>
                <w:p>
                  <w:pPr>
                    <w:tabs>
                      <w:tab w:val="left" w:pos="5475"/>
                    </w:tabs>
                    <w:jc w:val="center"/>
                    <w:rPr>
                      <w:color w:val="000000"/>
                      <w:szCs w:val="21"/>
                    </w:rPr>
                  </w:pPr>
                  <w:r>
                    <w:rPr>
                      <w:color w:val="000000"/>
                      <w:szCs w:val="21"/>
                    </w:rPr>
                    <w:t>1</w:t>
                  </w:r>
                </w:p>
              </w:tc>
              <w:tc>
                <w:tcPr>
                  <w:tcW w:w="1643" w:type="dxa"/>
                  <w:vAlign w:val="center"/>
                </w:tcPr>
                <w:p>
                  <w:pPr>
                    <w:tabs>
                      <w:tab w:val="left" w:pos="5475"/>
                    </w:tabs>
                    <w:jc w:val="center"/>
                    <w:rPr>
                      <w:color w:val="000000"/>
                      <w:szCs w:val="21"/>
                    </w:rPr>
                  </w:pPr>
                  <w:r>
                    <w:rPr>
                      <w:color w:val="000000"/>
                      <w:szCs w:val="21"/>
                    </w:rPr>
                    <w:t>1</w:t>
                  </w:r>
                </w:p>
              </w:tc>
              <w:tc>
                <w:tcPr>
                  <w:tcW w:w="1588" w:type="dxa"/>
                  <w:vAlign w:val="top"/>
                </w:tcPr>
                <w:p>
                  <w:pPr>
                    <w:tabs>
                      <w:tab w:val="left" w:pos="5475"/>
                    </w:tabs>
                    <w:jc w:val="center"/>
                    <w:rPr>
                      <w:rFonts w:hint="eastAsia"/>
                      <w:color w:val="000000"/>
                      <w:szCs w:val="21"/>
                    </w:rPr>
                  </w:pPr>
                  <w:r>
                    <w:rPr>
                      <w:rFonts w:hint="eastAsia"/>
                      <w:color w:val="00000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36" w:type="dxa"/>
                  <w:vAlign w:val="center"/>
                </w:tcPr>
                <w:p>
                  <w:pPr>
                    <w:adjustRightInd w:val="0"/>
                    <w:snapToGrid w:val="0"/>
                    <w:jc w:val="center"/>
                    <w:rPr>
                      <w:szCs w:val="21"/>
                    </w:rPr>
                  </w:pPr>
                  <w:r>
                    <w:rPr>
                      <w:szCs w:val="21"/>
                    </w:rPr>
                    <w:t>5</w:t>
                  </w:r>
                </w:p>
              </w:tc>
              <w:tc>
                <w:tcPr>
                  <w:tcW w:w="2142" w:type="dxa"/>
                  <w:vAlign w:val="top"/>
                </w:tcPr>
                <w:p>
                  <w:pPr>
                    <w:adjustRightInd w:val="0"/>
                    <w:snapToGrid w:val="0"/>
                    <w:jc w:val="center"/>
                    <w:rPr>
                      <w:b/>
                      <w:bCs/>
                      <w:color w:val="000000"/>
                      <w:szCs w:val="21"/>
                      <w:u w:val="single"/>
                    </w:rPr>
                  </w:pPr>
                  <w:r>
                    <w:rPr>
                      <w:szCs w:val="21"/>
                    </w:rPr>
                    <w:t>脱油机</w:t>
                  </w:r>
                </w:p>
              </w:tc>
              <w:tc>
                <w:tcPr>
                  <w:tcW w:w="1528" w:type="dxa"/>
                  <w:vAlign w:val="top"/>
                </w:tcPr>
                <w:p>
                  <w:pPr>
                    <w:adjustRightInd w:val="0"/>
                    <w:snapToGrid w:val="0"/>
                    <w:jc w:val="center"/>
                    <w:rPr>
                      <w:b/>
                      <w:bCs/>
                      <w:color w:val="000000"/>
                      <w:szCs w:val="21"/>
                      <w:u w:val="single"/>
                    </w:rPr>
                  </w:pPr>
                  <w:r>
                    <w:rPr>
                      <w:szCs w:val="21"/>
                    </w:rPr>
                    <w:t>TYJ-80</w:t>
                  </w:r>
                </w:p>
              </w:tc>
              <w:tc>
                <w:tcPr>
                  <w:tcW w:w="1405" w:type="dxa"/>
                  <w:vAlign w:val="center"/>
                </w:tcPr>
                <w:p>
                  <w:pPr>
                    <w:tabs>
                      <w:tab w:val="left" w:pos="5475"/>
                    </w:tabs>
                    <w:jc w:val="center"/>
                    <w:rPr>
                      <w:color w:val="000000"/>
                      <w:szCs w:val="21"/>
                    </w:rPr>
                  </w:pPr>
                  <w:r>
                    <w:rPr>
                      <w:color w:val="000000"/>
                      <w:szCs w:val="21"/>
                    </w:rPr>
                    <w:t>1</w:t>
                  </w:r>
                </w:p>
              </w:tc>
              <w:tc>
                <w:tcPr>
                  <w:tcW w:w="1643" w:type="dxa"/>
                  <w:vAlign w:val="center"/>
                </w:tcPr>
                <w:p>
                  <w:pPr>
                    <w:tabs>
                      <w:tab w:val="left" w:pos="5475"/>
                    </w:tabs>
                    <w:jc w:val="center"/>
                    <w:rPr>
                      <w:color w:val="000000"/>
                      <w:szCs w:val="21"/>
                    </w:rPr>
                  </w:pPr>
                  <w:r>
                    <w:rPr>
                      <w:color w:val="000000"/>
                      <w:szCs w:val="21"/>
                    </w:rPr>
                    <w:t>1</w:t>
                  </w:r>
                </w:p>
              </w:tc>
              <w:tc>
                <w:tcPr>
                  <w:tcW w:w="1588" w:type="dxa"/>
                  <w:vAlign w:val="top"/>
                </w:tcPr>
                <w:p>
                  <w:pPr>
                    <w:tabs>
                      <w:tab w:val="left" w:pos="5475"/>
                    </w:tabs>
                    <w:jc w:val="center"/>
                    <w:rPr>
                      <w:rFonts w:hint="eastAsia"/>
                      <w:color w:val="000000"/>
                      <w:szCs w:val="21"/>
                    </w:rPr>
                  </w:pPr>
                  <w:r>
                    <w:rPr>
                      <w:rFonts w:hint="eastAsia"/>
                      <w:color w:val="00000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36" w:type="dxa"/>
                  <w:vAlign w:val="center"/>
                </w:tcPr>
                <w:p>
                  <w:pPr>
                    <w:adjustRightInd w:val="0"/>
                    <w:snapToGrid w:val="0"/>
                    <w:jc w:val="center"/>
                    <w:rPr>
                      <w:szCs w:val="21"/>
                    </w:rPr>
                  </w:pPr>
                  <w:r>
                    <w:rPr>
                      <w:szCs w:val="21"/>
                    </w:rPr>
                    <w:t>6</w:t>
                  </w:r>
                </w:p>
              </w:tc>
              <w:tc>
                <w:tcPr>
                  <w:tcW w:w="2142" w:type="dxa"/>
                  <w:vAlign w:val="top"/>
                </w:tcPr>
                <w:p>
                  <w:pPr>
                    <w:adjustRightInd w:val="0"/>
                    <w:snapToGrid w:val="0"/>
                    <w:jc w:val="center"/>
                    <w:rPr>
                      <w:szCs w:val="21"/>
                    </w:rPr>
                  </w:pPr>
                  <w:r>
                    <w:rPr>
                      <w:szCs w:val="21"/>
                    </w:rPr>
                    <w:t>撒粉机</w:t>
                  </w:r>
                </w:p>
              </w:tc>
              <w:tc>
                <w:tcPr>
                  <w:tcW w:w="1528" w:type="dxa"/>
                  <w:vAlign w:val="top"/>
                </w:tcPr>
                <w:p>
                  <w:pPr>
                    <w:adjustRightInd w:val="0"/>
                    <w:snapToGrid w:val="0"/>
                    <w:jc w:val="center"/>
                    <w:rPr>
                      <w:rFonts w:hint="eastAsia"/>
                      <w:szCs w:val="21"/>
                    </w:rPr>
                  </w:pPr>
                  <w:r>
                    <w:rPr>
                      <w:rFonts w:hint="eastAsia"/>
                      <w:szCs w:val="21"/>
                    </w:rPr>
                    <w:t>SFJ-30</w:t>
                  </w:r>
                </w:p>
              </w:tc>
              <w:tc>
                <w:tcPr>
                  <w:tcW w:w="1405" w:type="dxa"/>
                  <w:vAlign w:val="center"/>
                </w:tcPr>
                <w:p>
                  <w:pPr>
                    <w:adjustRightInd w:val="0"/>
                    <w:snapToGrid w:val="0"/>
                    <w:jc w:val="center"/>
                    <w:rPr>
                      <w:rFonts w:hint="eastAsia"/>
                      <w:szCs w:val="21"/>
                    </w:rPr>
                  </w:pPr>
                  <w:r>
                    <w:rPr>
                      <w:rFonts w:hint="eastAsia"/>
                      <w:szCs w:val="21"/>
                    </w:rPr>
                    <w:t>1</w:t>
                  </w:r>
                </w:p>
              </w:tc>
              <w:tc>
                <w:tcPr>
                  <w:tcW w:w="1643" w:type="dxa"/>
                  <w:vAlign w:val="center"/>
                </w:tcPr>
                <w:p>
                  <w:pPr>
                    <w:adjustRightInd w:val="0"/>
                    <w:snapToGrid w:val="0"/>
                    <w:jc w:val="center"/>
                    <w:rPr>
                      <w:szCs w:val="21"/>
                    </w:rPr>
                  </w:pPr>
                  <w:r>
                    <w:rPr>
                      <w:szCs w:val="21"/>
                    </w:rPr>
                    <w:t>1</w:t>
                  </w:r>
                </w:p>
              </w:tc>
              <w:tc>
                <w:tcPr>
                  <w:tcW w:w="1588" w:type="dxa"/>
                  <w:vAlign w:val="top"/>
                </w:tcPr>
                <w:p>
                  <w:pPr>
                    <w:tabs>
                      <w:tab w:val="left" w:pos="5475"/>
                    </w:tabs>
                    <w:jc w:val="center"/>
                    <w:rPr>
                      <w:rFonts w:hint="eastAsia"/>
                      <w:color w:val="000000"/>
                      <w:szCs w:val="21"/>
                    </w:rPr>
                  </w:pPr>
                  <w:r>
                    <w:rPr>
                      <w:rFonts w:hint="eastAsia"/>
                      <w:color w:val="00000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36" w:type="dxa"/>
                  <w:vAlign w:val="center"/>
                </w:tcPr>
                <w:p>
                  <w:pPr>
                    <w:adjustRightInd w:val="0"/>
                    <w:snapToGrid w:val="0"/>
                    <w:jc w:val="center"/>
                    <w:rPr>
                      <w:rFonts w:hint="eastAsia"/>
                      <w:szCs w:val="21"/>
                    </w:rPr>
                  </w:pPr>
                  <w:r>
                    <w:rPr>
                      <w:rFonts w:hint="eastAsia"/>
                      <w:szCs w:val="21"/>
                    </w:rPr>
                    <w:t>7</w:t>
                  </w:r>
                </w:p>
              </w:tc>
              <w:tc>
                <w:tcPr>
                  <w:tcW w:w="2142" w:type="dxa"/>
                  <w:vAlign w:val="top"/>
                </w:tcPr>
                <w:p>
                  <w:pPr>
                    <w:adjustRightInd w:val="0"/>
                    <w:snapToGrid w:val="0"/>
                    <w:jc w:val="center"/>
                    <w:rPr>
                      <w:color w:val="000000"/>
                      <w:szCs w:val="21"/>
                    </w:rPr>
                  </w:pPr>
                  <w:r>
                    <w:rPr>
                      <w:rFonts w:hint="eastAsia"/>
                      <w:color w:val="000000"/>
                      <w:szCs w:val="21"/>
                    </w:rPr>
                    <w:t>压花成型机</w:t>
                  </w:r>
                </w:p>
              </w:tc>
              <w:tc>
                <w:tcPr>
                  <w:tcW w:w="1528" w:type="dxa"/>
                  <w:vAlign w:val="top"/>
                </w:tcPr>
                <w:p>
                  <w:pPr>
                    <w:adjustRightInd w:val="0"/>
                    <w:snapToGrid w:val="0"/>
                    <w:jc w:val="center"/>
                    <w:rPr>
                      <w:color w:val="000000"/>
                      <w:szCs w:val="21"/>
                    </w:rPr>
                  </w:pPr>
                  <w:r>
                    <w:rPr>
                      <w:rFonts w:hint="eastAsia"/>
                      <w:color w:val="000000"/>
                      <w:szCs w:val="21"/>
                    </w:rPr>
                    <w:t>YHJ-20</w:t>
                  </w:r>
                </w:p>
              </w:tc>
              <w:tc>
                <w:tcPr>
                  <w:tcW w:w="1405" w:type="dxa"/>
                  <w:vAlign w:val="center"/>
                </w:tcPr>
                <w:p>
                  <w:pPr>
                    <w:adjustRightInd w:val="0"/>
                    <w:snapToGrid w:val="0"/>
                    <w:jc w:val="center"/>
                    <w:rPr>
                      <w:color w:val="000000"/>
                      <w:szCs w:val="21"/>
                    </w:rPr>
                  </w:pPr>
                  <w:r>
                    <w:rPr>
                      <w:rFonts w:hint="eastAsia"/>
                      <w:color w:val="000000"/>
                      <w:szCs w:val="21"/>
                    </w:rPr>
                    <w:t>0</w:t>
                  </w:r>
                </w:p>
              </w:tc>
              <w:tc>
                <w:tcPr>
                  <w:tcW w:w="1643" w:type="dxa"/>
                  <w:vAlign w:val="center"/>
                </w:tcPr>
                <w:p>
                  <w:pPr>
                    <w:adjustRightInd w:val="0"/>
                    <w:snapToGrid w:val="0"/>
                    <w:jc w:val="center"/>
                    <w:rPr>
                      <w:color w:val="000000"/>
                      <w:szCs w:val="21"/>
                    </w:rPr>
                  </w:pPr>
                  <w:r>
                    <w:rPr>
                      <w:rFonts w:hint="eastAsia"/>
                      <w:color w:val="000000"/>
                      <w:szCs w:val="21"/>
                    </w:rPr>
                    <w:t>6</w:t>
                  </w:r>
                </w:p>
              </w:tc>
              <w:tc>
                <w:tcPr>
                  <w:tcW w:w="1588" w:type="dxa"/>
                  <w:vAlign w:val="top"/>
                </w:tcPr>
                <w:p>
                  <w:pPr>
                    <w:tabs>
                      <w:tab w:val="left" w:pos="5475"/>
                    </w:tabs>
                    <w:jc w:val="center"/>
                    <w:rPr>
                      <w:color w:val="000000"/>
                      <w:szCs w:val="21"/>
                    </w:rPr>
                  </w:pPr>
                  <w:r>
                    <w:rPr>
                      <w:rFonts w:hint="eastAsia"/>
                      <w:color w:val="000000"/>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36" w:type="dxa"/>
                  <w:vAlign w:val="center"/>
                </w:tcPr>
                <w:p>
                  <w:pPr>
                    <w:adjustRightInd w:val="0"/>
                    <w:snapToGrid w:val="0"/>
                    <w:jc w:val="center"/>
                    <w:rPr>
                      <w:szCs w:val="21"/>
                    </w:rPr>
                  </w:pPr>
                  <w:r>
                    <w:rPr>
                      <w:rFonts w:hint="eastAsia"/>
                      <w:szCs w:val="21"/>
                    </w:rPr>
                    <w:t>8</w:t>
                  </w:r>
                </w:p>
              </w:tc>
              <w:tc>
                <w:tcPr>
                  <w:tcW w:w="2142" w:type="dxa"/>
                  <w:vAlign w:val="top"/>
                </w:tcPr>
                <w:p>
                  <w:pPr>
                    <w:adjustRightInd w:val="0"/>
                    <w:snapToGrid w:val="0"/>
                    <w:jc w:val="center"/>
                    <w:rPr>
                      <w:color w:val="000000"/>
                      <w:szCs w:val="21"/>
                    </w:rPr>
                  </w:pPr>
                  <w:r>
                    <w:rPr>
                      <w:rFonts w:hint="eastAsia"/>
                      <w:color w:val="000000"/>
                      <w:szCs w:val="21"/>
                    </w:rPr>
                    <w:t>切断成型机</w:t>
                  </w:r>
                </w:p>
              </w:tc>
              <w:tc>
                <w:tcPr>
                  <w:tcW w:w="1528" w:type="dxa"/>
                  <w:vAlign w:val="top"/>
                </w:tcPr>
                <w:p>
                  <w:pPr>
                    <w:adjustRightInd w:val="0"/>
                    <w:snapToGrid w:val="0"/>
                    <w:jc w:val="center"/>
                    <w:rPr>
                      <w:color w:val="000000"/>
                      <w:szCs w:val="21"/>
                    </w:rPr>
                  </w:pPr>
                  <w:r>
                    <w:rPr>
                      <w:rFonts w:hint="eastAsia"/>
                      <w:color w:val="000000"/>
                      <w:szCs w:val="21"/>
                    </w:rPr>
                    <w:t>QDJ-20</w:t>
                  </w:r>
                </w:p>
              </w:tc>
              <w:tc>
                <w:tcPr>
                  <w:tcW w:w="1405" w:type="dxa"/>
                  <w:vAlign w:val="center"/>
                </w:tcPr>
                <w:p>
                  <w:pPr>
                    <w:adjustRightInd w:val="0"/>
                    <w:snapToGrid w:val="0"/>
                    <w:jc w:val="center"/>
                    <w:rPr>
                      <w:color w:val="000000"/>
                      <w:szCs w:val="21"/>
                    </w:rPr>
                  </w:pPr>
                  <w:r>
                    <w:rPr>
                      <w:rFonts w:hint="eastAsia"/>
                      <w:color w:val="000000"/>
                      <w:szCs w:val="21"/>
                    </w:rPr>
                    <w:t>0</w:t>
                  </w:r>
                </w:p>
              </w:tc>
              <w:tc>
                <w:tcPr>
                  <w:tcW w:w="1643" w:type="dxa"/>
                  <w:vAlign w:val="center"/>
                </w:tcPr>
                <w:p>
                  <w:pPr>
                    <w:adjustRightInd w:val="0"/>
                    <w:snapToGrid w:val="0"/>
                    <w:jc w:val="center"/>
                    <w:rPr>
                      <w:color w:val="000000"/>
                      <w:szCs w:val="21"/>
                    </w:rPr>
                  </w:pPr>
                  <w:r>
                    <w:rPr>
                      <w:rFonts w:hint="eastAsia"/>
                      <w:color w:val="000000"/>
                      <w:szCs w:val="21"/>
                    </w:rPr>
                    <w:t>6</w:t>
                  </w:r>
                </w:p>
              </w:tc>
              <w:tc>
                <w:tcPr>
                  <w:tcW w:w="1588" w:type="dxa"/>
                  <w:vAlign w:val="top"/>
                </w:tcPr>
                <w:p>
                  <w:pPr>
                    <w:tabs>
                      <w:tab w:val="left" w:pos="5475"/>
                    </w:tabs>
                    <w:jc w:val="center"/>
                    <w:rPr>
                      <w:color w:val="000000"/>
                      <w:szCs w:val="21"/>
                    </w:rPr>
                  </w:pPr>
                  <w:r>
                    <w:rPr>
                      <w:rFonts w:hint="eastAsia"/>
                      <w:color w:val="000000"/>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36" w:type="dxa"/>
                  <w:vAlign w:val="center"/>
                </w:tcPr>
                <w:p>
                  <w:pPr>
                    <w:adjustRightInd w:val="0"/>
                    <w:snapToGrid w:val="0"/>
                    <w:jc w:val="center"/>
                    <w:rPr>
                      <w:szCs w:val="21"/>
                    </w:rPr>
                  </w:pPr>
                  <w:r>
                    <w:rPr>
                      <w:rFonts w:hint="eastAsia"/>
                      <w:szCs w:val="21"/>
                    </w:rPr>
                    <w:t>9</w:t>
                  </w:r>
                </w:p>
              </w:tc>
              <w:tc>
                <w:tcPr>
                  <w:tcW w:w="2142" w:type="dxa"/>
                  <w:vAlign w:val="top"/>
                </w:tcPr>
                <w:p>
                  <w:pPr>
                    <w:adjustRightInd w:val="0"/>
                    <w:snapToGrid w:val="0"/>
                    <w:jc w:val="center"/>
                    <w:rPr>
                      <w:szCs w:val="21"/>
                    </w:rPr>
                  </w:pPr>
                  <w:r>
                    <w:rPr>
                      <w:szCs w:val="21"/>
                    </w:rPr>
                    <w:t>拌料机</w:t>
                  </w:r>
                </w:p>
              </w:tc>
              <w:tc>
                <w:tcPr>
                  <w:tcW w:w="1528" w:type="dxa"/>
                  <w:vAlign w:val="top"/>
                </w:tcPr>
                <w:p>
                  <w:pPr>
                    <w:adjustRightInd w:val="0"/>
                    <w:snapToGrid w:val="0"/>
                    <w:jc w:val="center"/>
                    <w:rPr>
                      <w:szCs w:val="21"/>
                    </w:rPr>
                  </w:pPr>
                  <w:r>
                    <w:rPr>
                      <w:szCs w:val="21"/>
                    </w:rPr>
                    <w:t>BLJ-80</w:t>
                  </w:r>
                </w:p>
              </w:tc>
              <w:tc>
                <w:tcPr>
                  <w:tcW w:w="1405" w:type="dxa"/>
                  <w:vAlign w:val="center"/>
                </w:tcPr>
                <w:p>
                  <w:pPr>
                    <w:adjustRightInd w:val="0"/>
                    <w:snapToGrid w:val="0"/>
                    <w:jc w:val="center"/>
                    <w:rPr>
                      <w:rFonts w:hint="eastAsia"/>
                      <w:szCs w:val="21"/>
                    </w:rPr>
                  </w:pPr>
                  <w:r>
                    <w:rPr>
                      <w:rFonts w:hint="eastAsia"/>
                      <w:szCs w:val="21"/>
                    </w:rPr>
                    <w:t>1</w:t>
                  </w:r>
                </w:p>
              </w:tc>
              <w:tc>
                <w:tcPr>
                  <w:tcW w:w="1643" w:type="dxa"/>
                  <w:vAlign w:val="center"/>
                </w:tcPr>
                <w:p>
                  <w:pPr>
                    <w:adjustRightInd w:val="0"/>
                    <w:snapToGrid w:val="0"/>
                    <w:jc w:val="center"/>
                    <w:rPr>
                      <w:szCs w:val="21"/>
                    </w:rPr>
                  </w:pPr>
                  <w:r>
                    <w:rPr>
                      <w:szCs w:val="21"/>
                    </w:rPr>
                    <w:t>1</w:t>
                  </w:r>
                </w:p>
              </w:tc>
              <w:tc>
                <w:tcPr>
                  <w:tcW w:w="1588" w:type="dxa"/>
                  <w:vAlign w:val="top"/>
                </w:tcPr>
                <w:p>
                  <w:pPr>
                    <w:tabs>
                      <w:tab w:val="left" w:pos="5475"/>
                    </w:tabs>
                    <w:jc w:val="center"/>
                    <w:rPr>
                      <w:rFonts w:hint="eastAsia"/>
                      <w:color w:val="000000"/>
                      <w:szCs w:val="21"/>
                    </w:rPr>
                  </w:pPr>
                  <w:r>
                    <w:rPr>
                      <w:rFonts w:hint="eastAsia"/>
                      <w:color w:val="00000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36" w:type="dxa"/>
                  <w:vAlign w:val="center"/>
                </w:tcPr>
                <w:p>
                  <w:pPr>
                    <w:tabs>
                      <w:tab w:val="left" w:pos="5475"/>
                    </w:tabs>
                    <w:jc w:val="center"/>
                    <w:rPr>
                      <w:b/>
                      <w:bCs/>
                      <w:color w:val="000000"/>
                      <w:szCs w:val="21"/>
                      <w:u w:val="single"/>
                    </w:rPr>
                  </w:pPr>
                  <w:r>
                    <w:rPr>
                      <w:rFonts w:hint="eastAsia"/>
                      <w:szCs w:val="21"/>
                    </w:rPr>
                    <w:t>10</w:t>
                  </w:r>
                </w:p>
              </w:tc>
              <w:tc>
                <w:tcPr>
                  <w:tcW w:w="2142" w:type="dxa"/>
                  <w:vAlign w:val="top"/>
                </w:tcPr>
                <w:p>
                  <w:pPr>
                    <w:adjustRightInd w:val="0"/>
                    <w:snapToGrid w:val="0"/>
                    <w:jc w:val="center"/>
                    <w:rPr>
                      <w:szCs w:val="21"/>
                    </w:rPr>
                  </w:pPr>
                  <w:r>
                    <w:rPr>
                      <w:szCs w:val="21"/>
                    </w:rPr>
                    <w:t>全自动包装机</w:t>
                  </w:r>
                </w:p>
              </w:tc>
              <w:tc>
                <w:tcPr>
                  <w:tcW w:w="1528" w:type="dxa"/>
                  <w:vAlign w:val="top"/>
                </w:tcPr>
                <w:p>
                  <w:pPr>
                    <w:adjustRightInd w:val="0"/>
                    <w:snapToGrid w:val="0"/>
                    <w:ind w:firstLine="210" w:firstLineChars="100"/>
                    <w:jc w:val="left"/>
                    <w:rPr>
                      <w:szCs w:val="21"/>
                    </w:rPr>
                  </w:pPr>
                  <w:r>
                    <w:rPr>
                      <w:szCs w:val="21"/>
                    </w:rPr>
                    <w:t>GD8-200</w:t>
                  </w:r>
                </w:p>
              </w:tc>
              <w:tc>
                <w:tcPr>
                  <w:tcW w:w="1405" w:type="dxa"/>
                  <w:vAlign w:val="center"/>
                </w:tcPr>
                <w:p>
                  <w:pPr>
                    <w:tabs>
                      <w:tab w:val="left" w:pos="5475"/>
                    </w:tabs>
                    <w:jc w:val="center"/>
                    <w:rPr>
                      <w:rFonts w:hint="eastAsia"/>
                      <w:color w:val="000000"/>
                      <w:szCs w:val="21"/>
                    </w:rPr>
                  </w:pPr>
                  <w:r>
                    <w:rPr>
                      <w:rFonts w:hint="eastAsia"/>
                      <w:color w:val="000000"/>
                      <w:szCs w:val="21"/>
                    </w:rPr>
                    <w:t>10</w:t>
                  </w:r>
                </w:p>
              </w:tc>
              <w:tc>
                <w:tcPr>
                  <w:tcW w:w="1643" w:type="dxa"/>
                  <w:vAlign w:val="center"/>
                </w:tcPr>
                <w:p>
                  <w:pPr>
                    <w:tabs>
                      <w:tab w:val="left" w:pos="5475"/>
                    </w:tabs>
                    <w:jc w:val="center"/>
                    <w:rPr>
                      <w:color w:val="000000"/>
                      <w:szCs w:val="21"/>
                    </w:rPr>
                  </w:pPr>
                  <w:r>
                    <w:rPr>
                      <w:color w:val="000000"/>
                      <w:szCs w:val="21"/>
                    </w:rPr>
                    <w:t>5</w:t>
                  </w:r>
                </w:p>
              </w:tc>
              <w:tc>
                <w:tcPr>
                  <w:tcW w:w="1588" w:type="dxa"/>
                  <w:vAlign w:val="top"/>
                </w:tcPr>
                <w:p>
                  <w:pPr>
                    <w:tabs>
                      <w:tab w:val="left" w:pos="5475"/>
                    </w:tabs>
                    <w:ind w:firstLine="420" w:firstLineChars="200"/>
                    <w:rPr>
                      <w:color w:val="000000"/>
                      <w:szCs w:val="21"/>
                    </w:rPr>
                  </w:pPr>
                  <w:r>
                    <w:rPr>
                      <w:color w:val="00000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36" w:type="dxa"/>
                  <w:vAlign w:val="center"/>
                </w:tcPr>
                <w:p>
                  <w:pPr>
                    <w:tabs>
                      <w:tab w:val="left" w:pos="5475"/>
                    </w:tabs>
                    <w:jc w:val="center"/>
                    <w:rPr>
                      <w:rFonts w:hint="eastAsia"/>
                      <w:szCs w:val="21"/>
                    </w:rPr>
                  </w:pPr>
                  <w:r>
                    <w:rPr>
                      <w:rFonts w:hint="eastAsia"/>
                      <w:szCs w:val="21"/>
                    </w:rPr>
                    <w:t>11</w:t>
                  </w:r>
                </w:p>
              </w:tc>
              <w:tc>
                <w:tcPr>
                  <w:tcW w:w="2142" w:type="dxa"/>
                  <w:vAlign w:val="top"/>
                </w:tcPr>
                <w:p>
                  <w:pPr>
                    <w:adjustRightInd w:val="0"/>
                    <w:snapToGrid w:val="0"/>
                    <w:jc w:val="center"/>
                    <w:rPr>
                      <w:rFonts w:hint="eastAsia"/>
                      <w:szCs w:val="21"/>
                    </w:rPr>
                  </w:pPr>
                  <w:r>
                    <w:rPr>
                      <w:rFonts w:hint="eastAsia"/>
                      <w:szCs w:val="21"/>
                    </w:rPr>
                    <w:t>臭氧消毒器</w:t>
                  </w:r>
                </w:p>
              </w:tc>
              <w:tc>
                <w:tcPr>
                  <w:tcW w:w="1528" w:type="dxa"/>
                  <w:vAlign w:val="top"/>
                </w:tcPr>
                <w:p>
                  <w:pPr>
                    <w:adjustRightInd w:val="0"/>
                    <w:snapToGrid w:val="0"/>
                    <w:ind w:firstLine="210" w:firstLineChars="100"/>
                    <w:jc w:val="left"/>
                    <w:rPr>
                      <w:rFonts w:hint="eastAsia"/>
                      <w:szCs w:val="21"/>
                    </w:rPr>
                  </w:pPr>
                  <w:r>
                    <w:rPr>
                      <w:rFonts w:hint="eastAsia"/>
                      <w:szCs w:val="21"/>
                    </w:rPr>
                    <w:t>/</w:t>
                  </w:r>
                </w:p>
              </w:tc>
              <w:tc>
                <w:tcPr>
                  <w:tcW w:w="1405" w:type="dxa"/>
                  <w:vAlign w:val="center"/>
                </w:tcPr>
                <w:p>
                  <w:pPr>
                    <w:tabs>
                      <w:tab w:val="left" w:pos="5475"/>
                    </w:tabs>
                    <w:jc w:val="center"/>
                    <w:rPr>
                      <w:rFonts w:hint="eastAsia"/>
                      <w:color w:val="000000"/>
                      <w:szCs w:val="21"/>
                    </w:rPr>
                  </w:pPr>
                  <w:r>
                    <w:rPr>
                      <w:rFonts w:hint="eastAsia"/>
                      <w:color w:val="000000"/>
                      <w:szCs w:val="21"/>
                    </w:rPr>
                    <w:t>1</w:t>
                  </w:r>
                </w:p>
              </w:tc>
              <w:tc>
                <w:tcPr>
                  <w:tcW w:w="1643" w:type="dxa"/>
                  <w:vAlign w:val="center"/>
                </w:tcPr>
                <w:p>
                  <w:pPr>
                    <w:tabs>
                      <w:tab w:val="left" w:pos="5475"/>
                    </w:tabs>
                    <w:jc w:val="center"/>
                    <w:rPr>
                      <w:rFonts w:hint="eastAsia"/>
                      <w:color w:val="000000"/>
                      <w:szCs w:val="21"/>
                    </w:rPr>
                  </w:pPr>
                  <w:r>
                    <w:rPr>
                      <w:rFonts w:hint="eastAsia"/>
                      <w:color w:val="000000"/>
                      <w:szCs w:val="21"/>
                    </w:rPr>
                    <w:t>1</w:t>
                  </w:r>
                </w:p>
              </w:tc>
              <w:tc>
                <w:tcPr>
                  <w:tcW w:w="1588" w:type="dxa"/>
                  <w:vAlign w:val="top"/>
                </w:tcPr>
                <w:p>
                  <w:pPr>
                    <w:tabs>
                      <w:tab w:val="left" w:pos="5475"/>
                    </w:tabs>
                    <w:ind w:firstLine="420" w:firstLineChars="200"/>
                    <w:rPr>
                      <w:rFonts w:hint="eastAsia"/>
                      <w:color w:val="000000"/>
                      <w:szCs w:val="21"/>
                    </w:rPr>
                  </w:pPr>
                  <w:r>
                    <w:rPr>
                      <w:rFonts w:hint="eastAsia"/>
                      <w:color w:val="000000"/>
                      <w:szCs w:val="21"/>
                    </w:rPr>
                    <w:t>2</w:t>
                  </w:r>
                </w:p>
              </w:tc>
            </w:tr>
          </w:tbl>
          <w:p>
            <w:pPr>
              <w:ind w:firstLine="420" w:firstLineChars="200"/>
              <w:rPr>
                <w:rFonts w:hint="eastAsia"/>
                <w:szCs w:val="21"/>
                <w:highlight w:val="none"/>
              </w:rPr>
            </w:pPr>
            <w:r>
              <w:rPr>
                <w:rFonts w:hint="eastAsia"/>
                <w:szCs w:val="21"/>
                <w:highlight w:val="none"/>
              </w:rPr>
              <w:t>注：</w:t>
            </w:r>
            <w:r>
              <w:rPr>
                <w:rFonts w:hint="eastAsia"/>
                <w:szCs w:val="21"/>
                <w:highlight w:val="none"/>
              </w:rPr>
              <w:fldChar w:fldCharType="begin"/>
            </w:r>
            <w:r>
              <w:rPr>
                <w:rFonts w:hint="eastAsia"/>
                <w:szCs w:val="21"/>
                <w:highlight w:val="none"/>
              </w:rPr>
              <w:instrText xml:space="preserve"> = 1 \* GB3 \* MERGEFORMAT </w:instrText>
            </w:r>
            <w:r>
              <w:rPr>
                <w:rFonts w:hint="eastAsia"/>
                <w:szCs w:val="21"/>
                <w:highlight w:val="none"/>
              </w:rPr>
              <w:fldChar w:fldCharType="separate"/>
            </w:r>
            <w:r>
              <w:rPr>
                <w:highlight w:val="none"/>
              </w:rPr>
              <w:t>①</w:t>
            </w:r>
            <w:r>
              <w:rPr>
                <w:rFonts w:hint="eastAsia"/>
                <w:szCs w:val="21"/>
                <w:highlight w:val="none"/>
              </w:rPr>
              <w:fldChar w:fldCharType="end"/>
            </w:r>
            <w:r>
              <w:rPr>
                <w:rFonts w:hint="eastAsia"/>
                <w:szCs w:val="21"/>
                <w:highlight w:val="none"/>
              </w:rPr>
              <w:t>本项目无化验设备，委托第三方公司化验产品。</w:t>
            </w:r>
          </w:p>
          <w:p>
            <w:pPr>
              <w:pStyle w:val="17"/>
              <w:ind w:firstLineChars="200"/>
              <w:rPr>
                <w:rFonts w:hint="eastAsia"/>
                <w:szCs w:val="21"/>
                <w:highlight w:val="none"/>
              </w:rPr>
            </w:pPr>
            <w:r>
              <w:rPr>
                <w:sz w:val="21"/>
                <w:szCs w:val="21"/>
                <w:highlight w:val="none"/>
              </w:rPr>
              <w:fldChar w:fldCharType="begin"/>
            </w:r>
            <w:r>
              <w:rPr>
                <w:sz w:val="21"/>
                <w:szCs w:val="21"/>
                <w:highlight w:val="none"/>
              </w:rPr>
              <w:instrText xml:space="preserve"> = 2 \* GB3 \* MERGEFORMAT </w:instrText>
            </w:r>
            <w:r>
              <w:rPr>
                <w:sz w:val="21"/>
                <w:szCs w:val="21"/>
                <w:highlight w:val="none"/>
              </w:rPr>
              <w:fldChar w:fldCharType="separate"/>
            </w:r>
            <w:r>
              <w:rPr>
                <w:sz w:val="21"/>
                <w:szCs w:val="21"/>
                <w:highlight w:val="none"/>
              </w:rPr>
              <w:t>②</w:t>
            </w:r>
            <w:r>
              <w:rPr>
                <w:sz w:val="21"/>
                <w:szCs w:val="21"/>
                <w:highlight w:val="none"/>
              </w:rPr>
              <w:fldChar w:fldCharType="end"/>
            </w:r>
            <w:r>
              <w:rPr>
                <w:sz w:val="21"/>
                <w:szCs w:val="21"/>
                <w:highlight w:val="none"/>
              </w:rPr>
              <w:t>臭氧消毒器：臭氧消毒器是运用放电法，以空气为原料，运用先进的控制系统制备一定量的臭氧</w:t>
            </w:r>
            <w:r>
              <w:rPr>
                <w:rFonts w:hint="eastAsia"/>
                <w:sz w:val="21"/>
                <w:szCs w:val="21"/>
                <w:highlight w:val="none"/>
              </w:rPr>
              <w:t>，</w:t>
            </w:r>
            <w:r>
              <w:rPr>
                <w:sz w:val="21"/>
                <w:szCs w:val="21"/>
                <w:highlight w:val="none"/>
              </w:rPr>
              <w:t>在相对密封的环境下，呈现弥漫性循环气体，且扩散均匀，通透性好，克服了紫外线消毒留有死角的问题，能达到全方位、快速、高效的杀菌目的，同时臭氧的杀菌谱广，既可以杀灭细菌繁殖体、病毒、芽孢、真菌和原虫孢体等多种微生物，同时又具有较强的除霉、除臭的功能。</w:t>
            </w:r>
          </w:p>
          <w:p>
            <w:pPr>
              <w:ind w:firstLine="482" w:firstLineChars="200"/>
              <w:rPr>
                <w:b/>
                <w:bCs/>
                <w:sz w:val="24"/>
              </w:rPr>
            </w:pPr>
            <w:r>
              <w:rPr>
                <w:b/>
                <w:bCs/>
                <w:sz w:val="24"/>
              </w:rPr>
              <w:t>3.2 主要原辅材料及能源消耗</w:t>
            </w:r>
          </w:p>
          <w:p>
            <w:pPr>
              <w:spacing w:line="360" w:lineRule="auto"/>
              <w:ind w:firstLine="480" w:firstLineChars="200"/>
              <w:rPr>
                <w:sz w:val="24"/>
              </w:rPr>
            </w:pPr>
            <w:r>
              <w:rPr>
                <w:sz w:val="24"/>
              </w:rPr>
              <w:t>主要原辅材料用量及能源消耗情况见表5。</w:t>
            </w:r>
          </w:p>
          <w:p>
            <w:pPr>
              <w:spacing w:line="360" w:lineRule="auto"/>
              <w:ind w:firstLine="422" w:firstLineChars="200"/>
              <w:jc w:val="center"/>
              <w:rPr>
                <w:b/>
                <w:bCs/>
                <w:szCs w:val="21"/>
              </w:rPr>
            </w:pPr>
            <w:r>
              <w:rPr>
                <w:b/>
                <w:bCs/>
                <w:szCs w:val="21"/>
              </w:rPr>
              <w:t>表5  主要原辅材料用量及能源消耗一览表</w:t>
            </w:r>
          </w:p>
          <w:tbl>
            <w:tblPr>
              <w:tblStyle w:val="28"/>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200"/>
              <w:gridCol w:w="1541"/>
              <w:gridCol w:w="4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741" w:type="dxa"/>
                  <w:vAlign w:val="center"/>
                </w:tcPr>
                <w:p>
                  <w:pPr>
                    <w:adjustRightInd w:val="0"/>
                    <w:snapToGrid w:val="0"/>
                    <w:jc w:val="center"/>
                    <w:rPr>
                      <w:b/>
                      <w:bCs/>
                      <w:szCs w:val="21"/>
                    </w:rPr>
                  </w:pPr>
                  <w:r>
                    <w:rPr>
                      <w:b/>
                      <w:bCs/>
                      <w:szCs w:val="21"/>
                    </w:rPr>
                    <w:t>原材料</w:t>
                  </w:r>
                </w:p>
              </w:tc>
              <w:tc>
                <w:tcPr>
                  <w:tcW w:w="1200" w:type="dxa"/>
                  <w:vAlign w:val="center"/>
                </w:tcPr>
                <w:p>
                  <w:pPr>
                    <w:adjustRightInd w:val="0"/>
                    <w:snapToGrid w:val="0"/>
                    <w:jc w:val="center"/>
                    <w:rPr>
                      <w:b/>
                      <w:bCs/>
                      <w:szCs w:val="21"/>
                    </w:rPr>
                  </w:pPr>
                  <w:r>
                    <w:rPr>
                      <w:b/>
                      <w:bCs/>
                      <w:szCs w:val="21"/>
                    </w:rPr>
                    <w:t>单位</w:t>
                  </w:r>
                </w:p>
              </w:tc>
              <w:tc>
                <w:tcPr>
                  <w:tcW w:w="1541" w:type="dxa"/>
                  <w:vAlign w:val="center"/>
                </w:tcPr>
                <w:p>
                  <w:pPr>
                    <w:adjustRightInd w:val="0"/>
                    <w:snapToGrid w:val="0"/>
                    <w:jc w:val="center"/>
                    <w:rPr>
                      <w:b/>
                      <w:bCs/>
                      <w:szCs w:val="21"/>
                    </w:rPr>
                  </w:pPr>
                  <w:r>
                    <w:rPr>
                      <w:b/>
                      <w:bCs/>
                      <w:szCs w:val="21"/>
                    </w:rPr>
                    <w:t>年用量</w:t>
                  </w:r>
                </w:p>
              </w:tc>
              <w:tc>
                <w:tcPr>
                  <w:tcW w:w="4580" w:type="dxa"/>
                  <w:vAlign w:val="top"/>
                </w:tcPr>
                <w:p>
                  <w:pPr>
                    <w:adjustRightInd w:val="0"/>
                    <w:snapToGrid w:val="0"/>
                    <w:jc w:val="center"/>
                    <w:rPr>
                      <w:b/>
                      <w:bCs/>
                      <w:szCs w:val="21"/>
                    </w:rPr>
                  </w:pPr>
                  <w:r>
                    <w:rPr>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741" w:type="dxa"/>
                  <w:vAlign w:val="center"/>
                </w:tcPr>
                <w:p>
                  <w:pPr>
                    <w:adjustRightInd w:val="0"/>
                    <w:snapToGrid w:val="0"/>
                    <w:jc w:val="center"/>
                    <w:rPr>
                      <w:szCs w:val="21"/>
                    </w:rPr>
                  </w:pPr>
                  <w:r>
                    <w:rPr>
                      <w:szCs w:val="21"/>
                    </w:rPr>
                    <w:t>面粉</w:t>
                  </w:r>
                </w:p>
              </w:tc>
              <w:tc>
                <w:tcPr>
                  <w:tcW w:w="1200" w:type="dxa"/>
                  <w:vAlign w:val="center"/>
                </w:tcPr>
                <w:p>
                  <w:pPr>
                    <w:adjustRightInd w:val="0"/>
                    <w:snapToGrid w:val="0"/>
                    <w:jc w:val="center"/>
                    <w:rPr>
                      <w:szCs w:val="21"/>
                    </w:rPr>
                  </w:pPr>
                  <w:r>
                    <w:rPr>
                      <w:szCs w:val="21"/>
                    </w:rPr>
                    <w:t>吨</w:t>
                  </w:r>
                </w:p>
              </w:tc>
              <w:tc>
                <w:tcPr>
                  <w:tcW w:w="1541" w:type="dxa"/>
                  <w:vAlign w:val="center"/>
                </w:tcPr>
                <w:p>
                  <w:pPr>
                    <w:adjustRightInd w:val="0"/>
                    <w:snapToGrid w:val="0"/>
                    <w:jc w:val="center"/>
                    <w:rPr>
                      <w:szCs w:val="21"/>
                    </w:rPr>
                  </w:pPr>
                  <w:r>
                    <w:rPr>
                      <w:szCs w:val="21"/>
                    </w:rPr>
                    <w:t>2000</w:t>
                  </w:r>
                </w:p>
              </w:tc>
              <w:tc>
                <w:tcPr>
                  <w:tcW w:w="4580" w:type="dxa"/>
                  <w:vAlign w:val="center"/>
                </w:tcPr>
                <w:p>
                  <w:pPr>
                    <w:jc w:val="center"/>
                    <w:rPr>
                      <w:szCs w:val="21"/>
                    </w:rPr>
                  </w:pPr>
                  <w:r>
                    <w:rPr>
                      <w:color w:val="000000"/>
                      <w:szCs w:val="21"/>
                    </w:rPr>
                    <w:t>粉状，袋装，储存于原材料库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741" w:type="dxa"/>
                  <w:vAlign w:val="center"/>
                </w:tcPr>
                <w:p>
                  <w:pPr>
                    <w:adjustRightInd w:val="0"/>
                    <w:snapToGrid w:val="0"/>
                    <w:jc w:val="center"/>
                    <w:rPr>
                      <w:szCs w:val="21"/>
                    </w:rPr>
                  </w:pPr>
                  <w:r>
                    <w:rPr>
                      <w:szCs w:val="21"/>
                    </w:rPr>
                    <w:t>玉米淀粉</w:t>
                  </w:r>
                </w:p>
              </w:tc>
              <w:tc>
                <w:tcPr>
                  <w:tcW w:w="1200" w:type="dxa"/>
                  <w:vAlign w:val="center"/>
                </w:tcPr>
                <w:p>
                  <w:pPr>
                    <w:adjustRightInd w:val="0"/>
                    <w:snapToGrid w:val="0"/>
                    <w:jc w:val="center"/>
                    <w:rPr>
                      <w:szCs w:val="21"/>
                    </w:rPr>
                  </w:pPr>
                  <w:r>
                    <w:rPr>
                      <w:szCs w:val="21"/>
                    </w:rPr>
                    <w:t>吨</w:t>
                  </w:r>
                </w:p>
              </w:tc>
              <w:tc>
                <w:tcPr>
                  <w:tcW w:w="1541" w:type="dxa"/>
                  <w:vAlign w:val="center"/>
                </w:tcPr>
                <w:p>
                  <w:pPr>
                    <w:adjustRightInd w:val="0"/>
                    <w:snapToGrid w:val="0"/>
                    <w:jc w:val="center"/>
                    <w:rPr>
                      <w:szCs w:val="21"/>
                    </w:rPr>
                  </w:pPr>
                  <w:r>
                    <w:rPr>
                      <w:szCs w:val="21"/>
                    </w:rPr>
                    <w:t>300</w:t>
                  </w:r>
                </w:p>
              </w:tc>
              <w:tc>
                <w:tcPr>
                  <w:tcW w:w="4580" w:type="dxa"/>
                  <w:vAlign w:val="center"/>
                </w:tcPr>
                <w:p>
                  <w:pPr>
                    <w:jc w:val="center"/>
                    <w:rPr>
                      <w:szCs w:val="21"/>
                    </w:rPr>
                  </w:pPr>
                  <w:r>
                    <w:rPr>
                      <w:color w:val="000000"/>
                      <w:szCs w:val="21"/>
                    </w:rPr>
                    <w:t>粉状，袋装，储存于原材料库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741" w:type="dxa"/>
                  <w:vAlign w:val="center"/>
                </w:tcPr>
                <w:p>
                  <w:pPr>
                    <w:adjustRightInd w:val="0"/>
                    <w:snapToGrid w:val="0"/>
                    <w:jc w:val="center"/>
                    <w:rPr>
                      <w:szCs w:val="21"/>
                    </w:rPr>
                  </w:pPr>
                  <w:r>
                    <w:rPr>
                      <w:szCs w:val="21"/>
                    </w:rPr>
                    <w:t>棕榈油</w:t>
                  </w:r>
                </w:p>
              </w:tc>
              <w:tc>
                <w:tcPr>
                  <w:tcW w:w="1200" w:type="dxa"/>
                  <w:vAlign w:val="center"/>
                </w:tcPr>
                <w:p>
                  <w:pPr>
                    <w:adjustRightInd w:val="0"/>
                    <w:snapToGrid w:val="0"/>
                    <w:jc w:val="center"/>
                    <w:rPr>
                      <w:szCs w:val="21"/>
                    </w:rPr>
                  </w:pPr>
                  <w:r>
                    <w:rPr>
                      <w:szCs w:val="21"/>
                    </w:rPr>
                    <w:t>吨</w:t>
                  </w:r>
                </w:p>
              </w:tc>
              <w:tc>
                <w:tcPr>
                  <w:tcW w:w="1541" w:type="dxa"/>
                  <w:vAlign w:val="center"/>
                </w:tcPr>
                <w:p>
                  <w:pPr>
                    <w:adjustRightInd w:val="0"/>
                    <w:snapToGrid w:val="0"/>
                    <w:jc w:val="center"/>
                    <w:rPr>
                      <w:szCs w:val="21"/>
                    </w:rPr>
                  </w:pPr>
                  <w:r>
                    <w:rPr>
                      <w:szCs w:val="21"/>
                    </w:rPr>
                    <w:t>200</w:t>
                  </w:r>
                </w:p>
              </w:tc>
              <w:tc>
                <w:tcPr>
                  <w:tcW w:w="4580" w:type="dxa"/>
                  <w:vAlign w:val="center"/>
                </w:tcPr>
                <w:p>
                  <w:pPr>
                    <w:jc w:val="center"/>
                    <w:rPr>
                      <w:szCs w:val="21"/>
                    </w:rPr>
                  </w:pPr>
                  <w:r>
                    <w:rPr>
                      <w:color w:val="000000"/>
                      <w:szCs w:val="21"/>
                    </w:rPr>
                    <w:t>液态，桶装，储存于原材料库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1741" w:type="dxa"/>
                  <w:vAlign w:val="center"/>
                </w:tcPr>
                <w:p>
                  <w:pPr>
                    <w:adjustRightInd w:val="0"/>
                    <w:snapToGrid w:val="0"/>
                    <w:jc w:val="center"/>
                    <w:rPr>
                      <w:szCs w:val="21"/>
                    </w:rPr>
                  </w:pPr>
                  <w:r>
                    <w:rPr>
                      <w:szCs w:val="21"/>
                    </w:rPr>
                    <w:t>调味料</w:t>
                  </w:r>
                </w:p>
              </w:tc>
              <w:tc>
                <w:tcPr>
                  <w:tcW w:w="1200" w:type="dxa"/>
                  <w:vAlign w:val="center"/>
                </w:tcPr>
                <w:p>
                  <w:pPr>
                    <w:adjustRightInd w:val="0"/>
                    <w:snapToGrid w:val="0"/>
                    <w:jc w:val="center"/>
                    <w:rPr>
                      <w:szCs w:val="21"/>
                    </w:rPr>
                  </w:pPr>
                  <w:r>
                    <w:rPr>
                      <w:szCs w:val="21"/>
                    </w:rPr>
                    <w:t>吨</w:t>
                  </w:r>
                </w:p>
              </w:tc>
              <w:tc>
                <w:tcPr>
                  <w:tcW w:w="1541" w:type="dxa"/>
                  <w:vAlign w:val="center"/>
                </w:tcPr>
                <w:p>
                  <w:pPr>
                    <w:adjustRightInd w:val="0"/>
                    <w:snapToGrid w:val="0"/>
                    <w:jc w:val="center"/>
                    <w:rPr>
                      <w:szCs w:val="21"/>
                    </w:rPr>
                  </w:pPr>
                  <w:r>
                    <w:rPr>
                      <w:szCs w:val="21"/>
                    </w:rPr>
                    <w:t>50</w:t>
                  </w:r>
                </w:p>
              </w:tc>
              <w:tc>
                <w:tcPr>
                  <w:tcW w:w="4580" w:type="dxa"/>
                  <w:vAlign w:val="center"/>
                </w:tcPr>
                <w:p>
                  <w:pPr>
                    <w:jc w:val="center"/>
                    <w:rPr>
                      <w:szCs w:val="21"/>
                    </w:rPr>
                  </w:pPr>
                  <w:r>
                    <w:rPr>
                      <w:color w:val="000000"/>
                      <w:szCs w:val="21"/>
                    </w:rPr>
                    <w:t>粉状，袋装，储存于原材料库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741" w:type="dxa"/>
                  <w:vAlign w:val="center"/>
                </w:tcPr>
                <w:p>
                  <w:pPr>
                    <w:adjustRightInd w:val="0"/>
                    <w:snapToGrid w:val="0"/>
                    <w:jc w:val="center"/>
                    <w:rPr>
                      <w:rFonts w:hint="eastAsia"/>
                      <w:szCs w:val="21"/>
                      <w:highlight w:val="none"/>
                    </w:rPr>
                  </w:pPr>
                  <w:r>
                    <w:rPr>
                      <w:rFonts w:hint="eastAsia"/>
                      <w:szCs w:val="21"/>
                      <w:highlight w:val="none"/>
                    </w:rPr>
                    <w:t>玉米糖浆</w:t>
                  </w:r>
                </w:p>
              </w:tc>
              <w:tc>
                <w:tcPr>
                  <w:tcW w:w="1200" w:type="dxa"/>
                  <w:vAlign w:val="center"/>
                </w:tcPr>
                <w:p>
                  <w:pPr>
                    <w:adjustRightInd w:val="0"/>
                    <w:snapToGrid w:val="0"/>
                    <w:jc w:val="center"/>
                    <w:rPr>
                      <w:rFonts w:hint="eastAsia"/>
                      <w:szCs w:val="21"/>
                      <w:highlight w:val="none"/>
                    </w:rPr>
                  </w:pPr>
                  <w:r>
                    <w:rPr>
                      <w:rFonts w:hint="eastAsia"/>
                      <w:szCs w:val="21"/>
                      <w:highlight w:val="none"/>
                    </w:rPr>
                    <w:t>吨</w:t>
                  </w:r>
                </w:p>
              </w:tc>
              <w:tc>
                <w:tcPr>
                  <w:tcW w:w="1541" w:type="dxa"/>
                  <w:vAlign w:val="center"/>
                </w:tcPr>
                <w:p>
                  <w:pPr>
                    <w:adjustRightInd w:val="0"/>
                    <w:snapToGrid w:val="0"/>
                    <w:jc w:val="center"/>
                    <w:rPr>
                      <w:rFonts w:hint="eastAsia"/>
                      <w:szCs w:val="21"/>
                      <w:highlight w:val="none"/>
                    </w:rPr>
                  </w:pPr>
                  <w:r>
                    <w:rPr>
                      <w:rFonts w:hint="eastAsia"/>
                      <w:szCs w:val="21"/>
                      <w:highlight w:val="none"/>
                    </w:rPr>
                    <w:t>300</w:t>
                  </w:r>
                </w:p>
              </w:tc>
              <w:tc>
                <w:tcPr>
                  <w:tcW w:w="4580" w:type="dxa"/>
                  <w:vAlign w:val="center"/>
                </w:tcPr>
                <w:p>
                  <w:pPr>
                    <w:jc w:val="center"/>
                    <w:rPr>
                      <w:rFonts w:hint="eastAsia"/>
                      <w:szCs w:val="21"/>
                      <w:highlight w:val="none"/>
                    </w:rPr>
                  </w:pPr>
                  <w:r>
                    <w:rPr>
                      <w:rFonts w:hint="eastAsia"/>
                      <w:szCs w:val="21"/>
                      <w:highlight w:val="none"/>
                    </w:rPr>
                    <w:t>液态，罐装</w:t>
                  </w:r>
                  <w:r>
                    <w:rPr>
                      <w:color w:val="000000"/>
                      <w:szCs w:val="21"/>
                      <w:highlight w:val="none"/>
                    </w:rPr>
                    <w:t>，储存于原材料库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741" w:type="dxa"/>
                  <w:vAlign w:val="center"/>
                </w:tcPr>
                <w:p>
                  <w:pPr>
                    <w:jc w:val="center"/>
                    <w:rPr>
                      <w:rFonts w:hint="eastAsia"/>
                      <w:szCs w:val="21"/>
                      <w:highlight w:val="none"/>
                    </w:rPr>
                  </w:pPr>
                  <w:r>
                    <w:rPr>
                      <w:rFonts w:hint="eastAsia"/>
                      <w:szCs w:val="21"/>
                      <w:highlight w:val="none"/>
                    </w:rPr>
                    <w:t>白糖</w:t>
                  </w:r>
                </w:p>
              </w:tc>
              <w:tc>
                <w:tcPr>
                  <w:tcW w:w="1200" w:type="dxa"/>
                  <w:vAlign w:val="center"/>
                </w:tcPr>
                <w:p>
                  <w:pPr>
                    <w:jc w:val="center"/>
                    <w:rPr>
                      <w:rFonts w:hint="eastAsia"/>
                      <w:szCs w:val="21"/>
                      <w:highlight w:val="none"/>
                    </w:rPr>
                  </w:pPr>
                  <w:r>
                    <w:rPr>
                      <w:rFonts w:hint="eastAsia"/>
                      <w:szCs w:val="21"/>
                      <w:highlight w:val="none"/>
                    </w:rPr>
                    <w:t>吨</w:t>
                  </w:r>
                </w:p>
              </w:tc>
              <w:tc>
                <w:tcPr>
                  <w:tcW w:w="1541" w:type="dxa"/>
                  <w:vAlign w:val="center"/>
                </w:tcPr>
                <w:p>
                  <w:pPr>
                    <w:jc w:val="center"/>
                    <w:rPr>
                      <w:rFonts w:hint="eastAsia"/>
                      <w:szCs w:val="21"/>
                      <w:highlight w:val="none"/>
                    </w:rPr>
                  </w:pPr>
                  <w:r>
                    <w:rPr>
                      <w:rFonts w:hint="eastAsia"/>
                      <w:szCs w:val="21"/>
                      <w:highlight w:val="none"/>
                    </w:rPr>
                    <w:t>100</w:t>
                  </w:r>
                </w:p>
              </w:tc>
              <w:tc>
                <w:tcPr>
                  <w:tcW w:w="4580" w:type="dxa"/>
                  <w:vAlign w:val="center"/>
                </w:tcPr>
                <w:p>
                  <w:pPr>
                    <w:jc w:val="center"/>
                    <w:rPr>
                      <w:rFonts w:hint="eastAsia"/>
                      <w:szCs w:val="21"/>
                      <w:highlight w:val="none"/>
                    </w:rPr>
                  </w:pPr>
                  <w:r>
                    <w:rPr>
                      <w:rFonts w:hint="eastAsia"/>
                      <w:szCs w:val="21"/>
                      <w:highlight w:val="none"/>
                    </w:rPr>
                    <w:t>粉状，袋装，白糖溶于糖浆使用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741" w:type="dxa"/>
                  <w:vAlign w:val="center"/>
                </w:tcPr>
                <w:p>
                  <w:pPr>
                    <w:adjustRightInd w:val="0"/>
                    <w:snapToGrid w:val="0"/>
                    <w:jc w:val="center"/>
                    <w:rPr>
                      <w:rFonts w:hint="eastAsia"/>
                      <w:szCs w:val="21"/>
                    </w:rPr>
                  </w:pPr>
                  <w:r>
                    <w:rPr>
                      <w:rFonts w:hint="eastAsia"/>
                      <w:szCs w:val="21"/>
                    </w:rPr>
                    <w:t>天燃气</w:t>
                  </w:r>
                </w:p>
              </w:tc>
              <w:tc>
                <w:tcPr>
                  <w:tcW w:w="1200" w:type="dxa"/>
                  <w:vAlign w:val="center"/>
                </w:tcPr>
                <w:p>
                  <w:pPr>
                    <w:adjustRightInd w:val="0"/>
                    <w:snapToGrid w:val="0"/>
                    <w:jc w:val="center"/>
                    <w:rPr>
                      <w:rFonts w:hint="eastAsia"/>
                      <w:szCs w:val="21"/>
                    </w:rPr>
                  </w:pPr>
                  <w:r>
                    <w:rPr>
                      <w:rFonts w:hint="eastAsia"/>
                      <w:szCs w:val="21"/>
                    </w:rPr>
                    <w:t>m</w:t>
                  </w:r>
                  <w:r>
                    <w:rPr>
                      <w:rFonts w:hint="eastAsia"/>
                      <w:szCs w:val="21"/>
                      <w:vertAlign w:val="superscript"/>
                    </w:rPr>
                    <w:t>3</w:t>
                  </w:r>
                </w:p>
              </w:tc>
              <w:tc>
                <w:tcPr>
                  <w:tcW w:w="1541" w:type="dxa"/>
                  <w:vAlign w:val="center"/>
                </w:tcPr>
                <w:p>
                  <w:pPr>
                    <w:adjustRightInd w:val="0"/>
                    <w:snapToGrid w:val="0"/>
                    <w:jc w:val="center"/>
                    <w:rPr>
                      <w:rFonts w:hint="eastAsia"/>
                      <w:szCs w:val="21"/>
                    </w:rPr>
                  </w:pPr>
                  <w:r>
                    <w:rPr>
                      <w:rFonts w:hint="eastAsia"/>
                      <w:szCs w:val="21"/>
                    </w:rPr>
                    <w:t>9.6万</w:t>
                  </w:r>
                </w:p>
              </w:tc>
              <w:tc>
                <w:tcPr>
                  <w:tcW w:w="4580" w:type="dxa"/>
                  <w:vAlign w:val="center"/>
                </w:tcPr>
                <w:p>
                  <w:pPr>
                    <w:jc w:val="center"/>
                    <w:rPr>
                      <w:rFonts w:hint="eastAsia"/>
                      <w:szCs w:val="21"/>
                      <w:highlight w:val="yellow"/>
                    </w:rPr>
                  </w:pPr>
                  <w:r>
                    <w:rPr>
                      <w:rFonts w:hint="eastAsia"/>
                      <w:szCs w:val="21"/>
                      <w:highlight w:val="none"/>
                    </w:rPr>
                    <w:t>罐装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1741" w:type="dxa"/>
                  <w:vAlign w:val="center"/>
                </w:tcPr>
                <w:p>
                  <w:pPr>
                    <w:adjustRightInd w:val="0"/>
                    <w:snapToGrid w:val="0"/>
                    <w:jc w:val="center"/>
                    <w:rPr>
                      <w:szCs w:val="21"/>
                    </w:rPr>
                  </w:pPr>
                  <w:r>
                    <w:rPr>
                      <w:szCs w:val="21"/>
                    </w:rPr>
                    <w:t>包装袋</w:t>
                  </w:r>
                </w:p>
              </w:tc>
              <w:tc>
                <w:tcPr>
                  <w:tcW w:w="1200" w:type="dxa"/>
                  <w:vAlign w:val="center"/>
                </w:tcPr>
                <w:p>
                  <w:pPr>
                    <w:adjustRightInd w:val="0"/>
                    <w:snapToGrid w:val="0"/>
                    <w:jc w:val="center"/>
                    <w:rPr>
                      <w:szCs w:val="21"/>
                    </w:rPr>
                  </w:pPr>
                  <w:r>
                    <w:rPr>
                      <w:szCs w:val="21"/>
                    </w:rPr>
                    <w:t>吨</w:t>
                  </w:r>
                </w:p>
              </w:tc>
              <w:tc>
                <w:tcPr>
                  <w:tcW w:w="1541" w:type="dxa"/>
                  <w:vAlign w:val="center"/>
                </w:tcPr>
                <w:p>
                  <w:pPr>
                    <w:adjustRightInd w:val="0"/>
                    <w:snapToGrid w:val="0"/>
                    <w:jc w:val="center"/>
                    <w:rPr>
                      <w:szCs w:val="21"/>
                    </w:rPr>
                  </w:pPr>
                  <w:r>
                    <w:rPr>
                      <w:szCs w:val="21"/>
                    </w:rPr>
                    <w:t>200</w:t>
                  </w:r>
                </w:p>
              </w:tc>
              <w:tc>
                <w:tcPr>
                  <w:tcW w:w="4580" w:type="dxa"/>
                  <w:vAlign w:val="center"/>
                </w:tcPr>
                <w:p>
                  <w:pPr>
                    <w:jc w:val="center"/>
                    <w:rPr>
                      <w:szCs w:val="21"/>
                    </w:rPr>
                  </w:pPr>
                  <w:r>
                    <w:rPr>
                      <w:color w:val="000000"/>
                      <w:szCs w:val="21"/>
                    </w:rPr>
                    <w:t>储存于包装材料库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1741" w:type="dxa"/>
                  <w:vAlign w:val="center"/>
                </w:tcPr>
                <w:p>
                  <w:pPr>
                    <w:adjustRightInd w:val="0"/>
                    <w:snapToGrid w:val="0"/>
                    <w:jc w:val="center"/>
                    <w:rPr>
                      <w:szCs w:val="21"/>
                    </w:rPr>
                  </w:pPr>
                  <w:r>
                    <w:rPr>
                      <w:szCs w:val="21"/>
                    </w:rPr>
                    <w:t>包装箱</w:t>
                  </w:r>
                </w:p>
              </w:tc>
              <w:tc>
                <w:tcPr>
                  <w:tcW w:w="1200" w:type="dxa"/>
                  <w:vAlign w:val="center"/>
                </w:tcPr>
                <w:p>
                  <w:pPr>
                    <w:adjustRightInd w:val="0"/>
                    <w:snapToGrid w:val="0"/>
                    <w:jc w:val="center"/>
                    <w:rPr>
                      <w:szCs w:val="21"/>
                    </w:rPr>
                  </w:pPr>
                  <w:r>
                    <w:rPr>
                      <w:szCs w:val="21"/>
                    </w:rPr>
                    <w:t>吨</w:t>
                  </w:r>
                </w:p>
              </w:tc>
              <w:tc>
                <w:tcPr>
                  <w:tcW w:w="1541" w:type="dxa"/>
                  <w:vAlign w:val="center"/>
                </w:tcPr>
                <w:p>
                  <w:pPr>
                    <w:adjustRightInd w:val="0"/>
                    <w:snapToGrid w:val="0"/>
                    <w:jc w:val="center"/>
                    <w:rPr>
                      <w:szCs w:val="21"/>
                    </w:rPr>
                  </w:pPr>
                  <w:r>
                    <w:rPr>
                      <w:szCs w:val="21"/>
                    </w:rPr>
                    <w:t>300</w:t>
                  </w:r>
                </w:p>
              </w:tc>
              <w:tc>
                <w:tcPr>
                  <w:tcW w:w="4580" w:type="dxa"/>
                  <w:vAlign w:val="center"/>
                </w:tcPr>
                <w:p>
                  <w:pPr>
                    <w:jc w:val="center"/>
                    <w:rPr>
                      <w:szCs w:val="21"/>
                    </w:rPr>
                  </w:pPr>
                  <w:r>
                    <w:rPr>
                      <w:color w:val="000000"/>
                      <w:szCs w:val="21"/>
                    </w:rPr>
                    <w:t>储存于包装材料库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41" w:type="dxa"/>
                  <w:vAlign w:val="center"/>
                </w:tcPr>
                <w:p>
                  <w:pPr>
                    <w:adjustRightInd w:val="0"/>
                    <w:snapToGrid w:val="0"/>
                    <w:jc w:val="center"/>
                    <w:rPr>
                      <w:szCs w:val="21"/>
                    </w:rPr>
                  </w:pPr>
                  <w:r>
                    <w:rPr>
                      <w:szCs w:val="21"/>
                    </w:rPr>
                    <w:t>水</w:t>
                  </w:r>
                </w:p>
              </w:tc>
              <w:tc>
                <w:tcPr>
                  <w:tcW w:w="1200" w:type="dxa"/>
                  <w:vAlign w:val="center"/>
                </w:tcPr>
                <w:p>
                  <w:pPr>
                    <w:jc w:val="center"/>
                    <w:rPr>
                      <w:szCs w:val="21"/>
                    </w:rPr>
                  </w:pPr>
                  <w:r>
                    <w:rPr>
                      <w:color w:val="000000"/>
                      <w:szCs w:val="21"/>
                    </w:rPr>
                    <w:t>m</w:t>
                  </w:r>
                  <w:r>
                    <w:rPr>
                      <w:color w:val="000000"/>
                      <w:szCs w:val="21"/>
                      <w:vertAlign w:val="superscript"/>
                    </w:rPr>
                    <w:t>3</w:t>
                  </w:r>
                </w:p>
              </w:tc>
              <w:tc>
                <w:tcPr>
                  <w:tcW w:w="1541" w:type="dxa"/>
                  <w:vAlign w:val="center"/>
                </w:tcPr>
                <w:p>
                  <w:pPr>
                    <w:adjustRightInd w:val="0"/>
                    <w:snapToGrid w:val="0"/>
                    <w:jc w:val="center"/>
                    <w:rPr>
                      <w:szCs w:val="21"/>
                    </w:rPr>
                  </w:pPr>
                  <w:r>
                    <w:rPr>
                      <w:rFonts w:hint="eastAsia"/>
                      <w:szCs w:val="21"/>
                    </w:rPr>
                    <w:t>6</w:t>
                  </w:r>
                  <w:r>
                    <w:rPr>
                      <w:szCs w:val="21"/>
                    </w:rPr>
                    <w:t>00</w:t>
                  </w:r>
                </w:p>
              </w:tc>
              <w:tc>
                <w:tcPr>
                  <w:tcW w:w="4580" w:type="dxa"/>
                  <w:vAlign w:val="center"/>
                </w:tcPr>
                <w:p>
                  <w:pPr>
                    <w:jc w:val="center"/>
                    <w:rPr>
                      <w:szCs w:val="21"/>
                    </w:rPr>
                  </w:pPr>
                  <w:r>
                    <w:rPr>
                      <w:color w:val="000000"/>
                      <w:szCs w:val="21"/>
                    </w:rPr>
                    <w:t>由慈周寨镇第一水厂供给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41" w:type="dxa"/>
                  <w:vAlign w:val="center"/>
                </w:tcPr>
                <w:p>
                  <w:pPr>
                    <w:adjustRightInd w:val="0"/>
                    <w:snapToGrid w:val="0"/>
                    <w:jc w:val="center"/>
                    <w:rPr>
                      <w:szCs w:val="21"/>
                    </w:rPr>
                  </w:pPr>
                  <w:r>
                    <w:rPr>
                      <w:szCs w:val="21"/>
                    </w:rPr>
                    <w:t>电</w:t>
                  </w:r>
                </w:p>
              </w:tc>
              <w:tc>
                <w:tcPr>
                  <w:tcW w:w="1200" w:type="dxa"/>
                  <w:vAlign w:val="center"/>
                </w:tcPr>
                <w:p>
                  <w:pPr>
                    <w:jc w:val="center"/>
                    <w:rPr>
                      <w:color w:val="000000"/>
                      <w:szCs w:val="21"/>
                    </w:rPr>
                  </w:pPr>
                  <w:r>
                    <w:rPr>
                      <w:color w:val="000000"/>
                      <w:szCs w:val="21"/>
                    </w:rPr>
                    <w:t>万kWh</w:t>
                  </w:r>
                </w:p>
              </w:tc>
              <w:tc>
                <w:tcPr>
                  <w:tcW w:w="1541" w:type="dxa"/>
                  <w:vAlign w:val="center"/>
                </w:tcPr>
                <w:p>
                  <w:pPr>
                    <w:adjustRightInd w:val="0"/>
                    <w:snapToGrid w:val="0"/>
                    <w:jc w:val="center"/>
                    <w:rPr>
                      <w:szCs w:val="21"/>
                    </w:rPr>
                  </w:pPr>
                  <w:r>
                    <w:rPr>
                      <w:szCs w:val="21"/>
                    </w:rPr>
                    <w:t>50</w:t>
                  </w:r>
                </w:p>
              </w:tc>
              <w:tc>
                <w:tcPr>
                  <w:tcW w:w="4580" w:type="dxa"/>
                  <w:vAlign w:val="center"/>
                </w:tcPr>
                <w:p>
                  <w:pPr>
                    <w:jc w:val="center"/>
                    <w:rPr>
                      <w:szCs w:val="21"/>
                    </w:rPr>
                  </w:pPr>
                  <w:r>
                    <w:rPr>
                      <w:szCs w:val="21"/>
                    </w:rPr>
                    <w:t>由慈周寨乡电网统一供给</w:t>
                  </w:r>
                </w:p>
              </w:tc>
            </w:tr>
          </w:tbl>
          <w:p>
            <w:pPr>
              <w:autoSpaceDE w:val="0"/>
              <w:autoSpaceDN w:val="0"/>
              <w:adjustRightInd w:val="0"/>
              <w:ind w:firstLine="482" w:firstLineChars="200"/>
              <w:rPr>
                <w:b/>
                <w:bCs/>
                <w:sz w:val="24"/>
              </w:rPr>
            </w:pPr>
            <w:r>
              <w:rPr>
                <w:b/>
                <w:bCs/>
                <w:sz w:val="24"/>
              </w:rPr>
              <w:t>3.3 主要产品</w:t>
            </w:r>
          </w:p>
          <w:p>
            <w:pPr>
              <w:autoSpaceDE w:val="0"/>
              <w:autoSpaceDN w:val="0"/>
              <w:adjustRightInd w:val="0"/>
              <w:spacing w:line="520" w:lineRule="exact"/>
              <w:ind w:firstLine="480" w:firstLineChars="200"/>
              <w:rPr>
                <w:b/>
                <w:bCs/>
                <w:szCs w:val="21"/>
              </w:rPr>
            </w:pPr>
            <w:r>
              <w:rPr>
                <w:sz w:val="24"/>
              </w:rPr>
              <w:t>本项目主要产品</w:t>
            </w:r>
            <w:r>
              <w:rPr>
                <w:rFonts w:hint="eastAsia"/>
                <w:sz w:val="24"/>
                <w:lang w:val="fr-FR"/>
              </w:rPr>
              <w:t>为海螺酥、乐香脆和膨化小食</w:t>
            </w:r>
            <w:r>
              <w:rPr>
                <w:sz w:val="24"/>
              </w:rPr>
              <w:t>。主要产品见表6。</w:t>
            </w:r>
          </w:p>
          <w:p>
            <w:pPr>
              <w:autoSpaceDE w:val="0"/>
              <w:autoSpaceDN w:val="0"/>
              <w:adjustRightInd w:val="0"/>
              <w:spacing w:line="480" w:lineRule="exact"/>
              <w:jc w:val="center"/>
              <w:rPr>
                <w:b/>
                <w:bCs/>
                <w:szCs w:val="21"/>
              </w:rPr>
            </w:pPr>
            <w:r>
              <w:rPr>
                <w:b/>
                <w:bCs/>
                <w:szCs w:val="21"/>
              </w:rPr>
              <w:t>表6  主要产品一览表</w:t>
            </w:r>
          </w:p>
          <w:tbl>
            <w:tblPr>
              <w:tblStyle w:val="28"/>
              <w:tblW w:w="90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2534"/>
              <w:gridCol w:w="2122"/>
              <w:gridCol w:w="24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961" w:type="dxa"/>
                  <w:vAlign w:val="center"/>
                </w:tcPr>
                <w:p>
                  <w:pPr>
                    <w:jc w:val="center"/>
                    <w:rPr>
                      <w:rFonts w:hint="eastAsia"/>
                      <w:szCs w:val="21"/>
                    </w:rPr>
                  </w:pPr>
                  <w:r>
                    <w:rPr>
                      <w:rFonts w:hint="eastAsia"/>
                      <w:szCs w:val="21"/>
                    </w:rPr>
                    <w:t>产品</w:t>
                  </w:r>
                </w:p>
              </w:tc>
              <w:tc>
                <w:tcPr>
                  <w:tcW w:w="2534" w:type="dxa"/>
                  <w:vAlign w:val="center"/>
                </w:tcPr>
                <w:p>
                  <w:pPr>
                    <w:jc w:val="center"/>
                    <w:rPr>
                      <w:rFonts w:hint="eastAsia"/>
                      <w:szCs w:val="21"/>
                    </w:rPr>
                  </w:pPr>
                  <w:r>
                    <w:rPr>
                      <w:rFonts w:hint="eastAsia"/>
                      <w:szCs w:val="21"/>
                    </w:rPr>
                    <w:t>规格型号</w:t>
                  </w:r>
                </w:p>
              </w:tc>
              <w:tc>
                <w:tcPr>
                  <w:tcW w:w="2122" w:type="dxa"/>
                  <w:vAlign w:val="center"/>
                </w:tcPr>
                <w:p>
                  <w:pPr>
                    <w:jc w:val="center"/>
                    <w:rPr>
                      <w:rFonts w:hint="eastAsia"/>
                      <w:szCs w:val="21"/>
                    </w:rPr>
                  </w:pPr>
                  <w:r>
                    <w:rPr>
                      <w:rFonts w:hint="eastAsia"/>
                      <w:szCs w:val="21"/>
                    </w:rPr>
                    <w:t>规模</w:t>
                  </w:r>
                </w:p>
              </w:tc>
              <w:tc>
                <w:tcPr>
                  <w:tcW w:w="2425" w:type="dxa"/>
                  <w:vAlign w:val="center"/>
                </w:tcPr>
                <w:p>
                  <w:pPr>
                    <w:jc w:val="center"/>
                    <w:rPr>
                      <w:rFonts w:hint="eastAsia"/>
                      <w:szCs w:val="21"/>
                    </w:rPr>
                  </w:pPr>
                  <w:r>
                    <w:rPr>
                      <w:rFonts w:hint="eastAsia"/>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961" w:type="dxa"/>
                  <w:vMerge w:val="restart"/>
                  <w:vAlign w:val="center"/>
                </w:tcPr>
                <w:p>
                  <w:pPr>
                    <w:jc w:val="center"/>
                    <w:rPr>
                      <w:rFonts w:hint="eastAsia"/>
                      <w:szCs w:val="21"/>
                    </w:rPr>
                  </w:pPr>
                  <w:r>
                    <w:rPr>
                      <w:rFonts w:hint="eastAsia"/>
                      <w:szCs w:val="21"/>
                    </w:rPr>
                    <w:t>膨化食品</w:t>
                  </w:r>
                </w:p>
              </w:tc>
              <w:tc>
                <w:tcPr>
                  <w:tcW w:w="2534" w:type="dxa"/>
                  <w:vAlign w:val="center"/>
                </w:tcPr>
                <w:p>
                  <w:pPr>
                    <w:jc w:val="center"/>
                    <w:rPr>
                      <w:rFonts w:hint="eastAsia"/>
                      <w:szCs w:val="21"/>
                      <w:highlight w:val="none"/>
                    </w:rPr>
                  </w:pPr>
                  <w:r>
                    <w:rPr>
                      <w:rFonts w:hint="eastAsia"/>
                      <w:szCs w:val="21"/>
                      <w:highlight w:val="none"/>
                    </w:rPr>
                    <w:t>海螺酥</w:t>
                  </w:r>
                </w:p>
              </w:tc>
              <w:tc>
                <w:tcPr>
                  <w:tcW w:w="2122" w:type="dxa"/>
                  <w:vAlign w:val="center"/>
                </w:tcPr>
                <w:p>
                  <w:pPr>
                    <w:jc w:val="center"/>
                    <w:rPr>
                      <w:rFonts w:hint="eastAsia"/>
                      <w:szCs w:val="21"/>
                      <w:highlight w:val="none"/>
                    </w:rPr>
                  </w:pPr>
                  <w:r>
                    <w:rPr>
                      <w:rFonts w:hint="eastAsia"/>
                      <w:szCs w:val="21"/>
                      <w:highlight w:val="none"/>
                    </w:rPr>
                    <w:t>1500t/a</w:t>
                  </w:r>
                </w:p>
              </w:tc>
              <w:tc>
                <w:tcPr>
                  <w:tcW w:w="2425" w:type="dxa"/>
                  <w:vAlign w:val="center"/>
                </w:tcPr>
                <w:p>
                  <w:pPr>
                    <w:jc w:val="center"/>
                    <w:rPr>
                      <w:rFonts w:hint="eastAsia"/>
                      <w:szCs w:val="21"/>
                      <w:highlight w:val="none"/>
                    </w:rPr>
                  </w:pPr>
                  <w:r>
                    <w:rPr>
                      <w:rFonts w:hint="eastAsia"/>
                      <w:szCs w:val="21"/>
                      <w:highlight w:val="none"/>
                    </w:rPr>
                    <w:t>规格：100g/袋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61" w:type="dxa"/>
                  <w:vMerge w:val="continue"/>
                  <w:vAlign w:val="center"/>
                </w:tcPr>
                <w:p>
                  <w:pPr>
                    <w:jc w:val="center"/>
                    <w:rPr>
                      <w:rFonts w:hint="eastAsia"/>
                      <w:szCs w:val="21"/>
                    </w:rPr>
                  </w:pPr>
                </w:p>
              </w:tc>
              <w:tc>
                <w:tcPr>
                  <w:tcW w:w="2534" w:type="dxa"/>
                  <w:vAlign w:val="center"/>
                </w:tcPr>
                <w:p>
                  <w:pPr>
                    <w:jc w:val="center"/>
                    <w:rPr>
                      <w:rFonts w:hint="eastAsia"/>
                      <w:szCs w:val="21"/>
                      <w:highlight w:val="none"/>
                    </w:rPr>
                  </w:pPr>
                  <w:r>
                    <w:rPr>
                      <w:rFonts w:hint="eastAsia"/>
                      <w:szCs w:val="21"/>
                      <w:highlight w:val="none"/>
                    </w:rPr>
                    <w:t>乐香脆</w:t>
                  </w:r>
                </w:p>
              </w:tc>
              <w:tc>
                <w:tcPr>
                  <w:tcW w:w="2122" w:type="dxa"/>
                  <w:vAlign w:val="center"/>
                </w:tcPr>
                <w:p>
                  <w:pPr>
                    <w:jc w:val="center"/>
                    <w:rPr>
                      <w:rFonts w:hint="eastAsia"/>
                      <w:szCs w:val="21"/>
                      <w:highlight w:val="none"/>
                    </w:rPr>
                  </w:pPr>
                  <w:r>
                    <w:rPr>
                      <w:rFonts w:hint="eastAsia"/>
                      <w:szCs w:val="21"/>
                      <w:highlight w:val="none"/>
                    </w:rPr>
                    <w:t>1000t/a</w:t>
                  </w:r>
                </w:p>
              </w:tc>
              <w:tc>
                <w:tcPr>
                  <w:tcW w:w="2425" w:type="dxa"/>
                  <w:vAlign w:val="center"/>
                </w:tcPr>
                <w:p>
                  <w:pPr>
                    <w:jc w:val="center"/>
                    <w:rPr>
                      <w:rFonts w:hint="eastAsia"/>
                      <w:szCs w:val="21"/>
                      <w:highlight w:val="none"/>
                    </w:rPr>
                  </w:pPr>
                  <w:r>
                    <w:rPr>
                      <w:rFonts w:hint="eastAsia"/>
                      <w:szCs w:val="21"/>
                      <w:highlight w:val="none"/>
                    </w:rPr>
                    <w:t>规格：100g/袋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961" w:type="dxa"/>
                  <w:vMerge w:val="continue"/>
                  <w:vAlign w:val="center"/>
                </w:tcPr>
                <w:p>
                  <w:pPr>
                    <w:jc w:val="center"/>
                    <w:rPr>
                      <w:rFonts w:hint="eastAsia"/>
                      <w:szCs w:val="21"/>
                    </w:rPr>
                  </w:pPr>
                </w:p>
              </w:tc>
              <w:tc>
                <w:tcPr>
                  <w:tcW w:w="2534" w:type="dxa"/>
                  <w:vAlign w:val="center"/>
                </w:tcPr>
                <w:p>
                  <w:pPr>
                    <w:jc w:val="center"/>
                    <w:rPr>
                      <w:rFonts w:hint="eastAsia"/>
                      <w:szCs w:val="21"/>
                    </w:rPr>
                  </w:pPr>
                  <w:r>
                    <w:rPr>
                      <w:rFonts w:hint="eastAsia"/>
                      <w:szCs w:val="21"/>
                    </w:rPr>
                    <w:t>膨化小食</w:t>
                  </w:r>
                </w:p>
              </w:tc>
              <w:tc>
                <w:tcPr>
                  <w:tcW w:w="2122" w:type="dxa"/>
                  <w:vAlign w:val="center"/>
                </w:tcPr>
                <w:p>
                  <w:pPr>
                    <w:jc w:val="center"/>
                    <w:rPr>
                      <w:rFonts w:hint="eastAsia"/>
                      <w:szCs w:val="21"/>
                    </w:rPr>
                  </w:pPr>
                  <w:r>
                    <w:rPr>
                      <w:rFonts w:hint="eastAsia"/>
                      <w:szCs w:val="21"/>
                    </w:rPr>
                    <w:t>500t/a</w:t>
                  </w:r>
                </w:p>
              </w:tc>
              <w:tc>
                <w:tcPr>
                  <w:tcW w:w="2425" w:type="dxa"/>
                  <w:vAlign w:val="center"/>
                </w:tcPr>
                <w:p>
                  <w:pPr>
                    <w:jc w:val="center"/>
                    <w:rPr>
                      <w:rFonts w:hint="eastAsia"/>
                      <w:szCs w:val="21"/>
                    </w:rPr>
                  </w:pPr>
                  <w:r>
                    <w:rPr>
                      <w:rFonts w:hint="eastAsia"/>
                      <w:szCs w:val="21"/>
                    </w:rPr>
                    <w:t>规格：100g/袋</w:t>
                  </w:r>
                </w:p>
              </w:tc>
            </w:tr>
          </w:tbl>
          <w:p>
            <w:pPr>
              <w:spacing w:line="520" w:lineRule="exact"/>
              <w:ind w:firstLine="482" w:firstLineChars="200"/>
              <w:rPr>
                <w:rFonts w:hint="eastAsia"/>
                <w:b/>
                <w:sz w:val="24"/>
              </w:rPr>
            </w:pPr>
            <w:r>
              <w:rPr>
                <w:rFonts w:hint="eastAsia"/>
                <w:b/>
                <w:sz w:val="24"/>
              </w:rPr>
              <w:t>3.4储运工程</w:t>
            </w:r>
          </w:p>
          <w:p>
            <w:pPr>
              <w:spacing w:line="520" w:lineRule="exact"/>
              <w:ind w:firstLine="480" w:firstLineChars="200"/>
              <w:rPr>
                <w:rFonts w:hint="eastAsia"/>
                <w:b/>
                <w:sz w:val="24"/>
              </w:rPr>
            </w:pPr>
            <w:r>
              <w:rPr>
                <w:rFonts w:hint="eastAsia"/>
                <w:bCs/>
                <w:sz w:val="24"/>
              </w:rPr>
              <w:t>本项目原材料、成品均采用汽车运输，运输车辆密闭。原材料袋装或箱装储存于封闭的原材料库内；成品箱装储存于成品库。生产车间、原材料库、成品库地面硬化，四周封闭。</w:t>
            </w:r>
          </w:p>
          <w:p>
            <w:pPr>
              <w:ind w:firstLine="482" w:firstLineChars="200"/>
              <w:rPr>
                <w:b/>
                <w:sz w:val="24"/>
              </w:rPr>
            </w:pPr>
            <w:r>
              <w:rPr>
                <w:rFonts w:hint="eastAsia"/>
                <w:b/>
                <w:sz w:val="24"/>
              </w:rPr>
              <w:t>3</w:t>
            </w:r>
            <w:r>
              <w:rPr>
                <w:b/>
                <w:sz w:val="24"/>
              </w:rPr>
              <w:t>.</w:t>
            </w:r>
            <w:r>
              <w:rPr>
                <w:rFonts w:hint="eastAsia"/>
                <w:b/>
                <w:sz w:val="24"/>
              </w:rPr>
              <w:t>5</w:t>
            </w:r>
            <w:r>
              <w:rPr>
                <w:b/>
                <w:sz w:val="24"/>
              </w:rPr>
              <w:t>公用工程</w:t>
            </w:r>
          </w:p>
          <w:p>
            <w:pPr>
              <w:spacing w:line="520" w:lineRule="exact"/>
              <w:ind w:firstLine="480" w:firstLineChars="200"/>
              <w:rPr>
                <w:bCs/>
                <w:sz w:val="24"/>
              </w:rPr>
            </w:pPr>
            <w:r>
              <w:rPr>
                <w:rFonts w:hint="eastAsia"/>
                <w:bCs/>
                <w:sz w:val="24"/>
              </w:rPr>
              <w:t>3</w:t>
            </w:r>
            <w:r>
              <w:rPr>
                <w:bCs/>
                <w:sz w:val="24"/>
              </w:rPr>
              <w:t>.</w:t>
            </w:r>
            <w:r>
              <w:rPr>
                <w:rFonts w:hint="eastAsia"/>
                <w:bCs/>
                <w:sz w:val="24"/>
              </w:rPr>
              <w:t>5</w:t>
            </w:r>
            <w:r>
              <w:rPr>
                <w:bCs/>
                <w:sz w:val="24"/>
              </w:rPr>
              <w:t>.1供电</w:t>
            </w:r>
          </w:p>
          <w:p>
            <w:pPr>
              <w:spacing w:line="520" w:lineRule="exact"/>
              <w:ind w:firstLine="480" w:firstLineChars="200"/>
              <w:rPr>
                <w:sz w:val="24"/>
              </w:rPr>
            </w:pPr>
            <w:r>
              <w:rPr>
                <w:color w:val="000000"/>
                <w:sz w:val="24"/>
              </w:rPr>
              <w:t>本项目用电由</w:t>
            </w:r>
            <w:r>
              <w:rPr>
                <w:rFonts w:hint="eastAsia"/>
                <w:color w:val="000000"/>
                <w:sz w:val="24"/>
              </w:rPr>
              <w:t>慈周寨乡</w:t>
            </w:r>
            <w:r>
              <w:rPr>
                <w:color w:val="000000"/>
                <w:sz w:val="24"/>
              </w:rPr>
              <w:t>电网统一供给，可满足项目用电需求。</w:t>
            </w:r>
          </w:p>
          <w:p>
            <w:pPr>
              <w:ind w:firstLine="480" w:firstLineChars="200"/>
              <w:rPr>
                <w:rFonts w:hint="eastAsia"/>
                <w:bCs/>
                <w:sz w:val="24"/>
              </w:rPr>
            </w:pPr>
            <w:r>
              <w:rPr>
                <w:rFonts w:hint="eastAsia"/>
                <w:bCs/>
                <w:sz w:val="24"/>
              </w:rPr>
              <w:t>3.5.2天然气</w:t>
            </w:r>
          </w:p>
          <w:p>
            <w:pPr>
              <w:spacing w:line="520" w:lineRule="exact"/>
              <w:ind w:firstLine="480" w:firstLineChars="200"/>
              <w:rPr>
                <w:rStyle w:val="27"/>
                <w:rFonts w:hint="eastAsia"/>
                <w:highlight w:val="none"/>
              </w:rPr>
            </w:pPr>
            <w:r>
              <w:rPr>
                <w:rFonts w:hint="eastAsia"/>
                <w:bCs/>
                <w:sz w:val="24"/>
                <w:highlight w:val="none"/>
              </w:rPr>
              <w:t>本项目使用燃气油炸机，以天然气（CNG）作为燃料，年工作300d，</w:t>
            </w:r>
            <w:r>
              <w:rPr>
                <w:rFonts w:hint="eastAsia"/>
                <w:sz w:val="24"/>
                <w:highlight w:val="none"/>
              </w:rPr>
              <w:t>每天使用天然气量约为320m</w:t>
            </w:r>
            <w:r>
              <w:rPr>
                <w:rFonts w:hint="eastAsia"/>
                <w:sz w:val="24"/>
                <w:highlight w:val="none"/>
                <w:vertAlign w:val="superscript"/>
              </w:rPr>
              <w:t>3</w:t>
            </w:r>
            <w:r>
              <w:rPr>
                <w:rFonts w:hint="eastAsia"/>
                <w:sz w:val="24"/>
                <w:highlight w:val="none"/>
              </w:rPr>
              <w:t>（年用9.6万</w:t>
            </w:r>
            <w:bookmarkStart w:id="2" w:name="OLE_LINK6"/>
            <w:r>
              <w:rPr>
                <w:rFonts w:hint="eastAsia"/>
                <w:sz w:val="24"/>
                <w:highlight w:val="none"/>
              </w:rPr>
              <w:t>m</w:t>
            </w:r>
            <w:r>
              <w:rPr>
                <w:rFonts w:hint="eastAsia"/>
                <w:sz w:val="24"/>
                <w:highlight w:val="none"/>
                <w:vertAlign w:val="superscript"/>
              </w:rPr>
              <w:t>3</w:t>
            </w:r>
            <w:bookmarkEnd w:id="2"/>
            <w:r>
              <w:rPr>
                <w:rFonts w:hint="eastAsia"/>
                <w:sz w:val="24"/>
                <w:highlight w:val="none"/>
              </w:rPr>
              <w:t>）。</w:t>
            </w:r>
            <w:r>
              <w:rPr>
                <w:sz w:val="24"/>
                <w:highlight w:val="none"/>
              </w:rPr>
              <w:t>天然气</w:t>
            </w:r>
            <w:r>
              <w:rPr>
                <w:rFonts w:hint="eastAsia"/>
                <w:sz w:val="24"/>
                <w:highlight w:val="none"/>
              </w:rPr>
              <w:t>由运输车提供</w:t>
            </w:r>
            <w:r>
              <w:rPr>
                <w:sz w:val="24"/>
                <w:highlight w:val="none"/>
              </w:rPr>
              <w:t>，</w:t>
            </w:r>
            <w:r>
              <w:rPr>
                <w:rFonts w:hint="eastAsia"/>
                <w:sz w:val="24"/>
                <w:highlight w:val="none"/>
              </w:rPr>
              <w:t>运输车一次运送厂区</w:t>
            </w:r>
            <w:r>
              <w:rPr>
                <w:sz w:val="24"/>
                <w:highlight w:val="none"/>
              </w:rPr>
              <w:t>3</w:t>
            </w:r>
            <w:r>
              <w:rPr>
                <w:rFonts w:hint="eastAsia"/>
                <w:sz w:val="24"/>
                <w:highlight w:val="none"/>
              </w:rPr>
              <w:t>组，（一组有9口，1口2</w:t>
            </w:r>
            <w:r>
              <w:rPr>
                <w:sz w:val="24"/>
                <w:highlight w:val="none"/>
              </w:rPr>
              <w:t>m</w:t>
            </w:r>
            <w:r>
              <w:rPr>
                <w:sz w:val="24"/>
                <w:highlight w:val="none"/>
                <w:vertAlign w:val="superscript"/>
              </w:rPr>
              <w:t>3</w:t>
            </w:r>
            <w:r>
              <w:rPr>
                <w:rFonts w:hint="eastAsia"/>
                <w:sz w:val="24"/>
                <w:highlight w:val="none"/>
              </w:rPr>
              <w:t>）</w:t>
            </w:r>
            <w:r>
              <w:rPr>
                <w:sz w:val="24"/>
                <w:highlight w:val="none"/>
              </w:rPr>
              <w:t>，</w:t>
            </w:r>
            <w:r>
              <w:rPr>
                <w:rFonts w:hint="eastAsia"/>
                <w:sz w:val="24"/>
                <w:highlight w:val="none"/>
              </w:rPr>
              <w:t>最高压力均为20MPa</w:t>
            </w:r>
            <w:r>
              <w:rPr>
                <w:sz w:val="24"/>
                <w:highlight w:val="none"/>
              </w:rPr>
              <w:t>。</w:t>
            </w:r>
          </w:p>
          <w:p>
            <w:pPr>
              <w:spacing w:line="520" w:lineRule="exact"/>
              <w:ind w:firstLine="480" w:firstLineChars="200"/>
              <w:rPr>
                <w:bCs/>
                <w:sz w:val="24"/>
                <w:highlight w:val="none"/>
              </w:rPr>
            </w:pPr>
            <w:r>
              <w:rPr>
                <w:rFonts w:hint="eastAsia"/>
                <w:bCs/>
                <w:sz w:val="24"/>
                <w:highlight w:val="none"/>
              </w:rPr>
              <w:t>3</w:t>
            </w:r>
            <w:r>
              <w:rPr>
                <w:bCs/>
                <w:sz w:val="24"/>
                <w:highlight w:val="none"/>
              </w:rPr>
              <w:t>.</w:t>
            </w:r>
            <w:r>
              <w:rPr>
                <w:rFonts w:hint="eastAsia"/>
                <w:bCs/>
                <w:sz w:val="24"/>
                <w:highlight w:val="none"/>
              </w:rPr>
              <w:t>5</w:t>
            </w:r>
            <w:r>
              <w:rPr>
                <w:bCs/>
                <w:sz w:val="24"/>
                <w:highlight w:val="none"/>
              </w:rPr>
              <w:t>.</w:t>
            </w:r>
            <w:r>
              <w:rPr>
                <w:rFonts w:hint="eastAsia"/>
                <w:bCs/>
                <w:sz w:val="24"/>
                <w:highlight w:val="none"/>
              </w:rPr>
              <w:t>3</w:t>
            </w:r>
            <w:r>
              <w:rPr>
                <w:bCs/>
                <w:sz w:val="24"/>
                <w:highlight w:val="none"/>
              </w:rPr>
              <w:t>给排水</w:t>
            </w:r>
          </w:p>
          <w:p>
            <w:pPr>
              <w:autoSpaceDE w:val="0"/>
              <w:autoSpaceDN w:val="0"/>
              <w:adjustRightInd w:val="0"/>
              <w:spacing w:line="520" w:lineRule="exact"/>
              <w:ind w:firstLine="480" w:firstLineChars="200"/>
              <w:rPr>
                <w:sz w:val="24"/>
                <w:highlight w:val="none"/>
              </w:rPr>
            </w:pPr>
            <w:r>
              <w:rPr>
                <w:sz w:val="24"/>
                <w:highlight w:val="none"/>
              </w:rPr>
              <w:t>给水：本项目用水由</w:t>
            </w:r>
            <w:r>
              <w:rPr>
                <w:rFonts w:hint="eastAsia"/>
                <w:sz w:val="24"/>
                <w:highlight w:val="none"/>
              </w:rPr>
              <w:t>慈周寨镇第一水厂</w:t>
            </w:r>
            <w:r>
              <w:rPr>
                <w:sz w:val="24"/>
                <w:highlight w:val="none"/>
              </w:rPr>
              <w:t>供给，可满足项目用水需求。</w:t>
            </w:r>
          </w:p>
          <w:p>
            <w:pPr>
              <w:spacing w:line="520" w:lineRule="exact"/>
              <w:ind w:firstLine="480" w:firstLineChars="200"/>
              <w:rPr>
                <w:sz w:val="24"/>
                <w:lang w:val="fr-FR"/>
              </w:rPr>
            </w:pPr>
            <w:r>
              <w:rPr>
                <w:sz w:val="24"/>
                <w:highlight w:val="none"/>
              </w:rPr>
              <w:t>排水：</w:t>
            </w:r>
            <w:r>
              <w:rPr>
                <w:rFonts w:hint="eastAsia"/>
                <w:sz w:val="24"/>
                <w:highlight w:val="none"/>
              </w:rPr>
              <w:t>本项目排水主要为</w:t>
            </w:r>
            <w:r>
              <w:rPr>
                <w:rFonts w:hint="eastAsia"/>
                <w:sz w:val="24"/>
                <w:highlight w:val="none"/>
                <w:lang w:val="fr-FR"/>
              </w:rPr>
              <w:t>员工生活污水</w:t>
            </w:r>
            <w:r>
              <w:rPr>
                <w:rFonts w:hint="eastAsia"/>
                <w:sz w:val="24"/>
                <w:highlight w:val="none"/>
              </w:rPr>
              <w:t>。员工</w:t>
            </w:r>
            <w:r>
              <w:rPr>
                <w:rFonts w:hint="eastAsia"/>
                <w:sz w:val="24"/>
                <w:highlight w:val="none"/>
                <w:lang w:val="fr-FR"/>
              </w:rPr>
              <w:t>生活污水经厂区化粪池处理后</w:t>
            </w:r>
            <w:r>
              <w:rPr>
                <w:sz w:val="24"/>
                <w:highlight w:val="none"/>
                <w:lang w:val="fr-FR"/>
              </w:rPr>
              <w:t>，</w:t>
            </w:r>
            <w:r>
              <w:rPr>
                <w:sz w:val="24"/>
                <w:lang w:val="fr-FR"/>
              </w:rPr>
              <w:t>定期清运，沤制农家肥</w:t>
            </w:r>
            <w:r>
              <w:rPr>
                <w:rFonts w:hint="eastAsia"/>
                <w:sz w:val="24"/>
                <w:lang w:val="fr-FR"/>
              </w:rPr>
              <w:t>。</w:t>
            </w:r>
          </w:p>
          <w:p>
            <w:pPr>
              <w:tabs>
                <w:tab w:val="left" w:pos="2865"/>
              </w:tabs>
              <w:spacing w:line="460" w:lineRule="exact"/>
              <w:ind w:firstLine="573"/>
              <w:jc w:val="center"/>
              <w:rPr>
                <w:b/>
                <w:szCs w:val="21"/>
                <w:u w:val="single"/>
              </w:rPr>
            </w:pPr>
            <w:r>
              <w:rPr>
                <w:b/>
                <w:szCs w:val="21"/>
              </w:rPr>
              <w:t>表</w:t>
            </w:r>
            <w:r>
              <w:rPr>
                <w:rFonts w:hint="eastAsia"/>
                <w:b/>
                <w:szCs w:val="21"/>
              </w:rPr>
              <w:t>7</w:t>
            </w:r>
            <w:r>
              <w:rPr>
                <w:b/>
                <w:szCs w:val="21"/>
              </w:rPr>
              <w:t xml:space="preserve">  建设项目用水情况一览表</w:t>
            </w:r>
          </w:p>
          <w:tbl>
            <w:tblPr>
              <w:tblStyle w:val="28"/>
              <w:tblW w:w="90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146"/>
              <w:gridCol w:w="1200"/>
              <w:gridCol w:w="1282"/>
              <w:gridCol w:w="1202"/>
              <w:gridCol w:w="34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6" w:type="dxa"/>
                  <w:vAlign w:val="center"/>
                </w:tcPr>
                <w:p>
                  <w:pPr>
                    <w:tabs>
                      <w:tab w:val="left" w:pos="2865"/>
                    </w:tabs>
                    <w:jc w:val="center"/>
                    <w:rPr>
                      <w:bCs/>
                      <w:szCs w:val="21"/>
                    </w:rPr>
                  </w:pPr>
                  <w:r>
                    <w:rPr>
                      <w:bCs/>
                      <w:szCs w:val="21"/>
                    </w:rPr>
                    <w:t>序号</w:t>
                  </w:r>
                </w:p>
              </w:tc>
              <w:tc>
                <w:tcPr>
                  <w:tcW w:w="1146" w:type="dxa"/>
                  <w:vAlign w:val="center"/>
                </w:tcPr>
                <w:p>
                  <w:pPr>
                    <w:tabs>
                      <w:tab w:val="left" w:pos="2865"/>
                    </w:tabs>
                    <w:jc w:val="center"/>
                    <w:rPr>
                      <w:bCs/>
                      <w:szCs w:val="21"/>
                    </w:rPr>
                  </w:pPr>
                  <w:r>
                    <w:rPr>
                      <w:bCs/>
                      <w:szCs w:val="21"/>
                    </w:rPr>
                    <w:t>用水名称</w:t>
                  </w:r>
                </w:p>
              </w:tc>
              <w:tc>
                <w:tcPr>
                  <w:tcW w:w="1200" w:type="dxa"/>
                  <w:vAlign w:val="center"/>
                </w:tcPr>
                <w:p>
                  <w:pPr>
                    <w:tabs>
                      <w:tab w:val="left" w:pos="2865"/>
                    </w:tabs>
                    <w:jc w:val="center"/>
                    <w:rPr>
                      <w:bCs/>
                      <w:szCs w:val="21"/>
                    </w:rPr>
                  </w:pPr>
                  <w:r>
                    <w:rPr>
                      <w:bCs/>
                      <w:szCs w:val="21"/>
                    </w:rPr>
                    <w:t>新鲜水用量（</w:t>
                  </w:r>
                  <w:r>
                    <w:rPr>
                      <w:sz w:val="24"/>
                    </w:rPr>
                    <w:t>m</w:t>
                  </w:r>
                  <w:r>
                    <w:rPr>
                      <w:sz w:val="24"/>
                      <w:vertAlign w:val="superscript"/>
                    </w:rPr>
                    <w:t>3</w:t>
                  </w:r>
                  <w:r>
                    <w:rPr>
                      <w:sz w:val="24"/>
                    </w:rPr>
                    <w:t>/</w:t>
                  </w:r>
                  <w:r>
                    <w:rPr>
                      <w:rFonts w:hint="eastAsia"/>
                      <w:bCs/>
                      <w:szCs w:val="21"/>
                    </w:rPr>
                    <w:t>d</w:t>
                  </w:r>
                  <w:r>
                    <w:rPr>
                      <w:bCs/>
                      <w:szCs w:val="21"/>
                    </w:rPr>
                    <w:t>）</w:t>
                  </w:r>
                </w:p>
              </w:tc>
              <w:tc>
                <w:tcPr>
                  <w:tcW w:w="1282" w:type="dxa"/>
                  <w:vAlign w:val="center"/>
                </w:tcPr>
                <w:p>
                  <w:pPr>
                    <w:tabs>
                      <w:tab w:val="left" w:pos="2865"/>
                    </w:tabs>
                    <w:jc w:val="center"/>
                    <w:rPr>
                      <w:bCs/>
                      <w:szCs w:val="21"/>
                    </w:rPr>
                  </w:pPr>
                  <w:r>
                    <w:rPr>
                      <w:rFonts w:hint="eastAsia"/>
                      <w:bCs/>
                      <w:szCs w:val="21"/>
                    </w:rPr>
                    <w:t>损耗水</w:t>
                  </w:r>
                  <w:r>
                    <w:rPr>
                      <w:bCs/>
                      <w:szCs w:val="21"/>
                    </w:rPr>
                    <w:t>量</w:t>
                  </w:r>
                </w:p>
                <w:p>
                  <w:pPr>
                    <w:tabs>
                      <w:tab w:val="left" w:pos="2865"/>
                    </w:tabs>
                    <w:ind w:left="-296" w:leftChars="-141" w:firstLine="210" w:firstLineChars="100"/>
                    <w:jc w:val="center"/>
                    <w:rPr>
                      <w:bCs/>
                      <w:szCs w:val="21"/>
                    </w:rPr>
                  </w:pPr>
                  <w:r>
                    <w:rPr>
                      <w:bCs/>
                      <w:szCs w:val="21"/>
                    </w:rPr>
                    <w:t>（</w:t>
                  </w:r>
                  <w:r>
                    <w:rPr>
                      <w:sz w:val="24"/>
                    </w:rPr>
                    <w:t>m</w:t>
                  </w:r>
                  <w:r>
                    <w:rPr>
                      <w:sz w:val="24"/>
                      <w:vertAlign w:val="superscript"/>
                    </w:rPr>
                    <w:t>3</w:t>
                  </w:r>
                  <w:r>
                    <w:rPr>
                      <w:sz w:val="24"/>
                    </w:rPr>
                    <w:t>/</w:t>
                  </w:r>
                  <w:r>
                    <w:rPr>
                      <w:rFonts w:hint="eastAsia"/>
                      <w:bCs/>
                      <w:szCs w:val="21"/>
                    </w:rPr>
                    <w:t>d</w:t>
                  </w:r>
                  <w:r>
                    <w:rPr>
                      <w:bCs/>
                      <w:szCs w:val="21"/>
                    </w:rPr>
                    <w:t>）</w:t>
                  </w:r>
                </w:p>
              </w:tc>
              <w:tc>
                <w:tcPr>
                  <w:tcW w:w="1202" w:type="dxa"/>
                  <w:vAlign w:val="center"/>
                </w:tcPr>
                <w:p>
                  <w:pPr>
                    <w:tabs>
                      <w:tab w:val="left" w:pos="2865"/>
                    </w:tabs>
                    <w:jc w:val="center"/>
                    <w:rPr>
                      <w:bCs/>
                      <w:szCs w:val="21"/>
                    </w:rPr>
                  </w:pPr>
                  <w:r>
                    <w:rPr>
                      <w:bCs/>
                      <w:szCs w:val="21"/>
                    </w:rPr>
                    <w:t>排放量</w:t>
                  </w:r>
                </w:p>
                <w:p>
                  <w:pPr>
                    <w:tabs>
                      <w:tab w:val="left" w:pos="2865"/>
                    </w:tabs>
                    <w:ind w:left="-296" w:leftChars="-141" w:firstLine="210" w:firstLineChars="100"/>
                    <w:jc w:val="center"/>
                    <w:rPr>
                      <w:bCs/>
                      <w:szCs w:val="21"/>
                    </w:rPr>
                  </w:pPr>
                  <w:r>
                    <w:rPr>
                      <w:bCs/>
                      <w:szCs w:val="21"/>
                    </w:rPr>
                    <w:t>（</w:t>
                  </w:r>
                  <w:r>
                    <w:rPr>
                      <w:sz w:val="24"/>
                    </w:rPr>
                    <w:t>m</w:t>
                  </w:r>
                  <w:r>
                    <w:rPr>
                      <w:sz w:val="24"/>
                      <w:vertAlign w:val="superscript"/>
                    </w:rPr>
                    <w:t>3</w:t>
                  </w:r>
                  <w:r>
                    <w:rPr>
                      <w:sz w:val="24"/>
                    </w:rPr>
                    <w:t>/</w:t>
                  </w:r>
                  <w:r>
                    <w:rPr>
                      <w:rFonts w:hint="eastAsia"/>
                      <w:bCs/>
                      <w:szCs w:val="21"/>
                    </w:rPr>
                    <w:t>d</w:t>
                  </w:r>
                  <w:r>
                    <w:rPr>
                      <w:bCs/>
                      <w:szCs w:val="21"/>
                    </w:rPr>
                    <w:t>）</w:t>
                  </w:r>
                </w:p>
              </w:tc>
              <w:tc>
                <w:tcPr>
                  <w:tcW w:w="3456" w:type="dxa"/>
                  <w:vAlign w:val="center"/>
                </w:tcPr>
                <w:p>
                  <w:pPr>
                    <w:tabs>
                      <w:tab w:val="left" w:pos="2865"/>
                    </w:tabs>
                    <w:jc w:val="center"/>
                    <w:rPr>
                      <w:bCs/>
                      <w:szCs w:val="21"/>
                    </w:rPr>
                  </w:pPr>
                  <w:r>
                    <w:rPr>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756" w:type="dxa"/>
                  <w:vAlign w:val="center"/>
                </w:tcPr>
                <w:p>
                  <w:pPr>
                    <w:tabs>
                      <w:tab w:val="left" w:pos="2865"/>
                    </w:tabs>
                    <w:jc w:val="center"/>
                    <w:rPr>
                      <w:bCs/>
                      <w:szCs w:val="21"/>
                    </w:rPr>
                  </w:pPr>
                  <w:r>
                    <w:rPr>
                      <w:bCs/>
                      <w:szCs w:val="21"/>
                    </w:rPr>
                    <w:t>1</w:t>
                  </w:r>
                </w:p>
              </w:tc>
              <w:tc>
                <w:tcPr>
                  <w:tcW w:w="1146" w:type="dxa"/>
                  <w:vAlign w:val="center"/>
                </w:tcPr>
                <w:p>
                  <w:pPr>
                    <w:tabs>
                      <w:tab w:val="left" w:pos="2865"/>
                    </w:tabs>
                    <w:jc w:val="center"/>
                    <w:rPr>
                      <w:bCs/>
                      <w:szCs w:val="21"/>
                    </w:rPr>
                  </w:pPr>
                  <w:r>
                    <w:rPr>
                      <w:bCs/>
                      <w:szCs w:val="21"/>
                    </w:rPr>
                    <w:t>生活用水</w:t>
                  </w:r>
                </w:p>
              </w:tc>
              <w:tc>
                <w:tcPr>
                  <w:tcW w:w="1200" w:type="dxa"/>
                  <w:vAlign w:val="center"/>
                </w:tcPr>
                <w:p>
                  <w:pPr>
                    <w:tabs>
                      <w:tab w:val="left" w:pos="2865"/>
                    </w:tabs>
                    <w:jc w:val="center"/>
                    <w:rPr>
                      <w:rFonts w:hint="eastAsia"/>
                      <w:bCs/>
                      <w:szCs w:val="21"/>
                    </w:rPr>
                  </w:pPr>
                  <w:r>
                    <w:rPr>
                      <w:rFonts w:hint="eastAsia"/>
                      <w:bCs/>
                      <w:szCs w:val="21"/>
                    </w:rPr>
                    <w:t>0.80</w:t>
                  </w:r>
                </w:p>
              </w:tc>
              <w:tc>
                <w:tcPr>
                  <w:tcW w:w="1282" w:type="dxa"/>
                  <w:vAlign w:val="center"/>
                </w:tcPr>
                <w:p>
                  <w:pPr>
                    <w:tabs>
                      <w:tab w:val="left" w:pos="2865"/>
                    </w:tabs>
                    <w:jc w:val="center"/>
                    <w:rPr>
                      <w:rFonts w:hint="eastAsia"/>
                      <w:bCs/>
                      <w:szCs w:val="21"/>
                    </w:rPr>
                  </w:pPr>
                  <w:r>
                    <w:rPr>
                      <w:rFonts w:hint="eastAsia"/>
                      <w:bCs/>
                      <w:szCs w:val="21"/>
                    </w:rPr>
                    <w:t>0.16</w:t>
                  </w:r>
                </w:p>
              </w:tc>
              <w:tc>
                <w:tcPr>
                  <w:tcW w:w="1202" w:type="dxa"/>
                  <w:vAlign w:val="center"/>
                </w:tcPr>
                <w:p>
                  <w:pPr>
                    <w:tabs>
                      <w:tab w:val="left" w:pos="2865"/>
                    </w:tabs>
                    <w:jc w:val="center"/>
                    <w:rPr>
                      <w:rFonts w:hint="eastAsia"/>
                      <w:bCs/>
                      <w:szCs w:val="21"/>
                    </w:rPr>
                  </w:pPr>
                  <w:r>
                    <w:rPr>
                      <w:rFonts w:hint="eastAsia"/>
                      <w:bCs/>
                      <w:szCs w:val="21"/>
                    </w:rPr>
                    <w:t>0.64</w:t>
                  </w:r>
                </w:p>
              </w:tc>
              <w:tc>
                <w:tcPr>
                  <w:tcW w:w="3456" w:type="dxa"/>
                  <w:vAlign w:val="center"/>
                </w:tcPr>
                <w:p>
                  <w:pPr>
                    <w:tabs>
                      <w:tab w:val="left" w:pos="2865"/>
                    </w:tabs>
                    <w:jc w:val="center"/>
                    <w:rPr>
                      <w:bCs/>
                      <w:szCs w:val="21"/>
                    </w:rPr>
                  </w:pPr>
                  <w:r>
                    <w:rPr>
                      <w:rFonts w:hint="eastAsia"/>
                      <w:bCs/>
                      <w:szCs w:val="21"/>
                    </w:rPr>
                    <w:t>员工20人，</w:t>
                  </w:r>
                  <w:r>
                    <w:rPr>
                      <w:bCs/>
                      <w:szCs w:val="21"/>
                    </w:rPr>
                    <w:t>不在厂区食宿，</w:t>
                  </w:r>
                  <w:r>
                    <w:rPr>
                      <w:rFonts w:hint="eastAsia"/>
                      <w:bCs/>
                      <w:szCs w:val="21"/>
                    </w:rPr>
                    <w:t>用水系数按40L/人·d计，</w:t>
                  </w:r>
                  <w:r>
                    <w:rPr>
                      <w:rFonts w:hint="eastAsia"/>
                      <w:szCs w:val="21"/>
                    </w:rPr>
                    <w:t>排污系数按80%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756" w:type="dxa"/>
                  <w:vAlign w:val="center"/>
                </w:tcPr>
                <w:p>
                  <w:pPr>
                    <w:tabs>
                      <w:tab w:val="left" w:pos="2865"/>
                    </w:tabs>
                    <w:jc w:val="center"/>
                    <w:rPr>
                      <w:rFonts w:hint="eastAsia"/>
                      <w:bCs/>
                      <w:szCs w:val="21"/>
                    </w:rPr>
                  </w:pPr>
                  <w:r>
                    <w:rPr>
                      <w:rFonts w:hint="eastAsia"/>
                      <w:bCs/>
                      <w:szCs w:val="21"/>
                    </w:rPr>
                    <w:t>2</w:t>
                  </w:r>
                </w:p>
              </w:tc>
              <w:tc>
                <w:tcPr>
                  <w:tcW w:w="1146" w:type="dxa"/>
                  <w:vAlign w:val="center"/>
                </w:tcPr>
                <w:p>
                  <w:pPr>
                    <w:tabs>
                      <w:tab w:val="left" w:pos="2865"/>
                    </w:tabs>
                    <w:jc w:val="center"/>
                    <w:rPr>
                      <w:rFonts w:hint="eastAsia"/>
                      <w:bCs/>
                      <w:szCs w:val="21"/>
                    </w:rPr>
                  </w:pPr>
                  <w:r>
                    <w:rPr>
                      <w:rFonts w:hint="eastAsia"/>
                      <w:bCs/>
                      <w:szCs w:val="21"/>
                    </w:rPr>
                    <w:t>拌面用水</w:t>
                  </w:r>
                </w:p>
              </w:tc>
              <w:tc>
                <w:tcPr>
                  <w:tcW w:w="1200" w:type="dxa"/>
                  <w:vAlign w:val="center"/>
                </w:tcPr>
                <w:p>
                  <w:pPr>
                    <w:tabs>
                      <w:tab w:val="left" w:pos="2865"/>
                    </w:tabs>
                    <w:jc w:val="center"/>
                    <w:rPr>
                      <w:rFonts w:hint="eastAsia"/>
                      <w:bCs/>
                      <w:szCs w:val="21"/>
                    </w:rPr>
                  </w:pPr>
                  <w:r>
                    <w:rPr>
                      <w:rFonts w:hint="eastAsia"/>
                      <w:bCs/>
                      <w:szCs w:val="21"/>
                    </w:rPr>
                    <w:t>1</w:t>
                  </w:r>
                </w:p>
              </w:tc>
              <w:tc>
                <w:tcPr>
                  <w:tcW w:w="1282" w:type="dxa"/>
                  <w:vAlign w:val="center"/>
                </w:tcPr>
                <w:p>
                  <w:pPr>
                    <w:tabs>
                      <w:tab w:val="left" w:pos="2865"/>
                    </w:tabs>
                    <w:jc w:val="center"/>
                    <w:rPr>
                      <w:rFonts w:hint="eastAsia"/>
                      <w:bCs/>
                      <w:szCs w:val="21"/>
                    </w:rPr>
                  </w:pPr>
                  <w:r>
                    <w:rPr>
                      <w:rFonts w:hint="eastAsia"/>
                      <w:bCs/>
                      <w:szCs w:val="21"/>
                    </w:rPr>
                    <w:t>0.3</w:t>
                  </w:r>
                </w:p>
              </w:tc>
              <w:tc>
                <w:tcPr>
                  <w:tcW w:w="1202" w:type="dxa"/>
                  <w:vAlign w:val="center"/>
                </w:tcPr>
                <w:p>
                  <w:pPr>
                    <w:tabs>
                      <w:tab w:val="left" w:pos="2865"/>
                    </w:tabs>
                    <w:jc w:val="center"/>
                    <w:rPr>
                      <w:rFonts w:hint="eastAsia"/>
                      <w:bCs/>
                      <w:szCs w:val="21"/>
                    </w:rPr>
                  </w:pPr>
                  <w:r>
                    <w:rPr>
                      <w:rFonts w:hint="eastAsia"/>
                      <w:bCs/>
                      <w:szCs w:val="21"/>
                    </w:rPr>
                    <w:t>0</w:t>
                  </w:r>
                </w:p>
              </w:tc>
              <w:tc>
                <w:tcPr>
                  <w:tcW w:w="3456" w:type="dxa"/>
                  <w:vAlign w:val="center"/>
                </w:tcPr>
                <w:p>
                  <w:pPr>
                    <w:tabs>
                      <w:tab w:val="left" w:pos="2865"/>
                    </w:tabs>
                    <w:jc w:val="center"/>
                    <w:rPr>
                      <w:rFonts w:hint="eastAsia"/>
                      <w:bCs/>
                      <w:szCs w:val="21"/>
                    </w:rPr>
                  </w:pPr>
                  <w:r>
                    <w:rPr>
                      <w:rFonts w:hint="eastAsia"/>
                      <w:bCs/>
                      <w:szCs w:val="21"/>
                    </w:rPr>
                    <w:t>拌面用水全部进入产品</w:t>
                  </w:r>
                </w:p>
              </w:tc>
            </w:tr>
          </w:tbl>
          <w:p>
            <w:pPr>
              <w:rPr>
                <w:b/>
                <w:szCs w:val="21"/>
              </w:rPr>
            </w:pPr>
          </w:p>
          <w:p>
            <w:pPr>
              <w:rPr>
                <w:b/>
                <w:szCs w:val="21"/>
              </w:rPr>
            </w:pPr>
          </w:p>
          <w:p>
            <w:pPr>
              <w:rPr>
                <w:b/>
                <w:szCs w:val="21"/>
              </w:rPr>
            </w:pPr>
          </w:p>
          <w:p>
            <w:pPr>
              <w:rPr>
                <w:b/>
                <w:szCs w:val="21"/>
              </w:rPr>
            </w:pPr>
          </w:p>
          <w:p>
            <w:pPr>
              <w:rPr>
                <w:b/>
                <w:szCs w:val="21"/>
              </w:rPr>
            </w:pPr>
          </w:p>
          <w:p>
            <w:pPr>
              <w:rPr>
                <w:b/>
                <w:szCs w:val="21"/>
              </w:rPr>
            </w:pPr>
            <w:r>
              <mc:AlternateContent>
                <mc:Choice Requires="wps">
                  <w:drawing>
                    <wp:anchor distT="0" distB="0" distL="114300" distR="114300" simplePos="0" relativeHeight="251720704" behindDoc="0" locked="0" layoutInCell="1" allowOverlap="1">
                      <wp:simplePos x="0" y="0"/>
                      <wp:positionH relativeFrom="column">
                        <wp:posOffset>2316480</wp:posOffset>
                      </wp:positionH>
                      <wp:positionV relativeFrom="paragraph">
                        <wp:posOffset>49530</wp:posOffset>
                      </wp:positionV>
                      <wp:extent cx="1099820" cy="294640"/>
                      <wp:effectExtent l="0" t="0" r="0" b="0"/>
                      <wp:wrapNone/>
                      <wp:docPr id="90" name="文本框 106"/>
                      <wp:cNvGraphicFramePr/>
                      <a:graphic xmlns:a="http://schemas.openxmlformats.org/drawingml/2006/main">
                        <a:graphicData uri="http://schemas.microsoft.com/office/word/2010/wordprocessingShape">
                          <wps:wsp>
                            <wps:cNvSpPr txBox="1"/>
                            <wps:spPr>
                              <a:xfrm>
                                <a:off x="0" y="0"/>
                                <a:ext cx="1099820" cy="294640"/>
                              </a:xfrm>
                              <a:prstGeom prst="rect">
                                <a:avLst/>
                              </a:prstGeom>
                              <a:noFill/>
                              <a:ln w="9525">
                                <a:noFill/>
                              </a:ln>
                            </wps:spPr>
                            <wps:txbx>
                              <w:txbxContent>
                                <w:p>
                                  <w:pPr>
                                    <w:rPr>
                                      <w:rFonts w:hint="eastAsia"/>
                                    </w:rPr>
                                  </w:pPr>
                                  <w:r>
                                    <w:rPr>
                                      <w:rFonts w:hint="eastAsia"/>
                                    </w:rPr>
                                    <w:t>0.16</w:t>
                                  </w:r>
                                </w:p>
                              </w:txbxContent>
                            </wps:txbx>
                            <wps:bodyPr wrap="square" upright="1"/>
                          </wps:wsp>
                        </a:graphicData>
                      </a:graphic>
                    </wp:anchor>
                  </w:drawing>
                </mc:Choice>
                <mc:Fallback>
                  <w:pict>
                    <v:shape id="文本框 106" o:spid="_x0000_s1026" o:spt="202" type="#_x0000_t202" style="position:absolute;left:0pt;margin-left:182.4pt;margin-top:3.9pt;height:23.2pt;width:86.6pt;z-index:251720704;mso-width-relative:page;mso-height-relative:page;" filled="f" stroked="f" coordsize="21600,21600" o:gfxdata="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Pegah1gAAAAgBAAAPAAAA&#10;AAAAAAEAIAAAACIAAABkcnMvZG93bnJldi54bWxQSwECFAAUAAAACACHTuJAhj2sAKUBAAAaAwAA&#10;DgAAAAAAAAABACAAAAAlAQAAZHJzL2Uyb0RvYy54bWxQSwUGAAAAAAYABgBZAQAAPAUAAAAA&#10;">
                      <v:fill on="f" focussize="0,0"/>
                      <v:stroke on="f"/>
                      <v:imagedata o:title=""/>
                      <o:lock v:ext="edit" aspectratio="f"/>
                      <v:textbox>
                        <w:txbxContent>
                          <w:p>
                            <w:pPr>
                              <w:rPr>
                                <w:rFonts w:hint="eastAsia"/>
                              </w:rPr>
                            </w:pPr>
                            <w:r>
                              <w:rPr>
                                <w:rFonts w:hint="eastAsia"/>
                              </w:rPr>
                              <w:t>0.16</w:t>
                            </w:r>
                          </w:p>
                        </w:txbxContent>
                      </v:textbox>
                    </v:shape>
                  </w:pict>
                </mc:Fallback>
              </mc:AlternateContent>
            </w:r>
          </w:p>
          <w:p>
            <w:pPr>
              <w:rPr>
                <w:b/>
                <w:szCs w:val="21"/>
              </w:rPr>
            </w:pPr>
            <w:r>
              <mc:AlternateContent>
                <mc:Choice Requires="wps">
                  <w:drawing>
                    <wp:anchor distT="0" distB="0" distL="114300" distR="114300" simplePos="0" relativeHeight="251719680" behindDoc="0" locked="0" layoutInCell="1" allowOverlap="1">
                      <wp:simplePos x="0" y="0"/>
                      <wp:positionH relativeFrom="column">
                        <wp:posOffset>2152015</wp:posOffset>
                      </wp:positionH>
                      <wp:positionV relativeFrom="paragraph">
                        <wp:posOffset>111760</wp:posOffset>
                      </wp:positionV>
                      <wp:extent cx="294640" cy="337185"/>
                      <wp:effectExtent l="6985" t="0" r="3175" b="24765"/>
                      <wp:wrapNone/>
                      <wp:docPr id="89" name="直线 105"/>
                      <wp:cNvGraphicFramePr/>
                      <a:graphic xmlns:a="http://schemas.openxmlformats.org/drawingml/2006/main">
                        <a:graphicData uri="http://schemas.microsoft.com/office/word/2010/wordprocessingShape">
                          <wps:wsp>
                            <wps:cNvCnPr/>
                            <wps:spPr>
                              <a:xfrm flipV="1">
                                <a:off x="0" y="0"/>
                                <a:ext cx="294640" cy="337185"/>
                              </a:xfrm>
                              <a:prstGeom prst="line">
                                <a:avLst/>
                              </a:prstGeom>
                              <a:ln w="19050" cap="flat" cmpd="sng">
                                <a:solidFill>
                                  <a:srgbClr val="000000"/>
                                </a:solidFill>
                                <a:prstDash val="dash"/>
                                <a:headEnd type="none" w="med" len="med"/>
                                <a:tailEnd type="triangle" w="med" len="med"/>
                              </a:ln>
                            </wps:spPr>
                            <wps:bodyPr upright="1"/>
                          </wps:wsp>
                        </a:graphicData>
                      </a:graphic>
                    </wp:anchor>
                  </w:drawing>
                </mc:Choice>
                <mc:Fallback>
                  <w:pict>
                    <v:line id="直线 105" o:spid="_x0000_s1026" o:spt="20" style="position:absolute;left:0pt;flip:y;margin-left:169.45pt;margin-top:8.8pt;height:26.55pt;width:23.2pt;z-index:251719680;mso-width-relative:page;mso-height-relative:page;" filled="f" stroked="t" coordsize="21600,21600" o:gfxdata="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6Y8ktcAAAAJ&#10;AQAADwAAAAAAAAABACAAAAAiAAAAZHJzL2Rvd25yZXYueG1sUEsBAhQAFAAAAAgAh07iQAqeYjnk&#10;AQAAogMAAA4AAAAAAAAAAQAgAAAAJgEAAGRycy9lMm9Eb2MueG1sUEsFBgAAAAAGAAYAWQEAAHwF&#10;AAAAAA==&#10;">
                      <v:fill on="f" focussize="0,0"/>
                      <v:stroke weight="1.5pt" color="#000000" joinstyle="round" dashstyle="dash" endarrow="block"/>
                      <v:imagedata o:title=""/>
                      <o:lock v:ext="edit" aspectratio="f"/>
                    </v:line>
                  </w:pict>
                </mc:Fallback>
              </mc:AlternateContent>
            </w:r>
          </w:p>
          <w:p>
            <w:pPr>
              <w:rPr>
                <w:b/>
                <w:szCs w:val="21"/>
              </w:rPr>
            </w:pPr>
            <w:r>
              <mc:AlternateContent>
                <mc:Choice Requires="wps">
                  <w:drawing>
                    <wp:anchor distT="0" distB="0" distL="114300" distR="114300" simplePos="0" relativeHeight="251716608" behindDoc="0" locked="0" layoutInCell="1" allowOverlap="1">
                      <wp:simplePos x="0" y="0"/>
                      <wp:positionH relativeFrom="column">
                        <wp:posOffset>4601210</wp:posOffset>
                      </wp:positionH>
                      <wp:positionV relativeFrom="paragraph">
                        <wp:posOffset>170815</wp:posOffset>
                      </wp:positionV>
                      <wp:extent cx="895350" cy="894715"/>
                      <wp:effectExtent l="0" t="0" r="0" b="0"/>
                      <wp:wrapNone/>
                      <wp:docPr id="86" name="文本框 99"/>
                      <wp:cNvGraphicFramePr/>
                      <a:graphic xmlns:a="http://schemas.openxmlformats.org/drawingml/2006/main">
                        <a:graphicData uri="http://schemas.microsoft.com/office/word/2010/wordprocessingShape">
                          <wps:wsp>
                            <wps:cNvSpPr txBox="1"/>
                            <wps:spPr>
                              <a:xfrm>
                                <a:off x="0" y="0"/>
                                <a:ext cx="895350" cy="894715"/>
                              </a:xfrm>
                              <a:prstGeom prst="rect">
                                <a:avLst/>
                              </a:prstGeom>
                              <a:noFill/>
                              <a:ln w="9525">
                                <a:noFill/>
                              </a:ln>
                            </wps:spPr>
                            <wps:txbx>
                              <w:txbxContent>
                                <w:p>
                                  <w:r>
                                    <w:t>定期清运沤制农家肥</w:t>
                                  </w:r>
                                </w:p>
                              </w:txbxContent>
                            </wps:txbx>
                            <wps:bodyPr wrap="square" upright="1"/>
                          </wps:wsp>
                        </a:graphicData>
                      </a:graphic>
                    </wp:anchor>
                  </w:drawing>
                </mc:Choice>
                <mc:Fallback>
                  <w:pict>
                    <v:shape id="文本框 99" o:spid="_x0000_s1026" o:spt="202" type="#_x0000_t202" style="position:absolute;left:0pt;margin-left:362.3pt;margin-top:13.45pt;height:70.45pt;width:70.5pt;z-index:251716608;mso-width-relative:page;mso-height-relative:page;" filled="f" stroked="f" coordsize="21600,21600" o:gfxdata="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t/L49cAAAAKAQAADwAA&#10;AAAAAAABACAAAAAiAAAAZHJzL2Rvd25yZXYueG1sUEsBAhQAFAAAAAgAh07iQE+OhaWlAQAAGAMA&#10;AA4AAAAAAAAAAQAgAAAAJgEAAGRycy9lMm9Eb2MueG1sUEsFBgAAAAAGAAYAWQEAAD0FAAAAAA==&#10;">
                      <v:fill on="f" focussize="0,0"/>
                      <v:stroke on="f"/>
                      <v:imagedata o:title=""/>
                      <o:lock v:ext="edit" aspectratio="f"/>
                      <v:textbox>
                        <w:txbxContent>
                          <w:p>
                            <w:r>
                              <w:t>定期清运沤制农家肥</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2848610</wp:posOffset>
                      </wp:positionH>
                      <wp:positionV relativeFrom="paragraph">
                        <wp:posOffset>170815</wp:posOffset>
                      </wp:positionV>
                      <wp:extent cx="457200" cy="323850"/>
                      <wp:effectExtent l="0" t="0" r="0" b="0"/>
                      <wp:wrapNone/>
                      <wp:docPr id="85" name="文本框 95"/>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9525">
                                <a:noFill/>
                              </a:ln>
                            </wps:spPr>
                            <wps:txbx>
                              <w:txbxContent>
                                <w:p>
                                  <w:pPr>
                                    <w:rPr>
                                      <w:rFonts w:hint="eastAsia"/>
                                    </w:rPr>
                                  </w:pPr>
                                  <w:r>
                                    <w:rPr>
                                      <w:rFonts w:hint="eastAsia"/>
                                    </w:rPr>
                                    <w:t>0.64</w:t>
                                  </w:r>
                                </w:p>
                              </w:txbxContent>
                            </wps:txbx>
                            <wps:bodyPr wrap="square" upright="1"/>
                          </wps:wsp>
                        </a:graphicData>
                      </a:graphic>
                    </wp:anchor>
                  </w:drawing>
                </mc:Choice>
                <mc:Fallback>
                  <w:pict>
                    <v:shape id="文本框 95" o:spid="_x0000_s1026" o:spt="202" type="#_x0000_t202" style="position:absolute;left:0pt;margin-left:224.3pt;margin-top:13.45pt;height:25.5pt;width:36pt;z-index:251715584;mso-width-relative:page;mso-height-relative:page;" filled="f" stroked="f" coordsize="21600,21600" o:gfxdata="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MXsatcAAAAJAQAADwAA&#10;AAAAAAABACAAAAAiAAAAZHJzL2Rvd25yZXYueG1sUEsBAhQAFAAAAAgAh07iQBie18GlAQAAGAMA&#10;AA4AAAAAAAAAAQAgAAAAJgEAAGRycy9lMm9Eb2MueG1sUEsFBgAAAAAGAAYAWQEAAD0FAAAAAA==&#10;">
                      <v:fill on="f" focussize="0,0"/>
                      <v:stroke on="f"/>
                      <v:imagedata o:title=""/>
                      <o:lock v:ext="edit" aspectratio="f"/>
                      <v:textbox>
                        <w:txbxContent>
                          <w:p>
                            <w:pPr>
                              <w:rPr>
                                <w:rFonts w:hint="eastAsia"/>
                              </w:rPr>
                            </w:pPr>
                            <w:r>
                              <w:rPr>
                                <w:rFonts w:hint="eastAsia"/>
                              </w:rPr>
                              <w:t>0.64</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4096385</wp:posOffset>
                      </wp:positionH>
                      <wp:positionV relativeFrom="paragraph">
                        <wp:posOffset>151765</wp:posOffset>
                      </wp:positionV>
                      <wp:extent cx="523240" cy="381000"/>
                      <wp:effectExtent l="0" t="0" r="0" b="0"/>
                      <wp:wrapNone/>
                      <wp:docPr id="76" name="文本框 100"/>
                      <wp:cNvGraphicFramePr/>
                      <a:graphic xmlns:a="http://schemas.openxmlformats.org/drawingml/2006/main">
                        <a:graphicData uri="http://schemas.microsoft.com/office/word/2010/wordprocessingShape">
                          <wps:wsp>
                            <wps:cNvSpPr txBox="1"/>
                            <wps:spPr>
                              <a:xfrm>
                                <a:off x="0" y="0"/>
                                <a:ext cx="523240" cy="381000"/>
                              </a:xfrm>
                              <a:prstGeom prst="rect">
                                <a:avLst/>
                              </a:prstGeom>
                              <a:noFill/>
                              <a:ln w="9525">
                                <a:noFill/>
                              </a:ln>
                            </wps:spPr>
                            <wps:txbx>
                              <w:txbxContent>
                                <w:p>
                                  <w:pPr>
                                    <w:rPr>
                                      <w:rFonts w:hint="eastAsia"/>
                                    </w:rPr>
                                  </w:pPr>
                                  <w:r>
                                    <w:rPr>
                                      <w:rFonts w:hint="eastAsia"/>
                                    </w:rPr>
                                    <w:t>0.64</w:t>
                                  </w:r>
                                </w:p>
                              </w:txbxContent>
                            </wps:txbx>
                            <wps:bodyPr wrap="square" upright="1"/>
                          </wps:wsp>
                        </a:graphicData>
                      </a:graphic>
                    </wp:anchor>
                  </w:drawing>
                </mc:Choice>
                <mc:Fallback>
                  <w:pict>
                    <v:shape id="文本框 100" o:spid="_x0000_s1026" o:spt="202" type="#_x0000_t202" style="position:absolute;left:0pt;margin-left:322.55pt;margin-top:11.95pt;height:30pt;width:41.2pt;z-index:251706368;mso-width-relative:page;mso-height-relative:page;" filled="f" stroked="f" coordsize="21600,21600" o:gfxdata="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vlXoR1wAAAAkBAAAPAAAA&#10;AAAAAAEAIAAAACIAAABkcnMvZG93bnJldi54bWxQSwECFAAUAAAACACHTuJAHVf4/6QBAAAZAwAA&#10;DgAAAAAAAAABACAAAAAmAQAAZHJzL2Uyb0RvYy54bWxQSwUGAAAAAAYABgBZAQAAPAUAAAAA&#10;">
                      <v:fill on="f" focussize="0,0"/>
                      <v:stroke on="f"/>
                      <v:imagedata o:title=""/>
                      <o:lock v:ext="edit" aspectratio="f"/>
                      <v:textbox>
                        <w:txbxContent>
                          <w:p>
                            <w:pPr>
                              <w:rPr>
                                <w:rFonts w:hint="eastAsia"/>
                              </w:rPr>
                            </w:pPr>
                            <w:r>
                              <w:rPr>
                                <w:rFonts w:hint="eastAsia"/>
                              </w:rPr>
                              <w:t>0.64</w:t>
                            </w:r>
                          </w:p>
                        </w:txbxContent>
                      </v:textbox>
                    </v:shape>
                  </w:pict>
                </mc:Fallback>
              </mc:AlternateContent>
            </w:r>
          </w:p>
          <w:p>
            <w:pPr>
              <w:ind w:firstLine="420" w:firstLineChars="200"/>
              <w:jc w:val="center"/>
              <w:rPr>
                <w:b/>
                <w:szCs w:val="21"/>
              </w:rPr>
            </w:pPr>
            <w:r>
              <mc:AlternateContent>
                <mc:Choice Requires="wps">
                  <w:drawing>
                    <wp:anchor distT="0" distB="0" distL="114300" distR="114300" simplePos="0" relativeHeight="251707392" behindDoc="0" locked="0" layoutInCell="1" allowOverlap="1">
                      <wp:simplePos x="0" y="0"/>
                      <wp:positionH relativeFrom="column">
                        <wp:posOffset>820420</wp:posOffset>
                      </wp:positionH>
                      <wp:positionV relativeFrom="paragraph">
                        <wp:posOffset>178435</wp:posOffset>
                      </wp:positionV>
                      <wp:extent cx="459740" cy="882650"/>
                      <wp:effectExtent l="0" t="0" r="0" b="0"/>
                      <wp:wrapNone/>
                      <wp:docPr id="77" name="文本框 83"/>
                      <wp:cNvGraphicFramePr/>
                      <a:graphic xmlns:a="http://schemas.openxmlformats.org/drawingml/2006/main">
                        <a:graphicData uri="http://schemas.microsoft.com/office/word/2010/wordprocessingShape">
                          <wps:wsp>
                            <wps:cNvSpPr txBox="1"/>
                            <wps:spPr>
                              <a:xfrm>
                                <a:off x="0" y="0"/>
                                <a:ext cx="459740" cy="882650"/>
                              </a:xfrm>
                              <a:prstGeom prst="rect">
                                <a:avLst/>
                              </a:prstGeom>
                              <a:noFill/>
                              <a:ln w="9525">
                                <a:noFill/>
                              </a:ln>
                            </wps:spPr>
                            <wps:txbx>
                              <w:txbxContent>
                                <w:p>
                                  <w:pPr>
                                    <w:rPr>
                                      <w:rFonts w:hint="eastAsia"/>
                                    </w:rPr>
                                  </w:pPr>
                                  <w:r>
                                    <w:rPr>
                                      <w:rFonts w:hint="eastAsia"/>
                                    </w:rPr>
                                    <w:t>1.8</w:t>
                                  </w:r>
                                </w:p>
                              </w:txbxContent>
                            </wps:txbx>
                            <wps:bodyPr wrap="square" upright="1"/>
                          </wps:wsp>
                        </a:graphicData>
                      </a:graphic>
                    </wp:anchor>
                  </w:drawing>
                </mc:Choice>
                <mc:Fallback>
                  <w:pict>
                    <v:shape id="文本框 83" o:spid="_x0000_s1026" o:spt="202" type="#_x0000_t202" style="position:absolute;left:0pt;margin-left:64.6pt;margin-top:14.05pt;height:69.5pt;width:36.2pt;z-index:251707392;mso-width-relative:page;mso-height-relative:page;" filled="f" stroked="f" coordsize="21600,21600" o:gfxdata="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lIHATVAAAACgEAAA8AAAAA&#10;AAAAAQAgAAAAIgAAAGRycy9kb3ducmV2LnhtbFBLAQIUABQAAAAIAIdO4kBiP85gpQEAABgDAAAO&#10;AAAAAAAAAAEAIAAAACQBAABkcnMvZTJvRG9jLnhtbFBLBQYAAAAABgAGAFkBAAA7BQAAAAA=&#10;">
                      <v:fill on="f" focussize="0,0"/>
                      <v:stroke on="f"/>
                      <v:imagedata o:title=""/>
                      <o:lock v:ext="edit" aspectratio="f"/>
                      <v:textbox>
                        <w:txbxContent>
                          <w:p>
                            <w:pPr>
                              <w:rPr>
                                <w:rFonts w:hint="eastAsia"/>
                              </w:rPr>
                            </w:pPr>
                            <w:r>
                              <w:rPr>
                                <w:rFonts w:hint="eastAsia"/>
                              </w:rPr>
                              <w:t>1.8</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1257935</wp:posOffset>
                      </wp:positionH>
                      <wp:positionV relativeFrom="paragraph">
                        <wp:posOffset>10795</wp:posOffset>
                      </wp:positionV>
                      <wp:extent cx="495300" cy="342900"/>
                      <wp:effectExtent l="0" t="0" r="0" b="0"/>
                      <wp:wrapNone/>
                      <wp:docPr id="83" name="文本框 92"/>
                      <wp:cNvGraphicFramePr/>
                      <a:graphic xmlns:a="http://schemas.openxmlformats.org/drawingml/2006/main">
                        <a:graphicData uri="http://schemas.microsoft.com/office/word/2010/wordprocessingShape">
                          <wps:wsp>
                            <wps:cNvSpPr txBox="1"/>
                            <wps:spPr>
                              <a:xfrm>
                                <a:off x="0" y="0"/>
                                <a:ext cx="495300" cy="342900"/>
                              </a:xfrm>
                              <a:prstGeom prst="rect">
                                <a:avLst/>
                              </a:prstGeom>
                              <a:noFill/>
                              <a:ln w="9525">
                                <a:noFill/>
                              </a:ln>
                            </wps:spPr>
                            <wps:txbx>
                              <w:txbxContent>
                                <w:p>
                                  <w:pPr>
                                    <w:rPr>
                                      <w:rFonts w:hint="eastAsia"/>
                                    </w:rPr>
                                  </w:pPr>
                                  <w:r>
                                    <w:rPr>
                                      <w:rFonts w:hint="eastAsia"/>
                                    </w:rPr>
                                    <w:t>0.8</w:t>
                                  </w:r>
                                </w:p>
                              </w:txbxContent>
                            </wps:txbx>
                            <wps:bodyPr wrap="square" upright="1"/>
                          </wps:wsp>
                        </a:graphicData>
                      </a:graphic>
                    </wp:anchor>
                  </w:drawing>
                </mc:Choice>
                <mc:Fallback>
                  <w:pict>
                    <v:shape id="文本框 92" o:spid="_x0000_s1026" o:spt="202" type="#_x0000_t202" style="position:absolute;left:0pt;margin-left:99.05pt;margin-top:0.85pt;height:27pt;width:39pt;z-index:251713536;mso-width-relative:page;mso-height-relative:page;" filled="f" stroked="f" coordsize="21600,21600" o:gfxdata="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5MoQ6dUAAAAIAQAADwAAAAAA&#10;AAABACAAAAAiAAAAZHJzL2Rvd25yZXYueG1sUEsBAhQAFAAAAAgAh07iQJlOlaykAQAAGAMAAA4A&#10;AAAAAAAAAQAgAAAAJAEAAGRycy9lMm9Eb2MueG1sUEsFBgAAAAAGAAYAWQEAADoFAAAAAA==&#10;">
                      <v:fill on="f" focussize="0,0"/>
                      <v:stroke on="f"/>
                      <v:imagedata o:title=""/>
                      <o:lock v:ext="edit" aspectratio="f"/>
                      <v:textbox>
                        <w:txbxContent>
                          <w:p>
                            <w:pPr>
                              <w:rPr>
                                <w:rFonts w:hint="eastAsia"/>
                              </w:rPr>
                            </w:pPr>
                            <w:r>
                              <w:rPr>
                                <w:rFonts w:hint="eastAsia"/>
                              </w:rPr>
                              <w:t>0.8</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3410585</wp:posOffset>
                      </wp:positionH>
                      <wp:positionV relativeFrom="paragraph">
                        <wp:posOffset>58420</wp:posOffset>
                      </wp:positionV>
                      <wp:extent cx="657225" cy="314325"/>
                      <wp:effectExtent l="9525" t="9525" r="19050" b="19050"/>
                      <wp:wrapNone/>
                      <wp:docPr id="80" name="文本框 89"/>
                      <wp:cNvGraphicFramePr/>
                      <a:graphic xmlns:a="http://schemas.openxmlformats.org/drawingml/2006/main">
                        <a:graphicData uri="http://schemas.microsoft.com/office/word/2010/wordprocessingShape">
                          <wps:wsp>
                            <wps:cNvSpPr txBox="1"/>
                            <wps:spPr>
                              <a:xfrm>
                                <a:off x="0" y="0"/>
                                <a:ext cx="657225" cy="314325"/>
                              </a:xfrm>
                              <a:prstGeom prst="rect">
                                <a:avLst/>
                              </a:prstGeom>
                              <a:noFill/>
                              <a:ln w="19050" cap="flat" cmpd="sng">
                                <a:solidFill>
                                  <a:srgbClr val="000000"/>
                                </a:solidFill>
                                <a:prstDash val="solid"/>
                                <a:miter/>
                                <a:headEnd type="none" w="med" len="med"/>
                                <a:tailEnd type="none" w="med" len="med"/>
                              </a:ln>
                            </wps:spPr>
                            <wps:txbx>
                              <w:txbxContent>
                                <w:p>
                                  <w:pPr>
                                    <w:rPr>
                                      <w:rFonts w:hint="eastAsia"/>
                                    </w:rPr>
                                  </w:pPr>
                                  <w:r>
                                    <w:rPr>
                                      <w:rFonts w:hint="eastAsia"/>
                                    </w:rPr>
                                    <w:t>化粪池</w:t>
                                  </w:r>
                                </w:p>
                              </w:txbxContent>
                            </wps:txbx>
                            <wps:bodyPr wrap="square" upright="1"/>
                          </wps:wsp>
                        </a:graphicData>
                      </a:graphic>
                    </wp:anchor>
                  </w:drawing>
                </mc:Choice>
                <mc:Fallback>
                  <w:pict>
                    <v:shape id="文本框 89" o:spid="_x0000_s1026" o:spt="202" type="#_x0000_t202" style="position:absolute;left:0pt;margin-left:268.55pt;margin-top:4.6pt;height:24.75pt;width:51.75pt;z-index:251710464;mso-width-relative:page;mso-height-relative:page;" filled="f" stroked="t" coordsize="21600,21600" o:gfxdata="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CaZKHZAAAACAEAAA8AAAAAAAAAAQAgAAAAIgAAAGRycy9kb3ducmV2LnhtbFBL&#10;AQIUABQAAAAIAIdO4kBRn2KQ9QEAAM8DAAAOAAAAAAAAAAEAIAAAACgBAABkcnMvZTJvRG9jLnht&#10;bFBLBQYAAAAABgAGAFkBAACPBQAAAAA=&#10;">
                      <v:fill on="f" focussize="0,0"/>
                      <v:stroke weight="1.5pt" color="#000000" joinstyle="miter"/>
                      <v:imagedata o:title=""/>
                      <o:lock v:ext="edit" aspectratio="f"/>
                      <v:textbox>
                        <w:txbxContent>
                          <w:p>
                            <w:pPr>
                              <w:rPr>
                                <w:rFonts w:hint="eastAsia"/>
                              </w:rPr>
                            </w:pPr>
                            <w:r>
                              <w:rPr>
                                <w:rFonts w:hint="eastAsia"/>
                              </w:rPr>
                              <w:t>化粪池</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1829435</wp:posOffset>
                      </wp:positionH>
                      <wp:positionV relativeFrom="paragraph">
                        <wp:posOffset>58420</wp:posOffset>
                      </wp:positionV>
                      <wp:extent cx="904875" cy="342900"/>
                      <wp:effectExtent l="9525" t="9525" r="19050" b="9525"/>
                      <wp:wrapNone/>
                      <wp:docPr id="79" name="文本框 84"/>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19050" cap="flat" cmpd="sng">
                                <a:solidFill>
                                  <a:srgbClr val="000000"/>
                                </a:solidFill>
                                <a:prstDash val="solid"/>
                                <a:miter/>
                                <a:headEnd type="none" w="med" len="med"/>
                                <a:tailEnd type="none" w="med" len="med"/>
                              </a:ln>
                            </wps:spPr>
                            <wps:txbx>
                              <w:txbxContent>
                                <w:p>
                                  <w:pPr>
                                    <w:rPr>
                                      <w:rFonts w:hint="eastAsia"/>
                                    </w:rPr>
                                  </w:pPr>
                                  <w:r>
                                    <w:rPr>
                                      <w:rFonts w:hint="eastAsia"/>
                                    </w:rPr>
                                    <w:t>生活用水</w:t>
                                  </w:r>
                                </w:p>
                              </w:txbxContent>
                            </wps:txbx>
                            <wps:bodyPr wrap="square" upright="1"/>
                          </wps:wsp>
                        </a:graphicData>
                      </a:graphic>
                    </wp:anchor>
                  </w:drawing>
                </mc:Choice>
                <mc:Fallback>
                  <w:pict>
                    <v:shape id="文本框 84" o:spid="_x0000_s1026" o:spt="202" type="#_x0000_t202" style="position:absolute;left:0pt;margin-left:144.05pt;margin-top:4.6pt;height:27pt;width:71.25pt;z-index:251709440;mso-width-relative:page;mso-height-relative:page;" filled="f" stroked="t" coordsize="21600,21600" o:gfxdata="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Ru2H2QAAAAgBAAAPAAAAAAAAAAEAIAAAACIAAABkcnMvZG93bnJldi54bWxQ&#10;SwECFAAUAAAACACHTuJAEjog+PYBAADPAwAADgAAAAAAAAABACAAAAAoAQAAZHJzL2Uyb0RvYy54&#10;bWxQSwUGAAAAAAYABgBZAQAAkAUAAAAA&#10;">
                      <v:fill on="f" focussize="0,0"/>
                      <v:stroke weight="1.5pt" color="#000000" joinstyle="miter"/>
                      <v:imagedata o:title=""/>
                      <o:lock v:ext="edit" aspectratio="f"/>
                      <v:textbox>
                        <w:txbxContent>
                          <w:p>
                            <w:pPr>
                              <w:rPr>
                                <w:rFonts w:hint="eastAsia"/>
                              </w:rPr>
                            </w:pPr>
                            <w:r>
                              <w:rPr>
                                <w:rFonts w:hint="eastAsia"/>
                              </w:rPr>
                              <w:t>生活用水</w:t>
                            </w:r>
                          </w:p>
                        </w:txbxContent>
                      </v:textbox>
                    </v:shape>
                  </w:pict>
                </mc:Fallback>
              </mc:AlternateContent>
            </w:r>
          </w:p>
          <w:p>
            <w:pPr>
              <w:ind w:firstLine="420" w:firstLineChars="200"/>
              <w:jc w:val="center"/>
              <w:rPr>
                <w:b/>
                <w:szCs w:val="21"/>
              </w:rPr>
            </w:pPr>
            <w:r>
              <mc:AlternateContent>
                <mc:Choice Requires="wps">
                  <w:drawing>
                    <wp:anchor distT="0" distB="0" distL="114300" distR="114300" simplePos="0" relativeHeight="251699200" behindDoc="0" locked="0" layoutInCell="1" allowOverlap="1">
                      <wp:simplePos x="0" y="0"/>
                      <wp:positionH relativeFrom="column">
                        <wp:posOffset>1296035</wp:posOffset>
                      </wp:positionH>
                      <wp:positionV relativeFrom="paragraph">
                        <wp:posOffset>20955</wp:posOffset>
                      </wp:positionV>
                      <wp:extent cx="635" cy="986155"/>
                      <wp:effectExtent l="6350" t="0" r="12065" b="4445"/>
                      <wp:wrapNone/>
                      <wp:docPr id="69" name="直线 80"/>
                      <wp:cNvGraphicFramePr/>
                      <a:graphic xmlns:a="http://schemas.openxmlformats.org/drawingml/2006/main">
                        <a:graphicData uri="http://schemas.microsoft.com/office/word/2010/wordprocessingShape">
                          <wps:wsp>
                            <wps:cNvCnPr/>
                            <wps:spPr>
                              <a:xfrm>
                                <a:off x="0" y="0"/>
                                <a:ext cx="635" cy="98615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0" o:spid="_x0000_s1026" o:spt="20" style="position:absolute;left:0pt;margin-left:102.05pt;margin-top:1.65pt;height:77.65pt;width:0.05pt;z-index:251699200;mso-width-relative:page;mso-height-relative:page;" filled="f" stroked="t" coordsize="21600,21600" o:gfxdata="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tWYQX2AAAAAkBAAAPAAAAAAAAAAEAIAAAACIA&#10;AABkcnMvZG93bnJldi54bWxQSwECFAAUAAAACACHTuJAZf8c7tABAACRAwAADgAAAAAAAAABACAA&#10;AAAnAQAAZHJzL2Uyb0RvYy54bWxQSwUGAAAAAAYABgBZAQAAaQU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4067810</wp:posOffset>
                      </wp:positionH>
                      <wp:positionV relativeFrom="paragraph">
                        <wp:posOffset>12700</wp:posOffset>
                      </wp:positionV>
                      <wp:extent cx="618490" cy="635"/>
                      <wp:effectExtent l="0" t="37465" r="10160" b="38100"/>
                      <wp:wrapNone/>
                      <wp:docPr id="87" name="直线 103"/>
                      <wp:cNvGraphicFramePr/>
                      <a:graphic xmlns:a="http://schemas.openxmlformats.org/drawingml/2006/main">
                        <a:graphicData uri="http://schemas.microsoft.com/office/word/2010/wordprocessingShape">
                          <wps:wsp>
                            <wps:cNvCnPr/>
                            <wps:spPr>
                              <a:xfrm>
                                <a:off x="0" y="0"/>
                                <a:ext cx="61849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03" o:spid="_x0000_s1026" o:spt="20" style="position:absolute;left:0pt;margin-left:320.3pt;margin-top:1pt;height:0.05pt;width:48.7pt;z-index:251717632;mso-width-relative:page;mso-height-relative:page;" filled="f" stroked="t" coordsize="21600,21600" o:gfxdata="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9hFtUAAAAHAQAADwAAAAAAAAABACAA&#10;AAAiAAAAZHJzL2Rvd25yZXYueG1sUEsBAhQAFAAAAAgAh07iQLtUdo7XAQAAlgMAAA4AAAAAAAAA&#10;AQAgAAAAJAEAAGRycy9lMm9Eb2MueG1sUEsFBgAAAAAGAAYAWQEAAG0FAAAAAA==&#10;">
                      <v:fill on="f" focussize="0,0"/>
                      <v:stroke weight="1pt" color="#000000" joinstyle="round" endarrow="block"/>
                      <v:imagedata o:title=""/>
                      <o:lock v:ext="edit" aspectratio="f"/>
                    </v:lin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172085</wp:posOffset>
                      </wp:positionH>
                      <wp:positionV relativeFrom="paragraph">
                        <wp:posOffset>88900</wp:posOffset>
                      </wp:positionV>
                      <wp:extent cx="657225" cy="314325"/>
                      <wp:effectExtent l="9525" t="9525" r="19050" b="19050"/>
                      <wp:wrapNone/>
                      <wp:docPr id="78" name="文本框 78"/>
                      <wp:cNvGraphicFramePr/>
                      <a:graphic xmlns:a="http://schemas.openxmlformats.org/drawingml/2006/main">
                        <a:graphicData uri="http://schemas.microsoft.com/office/word/2010/wordprocessingShape">
                          <wps:wsp>
                            <wps:cNvSpPr txBox="1"/>
                            <wps:spPr>
                              <a:xfrm>
                                <a:off x="0" y="0"/>
                                <a:ext cx="657225" cy="314325"/>
                              </a:xfrm>
                              <a:prstGeom prst="rect">
                                <a:avLst/>
                              </a:prstGeom>
                              <a:noFill/>
                              <a:ln w="19050" cap="flat" cmpd="sng">
                                <a:solidFill>
                                  <a:srgbClr val="000000"/>
                                </a:solidFill>
                                <a:prstDash val="solid"/>
                                <a:miter/>
                                <a:headEnd type="none" w="med" len="med"/>
                                <a:tailEnd type="none" w="med" len="med"/>
                              </a:ln>
                            </wps:spPr>
                            <wps:txbx>
                              <w:txbxContent>
                                <w:p>
                                  <w:pPr>
                                    <w:rPr>
                                      <w:rFonts w:hint="eastAsia"/>
                                    </w:rPr>
                                  </w:pPr>
                                  <w:r>
                                    <w:rPr>
                                      <w:rFonts w:hint="eastAsia"/>
                                    </w:rPr>
                                    <w:t>自来水</w:t>
                                  </w:r>
                                </w:p>
                              </w:txbxContent>
                            </wps:txbx>
                            <wps:bodyPr wrap="square" upright="1"/>
                          </wps:wsp>
                        </a:graphicData>
                      </a:graphic>
                    </wp:anchor>
                  </w:drawing>
                </mc:Choice>
                <mc:Fallback>
                  <w:pict>
                    <v:shape id="_x0000_s1026" o:spid="_x0000_s1026" o:spt="202" type="#_x0000_t202" style="position:absolute;left:0pt;margin-left:13.55pt;margin-top:7pt;height:24.75pt;width:51.75pt;z-index:251708416;mso-width-relative:page;mso-height-relative:page;" filled="f" stroked="t" coordsize="21600,21600" o:gfxdata="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0k89dgAAAAIAQAADwAAAAAAAAABACAAAAAiAAAAZHJzL2Rvd25yZXYueG1sUEsB&#10;AhQAFAAAAAgAh07iQO7dkAb1AQAAzwMAAA4AAAAAAAAAAQAgAAAAJwEAAGRycy9lMm9Eb2MueG1s&#10;UEsFBgAAAAAGAAYAWQEAAI4FAAAAAA==&#10;">
                      <v:fill on="f" focussize="0,0"/>
                      <v:stroke weight="1.5pt" color="#000000" joinstyle="miter"/>
                      <v:imagedata o:title=""/>
                      <o:lock v:ext="edit" aspectratio="f"/>
                      <v:textbox>
                        <w:txbxContent>
                          <w:p>
                            <w:pPr>
                              <w:rPr>
                                <w:rFonts w:hint="eastAsia"/>
                              </w:rPr>
                            </w:pPr>
                            <w:r>
                              <w:rPr>
                                <w:rFonts w:hint="eastAsia"/>
                              </w:rPr>
                              <w:t>自来水</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4048760</wp:posOffset>
                      </wp:positionH>
                      <wp:positionV relativeFrom="paragraph">
                        <wp:posOffset>12700</wp:posOffset>
                      </wp:positionV>
                      <wp:extent cx="541020" cy="635"/>
                      <wp:effectExtent l="0" t="38100" r="11430" b="37465"/>
                      <wp:wrapNone/>
                      <wp:docPr id="74" name="直线 98"/>
                      <wp:cNvGraphicFramePr/>
                      <a:graphic xmlns:a="http://schemas.openxmlformats.org/drawingml/2006/main">
                        <a:graphicData uri="http://schemas.microsoft.com/office/word/2010/wordprocessingShape">
                          <wps:wsp>
                            <wps:cNvCnPr/>
                            <wps:spPr>
                              <a:xfrm flipV="1">
                                <a:off x="0" y="0"/>
                                <a:ext cx="54102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8" o:spid="_x0000_s1026" o:spt="20" style="position:absolute;left:0pt;flip:y;margin-left:318.8pt;margin-top:1pt;height:0.05pt;width:42.6pt;z-index:251704320;mso-width-relative:page;mso-height-relative:page;" filled="f" stroked="t" coordsize="21600,21600" o:gfxdata="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XONnrWAAAABwEAAA8AAAAA&#10;AAAAAQAgAAAAIgAAAGRycy9kb3ducmV2LnhtbFBLAQIUABQAAAAIAIdO4kAfce8A3QEAAJ8DAAAO&#10;AAAAAAAAAAEAIAAAACUBAABkcnMvZTJvRG9jLnhtbFBLBQYAAAAABgAGAFkBAAB0BQAAAAA=&#10;">
                      <v:fill on="f" focussize="0,0"/>
                      <v:stroke weight="1pt" color="#000000" joinstyle="round" endarrow="block"/>
                      <v:imagedata o:title=""/>
                      <o:lock v:ext="edit" aspectratio="f"/>
                    </v:lin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2724785</wp:posOffset>
                      </wp:positionH>
                      <wp:positionV relativeFrom="paragraph">
                        <wp:posOffset>13335</wp:posOffset>
                      </wp:positionV>
                      <wp:extent cx="675005" cy="8890"/>
                      <wp:effectExtent l="0" t="36830" r="10795" b="30480"/>
                      <wp:wrapNone/>
                      <wp:docPr id="72" name="直线 85"/>
                      <wp:cNvGraphicFramePr/>
                      <a:graphic xmlns:a="http://schemas.openxmlformats.org/drawingml/2006/main">
                        <a:graphicData uri="http://schemas.microsoft.com/office/word/2010/wordprocessingShape">
                          <wps:wsp>
                            <wps:cNvCnPr/>
                            <wps:spPr>
                              <a:xfrm flipV="1">
                                <a:off x="0" y="0"/>
                                <a:ext cx="675005" cy="889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5" o:spid="_x0000_s1026" o:spt="20" style="position:absolute;left:0pt;flip:y;margin-left:214.55pt;margin-top:1.05pt;height:0.7pt;width:53.15pt;z-index:251702272;mso-width-relative:page;mso-height-relative:page;" filled="f" stroked="t" coordsize="21600,21600" o:gfxdata="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yxbKNcAAAAHAQAA&#10;DwAAAAAAAAABACAAAAAiAAAAZHJzL2Rvd25yZXYueG1sUEsBAhQAFAAAAAgAh07iQEwM7uLhAQAA&#10;oAMAAA4AAAAAAAAAAQAgAAAAJgEAAGRycy9lMm9Eb2MueG1sUEsFBgAAAAAGAAYAWQEAAHkFAAAA&#10;AA==&#10;">
                      <v:fill on="f" focussize="0,0"/>
                      <v:stroke weight="1pt" color="#000000" joinstyle="round" endarrow="block"/>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1305560</wp:posOffset>
                      </wp:positionH>
                      <wp:positionV relativeFrom="paragraph">
                        <wp:posOffset>22860</wp:posOffset>
                      </wp:positionV>
                      <wp:extent cx="542925" cy="8890"/>
                      <wp:effectExtent l="0" t="36830" r="9525" b="30480"/>
                      <wp:wrapNone/>
                      <wp:docPr id="70" name="直线 81"/>
                      <wp:cNvGraphicFramePr/>
                      <a:graphic xmlns:a="http://schemas.openxmlformats.org/drawingml/2006/main">
                        <a:graphicData uri="http://schemas.microsoft.com/office/word/2010/wordprocessingShape">
                          <wps:wsp>
                            <wps:cNvCnPr/>
                            <wps:spPr>
                              <a:xfrm flipV="1">
                                <a:off x="0" y="0"/>
                                <a:ext cx="542925" cy="889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1" o:spid="_x0000_s1026" o:spt="20" style="position:absolute;left:0pt;flip:y;margin-left:102.8pt;margin-top:1.8pt;height:0.7pt;width:42.75pt;z-index:251700224;mso-width-relative:page;mso-height-relative:page;" filled="f" stroked="t" coordsize="21600,21600" o:gfxdata="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puhs81wAAAAcBAAAP&#10;AAAAAAAAAAEAIAAAACIAAABkcnMvZG93bnJldi54bWxQSwECFAAUAAAACACHTuJAouKUW+ABAACg&#10;AwAADgAAAAAAAAABACAAAAAmAQAAZHJzL2Uyb0RvYy54bWxQSwUGAAAAAAYABgBZAQAAeAUAAAAA&#10;">
                      <v:fill on="f" focussize="0,0"/>
                      <v:stroke weight="1pt" color="#000000" joinstyle="round" endarrow="block"/>
                      <v:imagedata o:title=""/>
                      <o:lock v:ext="edit" aspectratio="f"/>
                    </v:line>
                  </w:pict>
                </mc:Fallback>
              </mc:AlternateContent>
            </w:r>
          </w:p>
          <w:p>
            <w:pPr>
              <w:ind w:firstLine="420" w:firstLineChars="200"/>
              <w:jc w:val="center"/>
              <w:rPr>
                <w:b/>
                <w:szCs w:val="21"/>
              </w:rPr>
            </w:pPr>
            <w:r>
              <mc:AlternateContent>
                <mc:Choice Requires="wps">
                  <w:drawing>
                    <wp:anchor distT="0" distB="0" distL="114300" distR="114300" simplePos="0" relativeHeight="251722752" behindDoc="0" locked="0" layoutInCell="1" allowOverlap="1">
                      <wp:simplePos x="0" y="0"/>
                      <wp:positionH relativeFrom="column">
                        <wp:posOffset>2209165</wp:posOffset>
                      </wp:positionH>
                      <wp:positionV relativeFrom="paragraph">
                        <wp:posOffset>138430</wp:posOffset>
                      </wp:positionV>
                      <wp:extent cx="1099820" cy="294640"/>
                      <wp:effectExtent l="0" t="0" r="0" b="0"/>
                      <wp:wrapNone/>
                      <wp:docPr id="92" name="文本框 108"/>
                      <wp:cNvGraphicFramePr/>
                      <a:graphic xmlns:a="http://schemas.openxmlformats.org/drawingml/2006/main">
                        <a:graphicData uri="http://schemas.microsoft.com/office/word/2010/wordprocessingShape">
                          <wps:wsp>
                            <wps:cNvSpPr txBox="1"/>
                            <wps:spPr>
                              <a:xfrm>
                                <a:off x="0" y="0"/>
                                <a:ext cx="1099820" cy="294640"/>
                              </a:xfrm>
                              <a:prstGeom prst="rect">
                                <a:avLst/>
                              </a:prstGeom>
                              <a:noFill/>
                              <a:ln w="9525">
                                <a:noFill/>
                              </a:ln>
                            </wps:spPr>
                            <wps:txbx>
                              <w:txbxContent>
                                <w:p>
                                  <w:pPr>
                                    <w:rPr>
                                      <w:rFonts w:hint="eastAsia"/>
                                    </w:rPr>
                                  </w:pPr>
                                  <w:r>
                                    <w:rPr>
                                      <w:rFonts w:hint="eastAsia"/>
                                    </w:rPr>
                                    <w:t>0.7</w:t>
                                  </w:r>
                                </w:p>
                              </w:txbxContent>
                            </wps:txbx>
                            <wps:bodyPr wrap="square" upright="1"/>
                          </wps:wsp>
                        </a:graphicData>
                      </a:graphic>
                    </wp:anchor>
                  </w:drawing>
                </mc:Choice>
                <mc:Fallback>
                  <w:pict>
                    <v:shape id="文本框 108" o:spid="_x0000_s1026" o:spt="202" type="#_x0000_t202" style="position:absolute;left:0pt;margin-left:173.95pt;margin-top:10.9pt;height:23.2pt;width:86.6pt;z-index:251722752;mso-width-relative:page;mso-height-relative:page;" filled="f" stroked="f" coordsize="21600,21600" o:gfxdata="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J1bAjXAAAACQEAAA8A&#10;AAAAAAAAAQAgAAAAIgAAAGRycy9kb3ducmV2LnhtbFBLAQIUABQAAAAIAIdO4kAOoFtYpgEAABoD&#10;AAAOAAAAAAAAAAEAIAAAACYBAABkcnMvZTJvRG9jLnhtbFBLBQYAAAAABgAGAFkBAAA+BQAAAAA=&#10;">
                      <v:fill on="f" focussize="0,0"/>
                      <v:stroke on="f"/>
                      <v:imagedata o:title=""/>
                      <o:lock v:ext="edit" aspectratio="f"/>
                      <v:textbox>
                        <w:txbxContent>
                          <w:p>
                            <w:pPr>
                              <w:rPr>
                                <w:rFonts w:hint="eastAsia"/>
                              </w:rPr>
                            </w:pPr>
                            <w:r>
                              <w:rPr>
                                <w:rFonts w:hint="eastAsia"/>
                              </w:rPr>
                              <w:t>0.7</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829310</wp:posOffset>
                      </wp:positionH>
                      <wp:positionV relativeFrom="paragraph">
                        <wp:posOffset>62230</wp:posOffset>
                      </wp:positionV>
                      <wp:extent cx="476250" cy="10160"/>
                      <wp:effectExtent l="0" t="0" r="0" b="0"/>
                      <wp:wrapNone/>
                      <wp:docPr id="68" name="直线 79"/>
                      <wp:cNvGraphicFramePr/>
                      <a:graphic xmlns:a="http://schemas.openxmlformats.org/drawingml/2006/main">
                        <a:graphicData uri="http://schemas.microsoft.com/office/word/2010/wordprocessingShape">
                          <wps:wsp>
                            <wps:cNvCnPr/>
                            <wps:spPr>
                              <a:xfrm>
                                <a:off x="0" y="0"/>
                                <a:ext cx="476250" cy="1016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79" o:spid="_x0000_s1026" o:spt="20" style="position:absolute;left:0pt;margin-left:65.3pt;margin-top:4.9pt;height:0.8pt;width:37.5pt;z-index:251698176;mso-width-relative:page;mso-height-relative:page;" filled="f" stroked="t" coordsize="21600,21600" o:gfxdata="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OwshDVAAAACAEAAA8AAAAAAAAAAQAgAAAAIgAA&#10;AGRycy9kb3ducmV2LnhtbFBLAQIUABQAAAAIAIdO4kBG9o1C0gEAAJMDAAAOAAAAAAAAAAEAIAAA&#10;ACQBAABkcnMvZTJvRG9jLnhtbFBLBQYAAAAABgAGAFkBAABoBQAAAAA=&#10;">
                      <v:fill on="f" focussize="0,0"/>
                      <v:stroke weight="1pt" color="#000000" joinstyle="round"/>
                      <v:imagedata o:title=""/>
                      <o:lock v:ext="edit" aspectratio="f"/>
                    </v:line>
                  </w:pict>
                </mc:Fallback>
              </mc:AlternateContent>
            </w:r>
          </w:p>
          <w:p>
            <w:pPr>
              <w:ind w:firstLine="420" w:firstLineChars="200"/>
              <w:jc w:val="center"/>
              <w:rPr>
                <w:b/>
                <w:szCs w:val="21"/>
              </w:rPr>
            </w:pPr>
            <w:r>
              <mc:AlternateContent>
                <mc:Choice Requires="wps">
                  <w:drawing>
                    <wp:anchor distT="0" distB="0" distL="114300" distR="114300" simplePos="0" relativeHeight="251721728" behindDoc="0" locked="0" layoutInCell="1" allowOverlap="1">
                      <wp:simplePos x="0" y="0"/>
                      <wp:positionH relativeFrom="column">
                        <wp:posOffset>2001520</wp:posOffset>
                      </wp:positionH>
                      <wp:positionV relativeFrom="paragraph">
                        <wp:posOffset>104775</wp:posOffset>
                      </wp:positionV>
                      <wp:extent cx="294640" cy="337185"/>
                      <wp:effectExtent l="6985" t="0" r="3175" b="24765"/>
                      <wp:wrapNone/>
                      <wp:docPr id="91" name="直线 107"/>
                      <wp:cNvGraphicFramePr/>
                      <a:graphic xmlns:a="http://schemas.openxmlformats.org/drawingml/2006/main">
                        <a:graphicData uri="http://schemas.microsoft.com/office/word/2010/wordprocessingShape">
                          <wps:wsp>
                            <wps:cNvCnPr/>
                            <wps:spPr>
                              <a:xfrm flipV="1">
                                <a:off x="0" y="0"/>
                                <a:ext cx="294640" cy="337185"/>
                              </a:xfrm>
                              <a:prstGeom prst="line">
                                <a:avLst/>
                              </a:prstGeom>
                              <a:ln w="19050" cap="flat" cmpd="sng">
                                <a:solidFill>
                                  <a:srgbClr val="000000"/>
                                </a:solidFill>
                                <a:prstDash val="dash"/>
                                <a:headEnd type="none" w="med" len="med"/>
                                <a:tailEnd type="triangle" w="med" len="med"/>
                              </a:ln>
                            </wps:spPr>
                            <wps:bodyPr upright="1"/>
                          </wps:wsp>
                        </a:graphicData>
                      </a:graphic>
                    </wp:anchor>
                  </w:drawing>
                </mc:Choice>
                <mc:Fallback>
                  <w:pict>
                    <v:line id="直线 107" o:spid="_x0000_s1026" o:spt="20" style="position:absolute;left:0pt;flip:y;margin-left:157.6pt;margin-top:8.25pt;height:26.55pt;width:23.2pt;z-index:251721728;mso-width-relative:page;mso-height-relative:page;" filled="f" stroked="t" coordsize="21600,21600" o:gfxdata="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i3W+n1gAAAAkBAAAP&#10;AAAAAAAAAAEAIAAAACIAAABkcnMvZG93bnJldi54bWxQSwECFAAUAAAACACHTuJAK09b/eEBAACi&#10;AwAADgAAAAAAAAABACAAAAAlAQAAZHJzL2Uyb0RvYy54bWxQSwUGAAAAAAYABgBZAQAAeAUAAAAA&#10;">
                      <v:fill on="f" focussize="0,0"/>
                      <v:stroke weight="1.5pt" color="#000000" joinstyle="round" dashstyle="dash" endarrow="block"/>
                      <v:imagedata o:title=""/>
                      <o:lock v:ext="edit" aspectratio="f"/>
                    </v:line>
                  </w:pict>
                </mc:Fallback>
              </mc:AlternateContent>
            </w:r>
          </w:p>
          <w:p>
            <w:pPr>
              <w:rPr>
                <w:b/>
                <w:szCs w:val="21"/>
              </w:rPr>
            </w:pPr>
            <w:r>
              <mc:AlternateContent>
                <mc:Choice Requires="wps">
                  <w:drawing>
                    <wp:anchor distT="0" distB="0" distL="114300" distR="114300" simplePos="0" relativeHeight="251705344" behindDoc="0" locked="0" layoutInCell="1" allowOverlap="1">
                      <wp:simplePos x="0" y="0"/>
                      <wp:positionH relativeFrom="column">
                        <wp:posOffset>2820670</wp:posOffset>
                      </wp:positionH>
                      <wp:positionV relativeFrom="paragraph">
                        <wp:posOffset>104775</wp:posOffset>
                      </wp:positionV>
                      <wp:extent cx="428625" cy="381000"/>
                      <wp:effectExtent l="0" t="0" r="0" b="0"/>
                      <wp:wrapNone/>
                      <wp:docPr id="75" name="文本框 93"/>
                      <wp:cNvGraphicFramePr/>
                      <a:graphic xmlns:a="http://schemas.openxmlformats.org/drawingml/2006/main">
                        <a:graphicData uri="http://schemas.microsoft.com/office/word/2010/wordprocessingShape">
                          <wps:wsp>
                            <wps:cNvSpPr txBox="1"/>
                            <wps:spPr>
                              <a:xfrm>
                                <a:off x="0" y="0"/>
                                <a:ext cx="428625" cy="381000"/>
                              </a:xfrm>
                              <a:prstGeom prst="rect">
                                <a:avLst/>
                              </a:prstGeom>
                              <a:noFill/>
                              <a:ln w="9525">
                                <a:noFill/>
                              </a:ln>
                            </wps:spPr>
                            <wps:txbx>
                              <w:txbxContent>
                                <w:p>
                                  <w:pPr>
                                    <w:rPr>
                                      <w:rFonts w:hint="eastAsia"/>
                                    </w:rPr>
                                  </w:pPr>
                                  <w:r>
                                    <w:rPr>
                                      <w:rFonts w:hint="eastAsia"/>
                                    </w:rPr>
                                    <w:t>0.3</w:t>
                                  </w:r>
                                </w:p>
                              </w:txbxContent>
                            </wps:txbx>
                            <wps:bodyPr wrap="square" upright="1"/>
                          </wps:wsp>
                        </a:graphicData>
                      </a:graphic>
                    </wp:anchor>
                  </w:drawing>
                </mc:Choice>
                <mc:Fallback>
                  <w:pict>
                    <v:shape id="文本框 93" o:spid="_x0000_s1026" o:spt="202" type="#_x0000_t202" style="position:absolute;left:0pt;margin-left:222.1pt;margin-top:8.25pt;height:30pt;width:33.75pt;z-index:251705344;mso-width-relative:page;mso-height-relative:page;" filled="f" stroked="f" coordsize="21600,21600" o:gfxdata="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5Hmd9YAAAAJAQAADwAAAAAA&#10;AAABACAAAAAiAAAAZHJzL2Rvd25yZXYueG1sUEsBAhQAFAAAAAgAh07iQFrIAoKjAQAAGAMAAA4A&#10;AAAAAAAAAQAgAAAAJQEAAGRycy9lMm9Eb2MueG1sUEsFBgAAAAAGAAYAWQEAADoFAAAAAA==&#10;">
                      <v:fill on="f" focussize="0,0"/>
                      <v:stroke on="f"/>
                      <v:imagedata o:title=""/>
                      <o:lock v:ext="edit" aspectratio="f"/>
                      <v:textbox>
                        <w:txbxContent>
                          <w:p>
                            <w:pPr>
                              <w:rPr>
                                <w:rFonts w:hint="eastAsia"/>
                              </w:rPr>
                            </w:pPr>
                            <w:r>
                              <w:rPr>
                                <w:rFonts w:hint="eastAsia"/>
                              </w:rPr>
                              <w:t>0.3</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1386840</wp:posOffset>
                      </wp:positionH>
                      <wp:positionV relativeFrom="paragraph">
                        <wp:posOffset>142240</wp:posOffset>
                      </wp:positionV>
                      <wp:extent cx="409575" cy="314325"/>
                      <wp:effectExtent l="0" t="0" r="0" b="0"/>
                      <wp:wrapNone/>
                      <wp:docPr id="84" name="文本框 94"/>
                      <wp:cNvGraphicFramePr/>
                      <a:graphic xmlns:a="http://schemas.openxmlformats.org/drawingml/2006/main">
                        <a:graphicData uri="http://schemas.microsoft.com/office/word/2010/wordprocessingShape">
                          <wps:wsp>
                            <wps:cNvSpPr txBox="1"/>
                            <wps:spPr>
                              <a:xfrm>
                                <a:off x="0" y="0"/>
                                <a:ext cx="409575" cy="314325"/>
                              </a:xfrm>
                              <a:prstGeom prst="rect">
                                <a:avLst/>
                              </a:prstGeom>
                              <a:noFill/>
                              <a:ln w="9525">
                                <a:noFill/>
                              </a:ln>
                            </wps:spPr>
                            <wps:txbx>
                              <w:txbxContent>
                                <w:p>
                                  <w:pPr>
                                    <w:rPr>
                                      <w:rFonts w:hint="eastAsia"/>
                                    </w:rPr>
                                  </w:pPr>
                                  <w:r>
                                    <w:rPr>
                                      <w:rFonts w:hint="eastAsia"/>
                                    </w:rPr>
                                    <w:t>1</w:t>
                                  </w:r>
                                </w:p>
                              </w:txbxContent>
                            </wps:txbx>
                            <wps:bodyPr wrap="square" upright="1"/>
                          </wps:wsp>
                        </a:graphicData>
                      </a:graphic>
                    </wp:anchor>
                  </w:drawing>
                </mc:Choice>
                <mc:Fallback>
                  <w:pict>
                    <v:shape id="文本框 94" o:spid="_x0000_s1026" o:spt="202" type="#_x0000_t202" style="position:absolute;left:0pt;margin-left:109.2pt;margin-top:11.2pt;height:24.75pt;width:32.25pt;z-index:251714560;mso-width-relative:page;mso-height-relative:page;" filled="f" stroked="f" coordsize="21600,21600" o:gfxdata="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jOXgw1gAAAAkBAAAPAAAA&#10;AAAAAAEAIAAAACIAAABkcnMvZG93bnJldi54bWxQSwECFAAUAAAACACHTuJALW8hkaUBAAAYAwAA&#10;DgAAAAAAAAABACAAAAAlAQAAZHJzL2Uyb0RvYy54bWxQSwUGAAAAAAYABgBZAQAAPAUAAAAA&#10;">
                      <v:fill on="f" focussize="0,0"/>
                      <v:stroke on="f"/>
                      <v:imagedata o:title=""/>
                      <o:lock v:ext="edit" aspectratio="f"/>
                      <v:textbox>
                        <w:txbxContent>
                          <w:p>
                            <w:pPr>
                              <w:rPr>
                                <w:rFonts w:hint="eastAsia"/>
                              </w:rPr>
                            </w:pPr>
                            <w:r>
                              <w:rPr>
                                <w:rFonts w:hint="eastAsia"/>
                              </w:rPr>
                              <w:t>1</w:t>
                            </w:r>
                          </w:p>
                        </w:txbxContent>
                      </v:textbox>
                    </v:shape>
                  </w:pict>
                </mc:Fallback>
              </mc:AlternateContent>
            </w:r>
          </w:p>
          <w:p>
            <w:pPr>
              <w:ind w:firstLine="420" w:firstLineChars="200"/>
              <w:jc w:val="center"/>
              <w:rPr>
                <w:b/>
                <w:szCs w:val="21"/>
              </w:rPr>
            </w:pPr>
            <w:r>
              <mc:AlternateContent>
                <mc:Choice Requires="wps">
                  <w:drawing>
                    <wp:anchor distT="0" distB="0" distL="114300" distR="114300" simplePos="0" relativeHeight="251712512" behindDoc="0" locked="0" layoutInCell="1" allowOverlap="1">
                      <wp:simplePos x="0" y="0"/>
                      <wp:positionH relativeFrom="column">
                        <wp:posOffset>3284220</wp:posOffset>
                      </wp:positionH>
                      <wp:positionV relativeFrom="paragraph">
                        <wp:posOffset>67310</wp:posOffset>
                      </wp:positionV>
                      <wp:extent cx="742950" cy="285750"/>
                      <wp:effectExtent l="9525" t="9525" r="9525" b="9525"/>
                      <wp:wrapNone/>
                      <wp:docPr id="82" name="文本框 91"/>
                      <wp:cNvGraphicFramePr/>
                      <a:graphic xmlns:a="http://schemas.openxmlformats.org/drawingml/2006/main">
                        <a:graphicData uri="http://schemas.microsoft.com/office/word/2010/wordprocessingShape">
                          <wps:wsp>
                            <wps:cNvSpPr txBox="1"/>
                            <wps:spPr>
                              <a:xfrm>
                                <a:off x="0" y="0"/>
                                <a:ext cx="742950" cy="285750"/>
                              </a:xfrm>
                              <a:prstGeom prst="rect">
                                <a:avLst/>
                              </a:prstGeom>
                              <a:noFill/>
                              <a:ln w="19050" cap="flat" cmpd="sng">
                                <a:solidFill>
                                  <a:srgbClr val="000000"/>
                                </a:solidFill>
                                <a:prstDash val="solid"/>
                                <a:miter/>
                                <a:headEnd type="none" w="med" len="med"/>
                                <a:tailEnd type="none" w="med" len="med"/>
                              </a:ln>
                            </wps:spPr>
                            <wps:txbx>
                              <w:txbxContent>
                                <w:p>
                                  <w:pPr>
                                    <w:rPr>
                                      <w:rFonts w:hint="eastAsia"/>
                                    </w:rPr>
                                  </w:pPr>
                                  <w:r>
                                    <w:rPr>
                                      <w:rFonts w:hint="eastAsia"/>
                                    </w:rPr>
                                    <w:t>膨化食品</w:t>
                                  </w:r>
                                </w:p>
                              </w:txbxContent>
                            </wps:txbx>
                            <wps:bodyPr wrap="square" upright="1"/>
                          </wps:wsp>
                        </a:graphicData>
                      </a:graphic>
                    </wp:anchor>
                  </w:drawing>
                </mc:Choice>
                <mc:Fallback>
                  <w:pict>
                    <v:shape id="文本框 91" o:spid="_x0000_s1026" o:spt="202" type="#_x0000_t202" style="position:absolute;left:0pt;margin-left:258.6pt;margin-top:5.3pt;height:22.5pt;width:58.5pt;z-index:251712512;mso-width-relative:page;mso-height-relative:page;" filled="f" stroked="t" coordsize="21600,21600" o:gfxdata="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689n3YAAAACQEAAA8AAAAAAAAAAQAgAAAAIgAAAGRycy9kb3ducmV2LnhtbFBLAQIU&#10;ABQAAAAIAIdO4kDYlm+Z8wEAAM8DAAAOAAAAAAAAAAEAIAAAACcBAABkcnMvZTJvRG9jLnhtbFBL&#10;BQYAAAAABgAGAFkBAACMBQAAAAA=&#10;">
                      <v:fill on="f" focussize="0,0"/>
                      <v:stroke weight="1.5pt" color="#000000" joinstyle="miter"/>
                      <v:imagedata o:title=""/>
                      <o:lock v:ext="edit" aspectratio="f"/>
                      <v:textbox>
                        <w:txbxContent>
                          <w:p>
                            <w:pPr>
                              <w:rPr>
                                <w:rFonts w:hint="eastAsia"/>
                              </w:rPr>
                            </w:pPr>
                            <w:r>
                              <w:rPr>
                                <w:rFonts w:hint="eastAsia"/>
                              </w:rPr>
                              <w:t>膨化食品</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2665730</wp:posOffset>
                      </wp:positionH>
                      <wp:positionV relativeFrom="paragraph">
                        <wp:posOffset>189230</wp:posOffset>
                      </wp:positionV>
                      <wp:extent cx="618490" cy="635"/>
                      <wp:effectExtent l="0" t="37465" r="10160" b="38100"/>
                      <wp:wrapNone/>
                      <wp:docPr id="73" name="直线 87"/>
                      <wp:cNvGraphicFramePr/>
                      <a:graphic xmlns:a="http://schemas.openxmlformats.org/drawingml/2006/main">
                        <a:graphicData uri="http://schemas.microsoft.com/office/word/2010/wordprocessingShape">
                          <wps:wsp>
                            <wps:cNvCnPr/>
                            <wps:spPr>
                              <a:xfrm>
                                <a:off x="0" y="0"/>
                                <a:ext cx="61849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7" o:spid="_x0000_s1026" o:spt="20" style="position:absolute;left:0pt;margin-left:209.9pt;margin-top:14.9pt;height:0.05pt;width:48.7pt;z-index:251703296;mso-width-relative:page;mso-height-relative:page;" filled="f" stroked="t" coordsize="21600,21600" o:gfxdata="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Sra1/XAAAACQEAAA8AAAAAAAAAAQAg&#10;AAAAIgAAAGRycy9kb3ducmV2LnhtbFBLAQIUABQAAAAIAIdO4kBGqsEc1gEAAJUDAAAOAAAAAAAA&#10;AAEAIAAAACYBAABkcnMvZTJvRG9jLnhtbFBLBQYAAAAABgAGAFkBAABuBQAAAAA=&#10;">
                      <v:fill on="f" focussize="0,0"/>
                      <v:stroke weight="1pt" color="#000000" joinstyle="round" endarrow="block"/>
                      <v:imagedata o:title=""/>
                      <o:lock v:ext="edit" aspectratio="f"/>
                    </v:lin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1885950</wp:posOffset>
                      </wp:positionH>
                      <wp:positionV relativeFrom="paragraph">
                        <wp:posOffset>35560</wp:posOffset>
                      </wp:positionV>
                      <wp:extent cx="770255" cy="314325"/>
                      <wp:effectExtent l="9525" t="9525" r="20320" b="19050"/>
                      <wp:wrapNone/>
                      <wp:docPr id="81" name="文本框 90"/>
                      <wp:cNvGraphicFramePr/>
                      <a:graphic xmlns:a="http://schemas.openxmlformats.org/drawingml/2006/main">
                        <a:graphicData uri="http://schemas.microsoft.com/office/word/2010/wordprocessingShape">
                          <wps:wsp>
                            <wps:cNvSpPr txBox="1"/>
                            <wps:spPr>
                              <a:xfrm>
                                <a:off x="0" y="0"/>
                                <a:ext cx="770255" cy="314325"/>
                              </a:xfrm>
                              <a:prstGeom prst="rect">
                                <a:avLst/>
                              </a:prstGeom>
                              <a:noFill/>
                              <a:ln w="19050" cap="flat" cmpd="sng">
                                <a:solidFill>
                                  <a:srgbClr val="000000"/>
                                </a:solidFill>
                                <a:prstDash val="solid"/>
                                <a:miter/>
                                <a:headEnd type="none" w="med" len="med"/>
                                <a:tailEnd type="none" w="med" len="med"/>
                              </a:ln>
                            </wps:spPr>
                            <wps:txbx>
                              <w:txbxContent>
                                <w:p>
                                  <w:pPr>
                                    <w:rPr>
                                      <w:rFonts w:hint="eastAsia"/>
                                    </w:rPr>
                                  </w:pPr>
                                  <w:r>
                                    <w:rPr>
                                      <w:rFonts w:hint="eastAsia"/>
                                    </w:rPr>
                                    <w:t>拌面用水</w:t>
                                  </w:r>
                                </w:p>
                              </w:txbxContent>
                            </wps:txbx>
                            <wps:bodyPr wrap="square" upright="1"/>
                          </wps:wsp>
                        </a:graphicData>
                      </a:graphic>
                    </wp:anchor>
                  </w:drawing>
                </mc:Choice>
                <mc:Fallback>
                  <w:pict>
                    <v:shape id="文本框 90" o:spid="_x0000_s1026" o:spt="202" type="#_x0000_t202" style="position:absolute;left:0pt;margin-left:148.5pt;margin-top:2.8pt;height:24.75pt;width:60.65pt;z-index:251711488;mso-width-relative:page;mso-height-relative:page;" filled="f" stroked="t" coordsize="21600,21600" o:gfxdata="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zkIy3ZAAAACAEAAA8AAAAAAAAAAQAgAAAAIgAAAGRycy9kb3ducmV2LnhtbFBL&#10;AQIUABQAAAAIAIdO4kDtJzhp9QEAAM8DAAAOAAAAAAAAAAEAIAAAACgBAABkcnMvZTJvRG9jLnht&#10;bFBLBQYAAAAABgAGAFkBAACPBQAAAAA=&#10;">
                      <v:fill on="f" focussize="0,0"/>
                      <v:stroke weight="1.5pt" color="#000000" joinstyle="miter"/>
                      <v:imagedata o:title=""/>
                      <o:lock v:ext="edit" aspectratio="f"/>
                      <v:textbox>
                        <w:txbxContent>
                          <w:p>
                            <w:pPr>
                              <w:rPr>
                                <w:rFonts w:hint="eastAsia"/>
                              </w:rPr>
                            </w:pPr>
                            <w:r>
                              <w:rPr>
                                <w:rFonts w:hint="eastAsia"/>
                              </w:rPr>
                              <w:t>拌面用水</w:t>
                            </w:r>
                          </w:p>
                        </w:txbxContent>
                      </v:textbox>
                    </v:shape>
                  </w:pict>
                </mc:Fallback>
              </mc:AlternateContent>
            </w:r>
          </w:p>
          <w:p>
            <w:pPr>
              <w:ind w:firstLine="420" w:firstLineChars="200"/>
              <w:jc w:val="center"/>
              <w:rPr>
                <w:b/>
                <w:szCs w:val="21"/>
              </w:rPr>
            </w:pPr>
            <w:r>
              <mc:AlternateContent>
                <mc:Choice Requires="wps">
                  <w:drawing>
                    <wp:anchor distT="0" distB="0" distL="114300" distR="114300" simplePos="0" relativeHeight="251701248" behindDoc="0" locked="0" layoutInCell="1" allowOverlap="1">
                      <wp:simplePos x="0" y="0"/>
                      <wp:positionH relativeFrom="column">
                        <wp:posOffset>1304925</wp:posOffset>
                      </wp:positionH>
                      <wp:positionV relativeFrom="paragraph">
                        <wp:posOffset>26670</wp:posOffset>
                      </wp:positionV>
                      <wp:extent cx="581025" cy="635"/>
                      <wp:effectExtent l="0" t="37465" r="9525" b="38100"/>
                      <wp:wrapNone/>
                      <wp:docPr id="71" name="直线 82"/>
                      <wp:cNvGraphicFramePr/>
                      <a:graphic xmlns:a="http://schemas.openxmlformats.org/drawingml/2006/main">
                        <a:graphicData uri="http://schemas.microsoft.com/office/word/2010/wordprocessingShape">
                          <wps:wsp>
                            <wps:cNvCnPr/>
                            <wps:spPr>
                              <a:xfrm>
                                <a:off x="0" y="0"/>
                                <a:ext cx="581025"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2" o:spid="_x0000_s1026" o:spt="20" style="position:absolute;left:0pt;margin-left:102.75pt;margin-top:2.1pt;height:0.05pt;width:45.75pt;z-index:251701248;mso-width-relative:page;mso-height-relative:page;" filled="f" stroked="t" coordsize="21600,21600" o:gfxdata="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Z/LLWAAAABwEAAA8AAAAAAAAAAQAg&#10;AAAAIgAAAGRycy9kb3ducmV2LnhtbFBLAQIUABQAAAAIAIdO4kD0f6Em1wEAAJUDAAAOAAAAAAAA&#10;AAEAIAAAACUBAABkcnMvZTJvRG9jLnhtbFBLBQYAAAAABgAGAFkBAABuBQAAAAA=&#10;">
                      <v:fill on="f" focussize="0,0"/>
                      <v:stroke weight="1pt" color="#000000" joinstyle="round" endarrow="block"/>
                      <v:imagedata o:title=""/>
                      <o:lock v:ext="edit" aspectratio="f"/>
                    </v:line>
                  </w:pict>
                </mc:Fallback>
              </mc:AlternateContent>
            </w:r>
          </w:p>
          <w:p>
            <w:pPr>
              <w:ind w:firstLine="422" w:firstLineChars="200"/>
              <w:jc w:val="center"/>
              <w:rPr>
                <w:b/>
                <w:szCs w:val="21"/>
              </w:rPr>
            </w:pPr>
          </w:p>
          <w:p>
            <w:pPr>
              <w:ind w:firstLine="422" w:firstLineChars="200"/>
              <w:jc w:val="center"/>
              <w:rPr>
                <w:b/>
                <w:color w:val="000000"/>
                <w:szCs w:val="21"/>
              </w:rPr>
            </w:pPr>
            <w:r>
              <w:rPr>
                <w:b/>
                <w:szCs w:val="21"/>
              </w:rPr>
              <w:t>图</w:t>
            </w:r>
            <w:r>
              <w:rPr>
                <w:rFonts w:hint="eastAsia"/>
                <w:b/>
                <w:szCs w:val="21"/>
              </w:rPr>
              <w:t>2</w:t>
            </w:r>
            <w:r>
              <w:rPr>
                <w:b/>
                <w:szCs w:val="21"/>
              </w:rPr>
              <w:t xml:space="preserve">  项目用水平衡图    单位：</w:t>
            </w:r>
            <w:r>
              <w:rPr>
                <w:rFonts w:hint="eastAsia"/>
                <w:b/>
                <w:szCs w:val="21"/>
              </w:rPr>
              <w:t>m</w:t>
            </w:r>
            <w:r>
              <w:rPr>
                <w:rFonts w:hint="eastAsia"/>
                <w:b/>
                <w:szCs w:val="21"/>
                <w:vertAlign w:val="superscript"/>
              </w:rPr>
              <w:t>3</w:t>
            </w:r>
            <w:r>
              <w:rPr>
                <w:b/>
                <w:szCs w:val="21"/>
              </w:rPr>
              <w:t>/d</w:t>
            </w:r>
          </w:p>
          <w:p>
            <w:pPr>
              <w:spacing w:line="440" w:lineRule="exact"/>
              <w:ind w:firstLine="482" w:firstLineChars="200"/>
              <w:rPr>
                <w:b/>
                <w:sz w:val="24"/>
              </w:rPr>
            </w:pPr>
            <w:r>
              <w:rPr>
                <w:rFonts w:hint="eastAsia"/>
                <w:b/>
                <w:sz w:val="24"/>
              </w:rPr>
              <w:t>4</w:t>
            </w:r>
            <w:r>
              <w:rPr>
                <w:b/>
                <w:sz w:val="24"/>
              </w:rPr>
              <w:t>、劳动定员及工作制度</w:t>
            </w:r>
          </w:p>
          <w:p>
            <w:pPr>
              <w:spacing w:line="440" w:lineRule="exact"/>
              <w:ind w:firstLine="480" w:firstLineChars="200"/>
              <w:rPr>
                <w:rFonts w:hint="eastAsia"/>
                <w:b/>
                <w:sz w:val="24"/>
              </w:rPr>
            </w:pPr>
            <w:r>
              <w:rPr>
                <w:sz w:val="24"/>
              </w:rPr>
              <w:t>项目劳动定员</w:t>
            </w:r>
            <w:r>
              <w:rPr>
                <w:rFonts w:hint="eastAsia"/>
                <w:sz w:val="24"/>
              </w:rPr>
              <w:t>20</w:t>
            </w:r>
            <w:r>
              <w:rPr>
                <w:sz w:val="24"/>
              </w:rPr>
              <w:t>人，均不在厂区食宿</w:t>
            </w:r>
            <w:r>
              <w:rPr>
                <w:rFonts w:hint="eastAsia"/>
                <w:sz w:val="24"/>
              </w:rPr>
              <w:t>；项目</w:t>
            </w:r>
            <w:r>
              <w:rPr>
                <w:sz w:val="24"/>
              </w:rPr>
              <w:t>年工作</w:t>
            </w:r>
            <w:r>
              <w:rPr>
                <w:rFonts w:hint="eastAsia"/>
                <w:sz w:val="24"/>
              </w:rPr>
              <w:t>300</w:t>
            </w:r>
            <w:r>
              <w:rPr>
                <w:sz w:val="24"/>
              </w:rPr>
              <w:t>天，实行</w:t>
            </w:r>
            <w:r>
              <w:rPr>
                <w:rFonts w:hint="eastAsia"/>
                <w:sz w:val="24"/>
              </w:rPr>
              <w:t>每天8</w:t>
            </w:r>
            <w:r>
              <w:rPr>
                <w:sz w:val="24"/>
              </w:rPr>
              <w:t>小时工作制度。</w:t>
            </w:r>
          </w:p>
          <w:p>
            <w:pPr>
              <w:spacing w:line="440" w:lineRule="exact"/>
              <w:ind w:firstLine="482" w:firstLineChars="200"/>
              <w:rPr>
                <w:b/>
                <w:sz w:val="24"/>
              </w:rPr>
            </w:pPr>
            <w:r>
              <w:rPr>
                <w:rFonts w:hint="eastAsia"/>
                <w:b/>
                <w:sz w:val="24"/>
              </w:rPr>
              <w:t>5</w:t>
            </w:r>
            <w:r>
              <w:rPr>
                <w:b/>
                <w:sz w:val="24"/>
              </w:rPr>
              <w:t>、</w:t>
            </w:r>
            <w:r>
              <w:rPr>
                <w:rFonts w:hint="eastAsia"/>
                <w:b/>
                <w:sz w:val="24"/>
              </w:rPr>
              <w:t>建设周期</w:t>
            </w:r>
          </w:p>
          <w:p>
            <w:pPr>
              <w:spacing w:line="440" w:lineRule="exact"/>
              <w:ind w:firstLine="480" w:firstLineChars="200"/>
              <w:rPr>
                <w:sz w:val="24"/>
                <w:highlight w:val="yellow"/>
              </w:rPr>
            </w:pPr>
            <w:r>
              <w:rPr>
                <w:sz w:val="24"/>
              </w:rPr>
              <w:t>本项目为新建项目，建设内容为生产车间，办公生活用房等</w:t>
            </w:r>
            <w:r>
              <w:rPr>
                <w:rFonts w:hint="eastAsia"/>
                <w:sz w:val="24"/>
              </w:rPr>
              <w:t>。</w:t>
            </w:r>
            <w:r>
              <w:rPr>
                <w:sz w:val="24"/>
              </w:rPr>
              <w:t>项目</w:t>
            </w:r>
            <w:r>
              <w:rPr>
                <w:rFonts w:hint="eastAsia"/>
                <w:sz w:val="24"/>
              </w:rPr>
              <w:t>用地目前为空地</w:t>
            </w:r>
            <w:r>
              <w:rPr>
                <w:rFonts w:hint="eastAsia"/>
                <w:color w:val="000000"/>
                <w:sz w:val="24"/>
                <w:lang w:val="zh-CN"/>
              </w:rPr>
              <w:t>。</w:t>
            </w:r>
            <w:r>
              <w:rPr>
                <w:rFonts w:hint="eastAsia"/>
                <w:color w:val="000000"/>
                <w:sz w:val="24"/>
              </w:rPr>
              <w:t>施工期主要为生产车间、办公楼等的建</w:t>
            </w:r>
            <w:r>
              <w:rPr>
                <w:rFonts w:hint="eastAsia"/>
                <w:color w:val="000000"/>
                <w:sz w:val="24"/>
                <w:highlight w:val="none"/>
              </w:rPr>
              <w:t>设，预计施工期约为201</w:t>
            </w:r>
            <w:r>
              <w:rPr>
                <w:rFonts w:hint="eastAsia"/>
                <w:color w:val="000000"/>
                <w:sz w:val="24"/>
                <w:highlight w:val="none"/>
                <w:lang w:val="en-US" w:eastAsia="zh-CN"/>
              </w:rPr>
              <w:t>9</w:t>
            </w:r>
            <w:r>
              <w:rPr>
                <w:rFonts w:hint="eastAsia"/>
                <w:color w:val="000000"/>
                <w:sz w:val="24"/>
                <w:highlight w:val="none"/>
              </w:rPr>
              <w:t>年</w:t>
            </w:r>
            <w:r>
              <w:rPr>
                <w:rFonts w:hint="eastAsia"/>
                <w:color w:val="000000"/>
                <w:sz w:val="24"/>
                <w:highlight w:val="none"/>
                <w:lang w:val="en-US" w:eastAsia="zh-CN"/>
              </w:rPr>
              <w:t>2</w:t>
            </w:r>
            <w:r>
              <w:rPr>
                <w:rFonts w:hint="eastAsia"/>
                <w:color w:val="000000"/>
                <w:sz w:val="24"/>
                <w:highlight w:val="none"/>
              </w:rPr>
              <w:t>月至2019年</w:t>
            </w:r>
            <w:r>
              <w:rPr>
                <w:rFonts w:hint="eastAsia"/>
                <w:color w:val="000000"/>
                <w:sz w:val="24"/>
                <w:highlight w:val="none"/>
                <w:lang w:val="en-US" w:eastAsia="zh-CN"/>
              </w:rPr>
              <w:t>4</w:t>
            </w:r>
            <w:r>
              <w:rPr>
                <w:rFonts w:hint="eastAsia"/>
                <w:color w:val="000000"/>
                <w:sz w:val="24"/>
                <w:highlight w:val="none"/>
              </w:rPr>
              <w:t>月</w:t>
            </w:r>
            <w:r>
              <w:rPr>
                <w:rFonts w:hint="eastAsia"/>
                <w:sz w:val="24"/>
                <w:highlight w:val="none"/>
              </w:rPr>
              <w:t>。</w:t>
            </w:r>
          </w:p>
          <w:p>
            <w:pPr>
              <w:spacing w:line="440" w:lineRule="exact"/>
              <w:ind w:firstLine="482" w:firstLineChars="200"/>
              <w:rPr>
                <w:b/>
                <w:bCs/>
                <w:szCs w:val="21"/>
                <w:highlight w:val="none"/>
              </w:rPr>
            </w:pPr>
            <w:r>
              <w:rPr>
                <w:rFonts w:hint="eastAsia"/>
                <w:b/>
                <w:sz w:val="24"/>
                <w:highlight w:val="none"/>
              </w:rPr>
              <w:t>6</w:t>
            </w:r>
            <w:r>
              <w:rPr>
                <w:b/>
                <w:sz w:val="24"/>
                <w:highlight w:val="none"/>
              </w:rPr>
              <w:t>、环保设施及投资估算情况</w:t>
            </w:r>
          </w:p>
          <w:p>
            <w:pPr>
              <w:spacing w:line="440" w:lineRule="exact"/>
              <w:ind w:firstLine="2951" w:firstLineChars="1400"/>
              <w:rPr>
                <w:b/>
                <w:bCs/>
                <w:szCs w:val="21"/>
              </w:rPr>
            </w:pPr>
            <w:r>
              <w:rPr>
                <w:b/>
                <w:bCs/>
                <w:szCs w:val="21"/>
              </w:rPr>
              <w:t>表</w:t>
            </w:r>
            <w:r>
              <w:rPr>
                <w:rFonts w:hint="eastAsia"/>
                <w:b/>
                <w:bCs/>
                <w:szCs w:val="21"/>
              </w:rPr>
              <w:t>8</w:t>
            </w:r>
            <w:r>
              <w:rPr>
                <w:b/>
                <w:bCs/>
                <w:szCs w:val="21"/>
              </w:rPr>
              <w:t xml:space="preserve">  环保设施及投资估算一览表</w:t>
            </w:r>
          </w:p>
          <w:tbl>
            <w:tblPr>
              <w:tblStyle w:val="28"/>
              <w:tblW w:w="90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696"/>
              <w:gridCol w:w="3917"/>
              <w:gridCol w:w="1003"/>
              <w:gridCol w:w="1109"/>
              <w:gridCol w:w="2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Ex>
              <w:trPr>
                <w:trHeight w:val="90" w:hRule="atLeast"/>
                <w:jc w:val="center"/>
              </w:trPr>
              <w:tc>
                <w:tcPr>
                  <w:tcW w:w="696" w:type="dxa"/>
                  <w:shd w:val="clear" w:color="auto" w:fill="auto"/>
                  <w:vAlign w:val="center"/>
                </w:tcPr>
                <w:p>
                  <w:pPr>
                    <w:jc w:val="center"/>
                    <w:rPr>
                      <w:szCs w:val="21"/>
                    </w:rPr>
                  </w:pPr>
                  <w:r>
                    <w:rPr>
                      <w:szCs w:val="21"/>
                    </w:rPr>
                    <w:t>序号</w:t>
                  </w:r>
                </w:p>
              </w:tc>
              <w:tc>
                <w:tcPr>
                  <w:tcW w:w="3917" w:type="dxa"/>
                  <w:shd w:val="clear" w:color="auto" w:fill="auto"/>
                  <w:vAlign w:val="center"/>
                </w:tcPr>
                <w:p>
                  <w:pPr>
                    <w:jc w:val="center"/>
                    <w:rPr>
                      <w:szCs w:val="21"/>
                    </w:rPr>
                  </w:pPr>
                  <w:r>
                    <w:rPr>
                      <w:szCs w:val="21"/>
                    </w:rPr>
                    <w:t>名称</w:t>
                  </w:r>
                </w:p>
              </w:tc>
              <w:tc>
                <w:tcPr>
                  <w:tcW w:w="1003" w:type="dxa"/>
                  <w:shd w:val="clear" w:color="auto" w:fill="auto"/>
                  <w:vAlign w:val="center"/>
                </w:tcPr>
                <w:p>
                  <w:pPr>
                    <w:jc w:val="center"/>
                    <w:rPr>
                      <w:szCs w:val="21"/>
                    </w:rPr>
                  </w:pPr>
                  <w:r>
                    <w:rPr>
                      <w:szCs w:val="21"/>
                    </w:rPr>
                    <w:t>数量</w:t>
                  </w:r>
                </w:p>
              </w:tc>
              <w:tc>
                <w:tcPr>
                  <w:tcW w:w="1109" w:type="dxa"/>
                  <w:shd w:val="clear" w:color="auto" w:fill="auto"/>
                  <w:vAlign w:val="center"/>
                </w:tcPr>
                <w:p>
                  <w:pPr>
                    <w:jc w:val="center"/>
                    <w:rPr>
                      <w:szCs w:val="21"/>
                    </w:rPr>
                  </w:pPr>
                  <w:r>
                    <w:rPr>
                      <w:szCs w:val="21"/>
                    </w:rPr>
                    <w:t>投资估算(万元)</w:t>
                  </w:r>
                </w:p>
              </w:tc>
              <w:tc>
                <w:tcPr>
                  <w:tcW w:w="2317" w:type="dxa"/>
                  <w:shd w:val="clear" w:color="auto" w:fill="auto"/>
                  <w:vAlign w:val="center"/>
                </w:tcPr>
                <w:p>
                  <w:pPr>
                    <w:jc w:val="center"/>
                    <w:rPr>
                      <w:rFonts w:hint="eastAsia"/>
                      <w:szCs w:val="21"/>
                    </w:rPr>
                  </w:pPr>
                  <w:r>
                    <w:rPr>
                      <w:rFonts w:hint="eastAsia"/>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696" w:type="dxa"/>
                  <w:vMerge w:val="restart"/>
                  <w:shd w:val="clear" w:color="auto" w:fill="auto"/>
                  <w:vAlign w:val="center"/>
                </w:tcPr>
                <w:p>
                  <w:pPr>
                    <w:jc w:val="center"/>
                    <w:rPr>
                      <w:szCs w:val="21"/>
                    </w:rPr>
                  </w:pPr>
                  <w:r>
                    <w:rPr>
                      <w:szCs w:val="21"/>
                    </w:rPr>
                    <w:t>废气治理</w:t>
                  </w:r>
                </w:p>
              </w:tc>
              <w:tc>
                <w:tcPr>
                  <w:tcW w:w="3917" w:type="dxa"/>
                  <w:shd w:val="clear" w:color="auto" w:fill="auto"/>
                  <w:vAlign w:val="center"/>
                </w:tcPr>
                <w:p>
                  <w:pPr>
                    <w:jc w:val="center"/>
                    <w:rPr>
                      <w:rFonts w:hint="eastAsia"/>
                      <w:szCs w:val="21"/>
                    </w:rPr>
                  </w:pPr>
                  <w:r>
                    <w:rPr>
                      <w:rFonts w:hint="eastAsia"/>
                      <w:szCs w:val="21"/>
                    </w:rPr>
                    <w:t>移动式工业吸尘器</w:t>
                  </w:r>
                </w:p>
              </w:tc>
              <w:tc>
                <w:tcPr>
                  <w:tcW w:w="1003" w:type="dxa"/>
                  <w:shd w:val="clear" w:color="auto" w:fill="auto"/>
                  <w:vAlign w:val="center"/>
                </w:tcPr>
                <w:p>
                  <w:pPr>
                    <w:jc w:val="center"/>
                    <w:rPr>
                      <w:rFonts w:hint="eastAsia"/>
                      <w:szCs w:val="21"/>
                    </w:rPr>
                  </w:pPr>
                  <w:r>
                    <w:rPr>
                      <w:rFonts w:hint="eastAsia"/>
                      <w:szCs w:val="21"/>
                    </w:rPr>
                    <w:t>1台</w:t>
                  </w:r>
                </w:p>
              </w:tc>
              <w:tc>
                <w:tcPr>
                  <w:tcW w:w="1109" w:type="dxa"/>
                  <w:shd w:val="clear" w:color="auto" w:fill="auto"/>
                  <w:vAlign w:val="center"/>
                </w:tcPr>
                <w:p>
                  <w:pPr>
                    <w:jc w:val="center"/>
                    <w:rPr>
                      <w:rFonts w:hint="eastAsia"/>
                      <w:szCs w:val="21"/>
                    </w:rPr>
                  </w:pPr>
                  <w:r>
                    <w:rPr>
                      <w:rFonts w:hint="eastAsia"/>
                      <w:szCs w:val="21"/>
                    </w:rPr>
                    <w:t>0.5</w:t>
                  </w:r>
                </w:p>
              </w:tc>
              <w:tc>
                <w:tcPr>
                  <w:tcW w:w="2317" w:type="dxa"/>
                  <w:shd w:val="clear" w:color="auto" w:fill="auto"/>
                  <w:vAlign w:val="center"/>
                </w:tcPr>
                <w:p>
                  <w:pPr>
                    <w:jc w:val="center"/>
                    <w:rPr>
                      <w:rFonts w:hint="eastAsia"/>
                      <w:szCs w:val="21"/>
                    </w:rPr>
                  </w:pPr>
                  <w:r>
                    <w:rPr>
                      <w:rFonts w:hint="eastAsia"/>
                      <w:szCs w:val="21"/>
                    </w:rPr>
                    <w:t>备料工段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6" w:type="dxa"/>
                  <w:vMerge w:val="continue"/>
                  <w:shd w:val="clear" w:color="auto" w:fill="auto"/>
                  <w:vAlign w:val="center"/>
                </w:tcPr>
                <w:p>
                  <w:pPr>
                    <w:jc w:val="center"/>
                    <w:rPr>
                      <w:szCs w:val="21"/>
                    </w:rPr>
                  </w:pPr>
                </w:p>
              </w:tc>
              <w:tc>
                <w:tcPr>
                  <w:tcW w:w="3917" w:type="dxa"/>
                  <w:shd w:val="clear" w:color="auto" w:fill="auto"/>
                  <w:vAlign w:val="center"/>
                </w:tcPr>
                <w:p>
                  <w:pPr>
                    <w:jc w:val="center"/>
                    <w:rPr>
                      <w:rFonts w:hint="eastAsia"/>
                      <w:szCs w:val="21"/>
                    </w:rPr>
                  </w:pPr>
                  <w:r>
                    <w:rPr>
                      <w:rFonts w:hint="eastAsia"/>
                      <w:szCs w:val="21"/>
                    </w:rPr>
                    <w:t>集气罩+袋式除尘装置+15m排气筒</w:t>
                  </w:r>
                </w:p>
              </w:tc>
              <w:tc>
                <w:tcPr>
                  <w:tcW w:w="1003" w:type="dxa"/>
                  <w:shd w:val="clear" w:color="auto" w:fill="auto"/>
                  <w:vAlign w:val="center"/>
                </w:tcPr>
                <w:p>
                  <w:pPr>
                    <w:jc w:val="center"/>
                    <w:rPr>
                      <w:rFonts w:hint="eastAsia"/>
                      <w:szCs w:val="21"/>
                    </w:rPr>
                  </w:pPr>
                  <w:r>
                    <w:rPr>
                      <w:rFonts w:hint="eastAsia"/>
                      <w:szCs w:val="21"/>
                    </w:rPr>
                    <w:t>1台</w:t>
                  </w:r>
                </w:p>
              </w:tc>
              <w:tc>
                <w:tcPr>
                  <w:tcW w:w="1109" w:type="dxa"/>
                  <w:shd w:val="clear" w:color="auto" w:fill="auto"/>
                  <w:vAlign w:val="center"/>
                </w:tcPr>
                <w:p>
                  <w:pPr>
                    <w:jc w:val="center"/>
                    <w:rPr>
                      <w:rFonts w:hint="eastAsia"/>
                      <w:szCs w:val="21"/>
                    </w:rPr>
                  </w:pPr>
                  <w:r>
                    <w:rPr>
                      <w:rFonts w:hint="eastAsia"/>
                      <w:szCs w:val="21"/>
                    </w:rPr>
                    <w:t>2</w:t>
                  </w:r>
                </w:p>
              </w:tc>
              <w:tc>
                <w:tcPr>
                  <w:tcW w:w="2317" w:type="dxa"/>
                  <w:shd w:val="clear" w:color="auto" w:fill="auto"/>
                  <w:vAlign w:val="center"/>
                </w:tcPr>
                <w:p>
                  <w:pPr>
                    <w:jc w:val="center"/>
                    <w:rPr>
                      <w:rFonts w:hint="eastAsia"/>
                      <w:szCs w:val="21"/>
                    </w:rPr>
                  </w:pPr>
                  <w:r>
                    <w:rPr>
                      <w:rFonts w:hint="eastAsia"/>
                      <w:szCs w:val="21"/>
                    </w:rPr>
                    <w:t>投料工段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96" w:type="dxa"/>
                  <w:vMerge w:val="continue"/>
                  <w:shd w:val="clear" w:color="auto" w:fill="auto"/>
                  <w:vAlign w:val="center"/>
                </w:tcPr>
                <w:p>
                  <w:pPr>
                    <w:jc w:val="center"/>
                    <w:rPr>
                      <w:szCs w:val="21"/>
                    </w:rPr>
                  </w:pPr>
                </w:p>
              </w:tc>
              <w:tc>
                <w:tcPr>
                  <w:tcW w:w="3917" w:type="dxa"/>
                  <w:shd w:val="clear" w:color="auto" w:fill="auto"/>
                  <w:vAlign w:val="center"/>
                </w:tcPr>
                <w:p>
                  <w:pPr>
                    <w:jc w:val="center"/>
                    <w:rPr>
                      <w:rFonts w:hint="eastAsia"/>
                      <w:szCs w:val="21"/>
                    </w:rPr>
                  </w:pPr>
                  <w:r>
                    <w:rPr>
                      <w:rFonts w:hint="eastAsia"/>
                      <w:szCs w:val="21"/>
                    </w:rPr>
                    <w:t>集气罩+静电油烟净化装置</w:t>
                  </w:r>
                  <w:r>
                    <w:rPr>
                      <w:rFonts w:hint="eastAsia"/>
                      <w:szCs w:val="21"/>
                      <w:lang w:val="en-US" w:eastAsia="zh-CN"/>
                    </w:rPr>
                    <w:t>+</w:t>
                  </w:r>
                  <w:r>
                    <w:rPr>
                      <w:rFonts w:hint="eastAsia"/>
                      <w:szCs w:val="21"/>
                    </w:rPr>
                    <w:t>15m排气筒</w:t>
                  </w:r>
                </w:p>
              </w:tc>
              <w:tc>
                <w:tcPr>
                  <w:tcW w:w="1003" w:type="dxa"/>
                  <w:shd w:val="clear" w:color="auto" w:fill="auto"/>
                  <w:vAlign w:val="center"/>
                </w:tcPr>
                <w:p>
                  <w:pPr>
                    <w:jc w:val="center"/>
                    <w:rPr>
                      <w:rFonts w:hint="eastAsia" w:eastAsia="宋体"/>
                      <w:szCs w:val="21"/>
                      <w:lang w:val="en-US" w:eastAsia="zh-CN"/>
                    </w:rPr>
                  </w:pPr>
                  <w:r>
                    <w:rPr>
                      <w:rFonts w:hint="eastAsia"/>
                      <w:szCs w:val="21"/>
                      <w:lang w:val="en-US" w:eastAsia="zh-CN"/>
                    </w:rPr>
                    <w:t>1套</w:t>
                  </w:r>
                </w:p>
              </w:tc>
              <w:tc>
                <w:tcPr>
                  <w:tcW w:w="1109" w:type="dxa"/>
                  <w:shd w:val="clear" w:color="auto" w:fill="auto"/>
                  <w:vAlign w:val="center"/>
                </w:tcPr>
                <w:p>
                  <w:pPr>
                    <w:jc w:val="center"/>
                    <w:rPr>
                      <w:rFonts w:hint="eastAsia" w:eastAsia="宋体"/>
                      <w:szCs w:val="21"/>
                      <w:lang w:val="en-US" w:eastAsia="zh-CN"/>
                    </w:rPr>
                  </w:pPr>
                  <w:r>
                    <w:rPr>
                      <w:rFonts w:hint="eastAsia"/>
                      <w:szCs w:val="21"/>
                      <w:lang w:val="en-US" w:eastAsia="zh-CN"/>
                    </w:rPr>
                    <w:t>1.5</w:t>
                  </w:r>
                </w:p>
              </w:tc>
              <w:tc>
                <w:tcPr>
                  <w:tcW w:w="2317" w:type="dxa"/>
                  <w:vMerge w:val="restart"/>
                  <w:shd w:val="clear" w:color="auto" w:fill="auto"/>
                  <w:vAlign w:val="center"/>
                </w:tcPr>
                <w:p>
                  <w:pPr>
                    <w:jc w:val="center"/>
                    <w:rPr>
                      <w:rFonts w:hint="eastAsia"/>
                      <w:szCs w:val="21"/>
                    </w:rPr>
                  </w:pPr>
                  <w:r>
                    <w:rPr>
                      <w:rFonts w:hint="eastAsia"/>
                      <w:szCs w:val="21"/>
                    </w:rPr>
                    <w:t>油炸工段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96" w:type="dxa"/>
                  <w:vMerge w:val="continue"/>
                  <w:shd w:val="clear" w:color="auto" w:fill="auto"/>
                  <w:vAlign w:val="center"/>
                </w:tcPr>
                <w:p>
                  <w:pPr>
                    <w:jc w:val="center"/>
                  </w:pPr>
                </w:p>
              </w:tc>
              <w:tc>
                <w:tcPr>
                  <w:tcW w:w="3917" w:type="dxa"/>
                  <w:shd w:val="clear" w:color="auto" w:fill="auto"/>
                  <w:vAlign w:val="center"/>
                </w:tcPr>
                <w:p>
                  <w:pPr>
                    <w:jc w:val="center"/>
                    <w:rPr>
                      <w:rFonts w:hint="eastAsia"/>
                      <w:szCs w:val="21"/>
                      <w:highlight w:val="yellow"/>
                    </w:rPr>
                  </w:pPr>
                  <w:r>
                    <w:rPr>
                      <w:rFonts w:hint="eastAsia"/>
                      <w:szCs w:val="21"/>
                      <w:lang w:val="en-US" w:eastAsia="zh-CN"/>
                    </w:rPr>
                    <w:t>全封闭燃气炉+</w:t>
                  </w:r>
                  <w:r>
                    <w:rPr>
                      <w:rFonts w:hint="eastAsia"/>
                      <w:szCs w:val="21"/>
                    </w:rPr>
                    <w:t>15m排气筒</w:t>
                  </w:r>
                </w:p>
              </w:tc>
              <w:tc>
                <w:tcPr>
                  <w:tcW w:w="1003" w:type="dxa"/>
                  <w:shd w:val="clear" w:color="auto" w:fill="auto"/>
                  <w:vAlign w:val="center"/>
                </w:tcPr>
                <w:p>
                  <w:pPr>
                    <w:jc w:val="center"/>
                    <w:rPr>
                      <w:rFonts w:hint="eastAsia" w:eastAsia="宋体"/>
                      <w:szCs w:val="21"/>
                      <w:highlight w:val="none"/>
                      <w:lang w:val="en-US" w:eastAsia="zh-CN"/>
                    </w:rPr>
                  </w:pPr>
                  <w:r>
                    <w:rPr>
                      <w:rFonts w:hint="eastAsia"/>
                      <w:szCs w:val="21"/>
                      <w:highlight w:val="none"/>
                      <w:lang w:val="en-US" w:eastAsia="zh-CN"/>
                    </w:rPr>
                    <w:t>1根</w:t>
                  </w:r>
                </w:p>
              </w:tc>
              <w:tc>
                <w:tcPr>
                  <w:tcW w:w="1109" w:type="dxa"/>
                  <w:shd w:val="clear" w:color="auto" w:fill="auto"/>
                  <w:vAlign w:val="center"/>
                </w:tcPr>
                <w:p>
                  <w:pPr>
                    <w:jc w:val="center"/>
                    <w:rPr>
                      <w:rFonts w:hint="eastAsia" w:eastAsia="宋体"/>
                      <w:szCs w:val="21"/>
                      <w:highlight w:val="none"/>
                      <w:lang w:val="en-US" w:eastAsia="zh-CN"/>
                    </w:rPr>
                  </w:pPr>
                  <w:r>
                    <w:rPr>
                      <w:rFonts w:hint="eastAsia"/>
                      <w:szCs w:val="21"/>
                      <w:highlight w:val="none"/>
                      <w:lang w:val="en-US" w:eastAsia="zh-CN"/>
                    </w:rPr>
                    <w:t>0.4</w:t>
                  </w:r>
                </w:p>
              </w:tc>
              <w:tc>
                <w:tcPr>
                  <w:tcW w:w="2317" w:type="dxa"/>
                  <w:vMerge w:val="continue"/>
                  <w:shd w:val="clear" w:color="auto" w:fill="auto"/>
                  <w:vAlign w:val="center"/>
                </w:tcPr>
                <w:p>
                  <w:pPr>
                    <w:jc w:val="center"/>
                    <w:rPr>
                      <w:rFonts w:hint="eastAsia"/>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6" w:type="dxa"/>
                  <w:shd w:val="clear" w:color="auto" w:fill="auto"/>
                  <w:vAlign w:val="center"/>
                </w:tcPr>
                <w:p>
                  <w:pPr>
                    <w:jc w:val="center"/>
                    <w:rPr>
                      <w:szCs w:val="21"/>
                    </w:rPr>
                  </w:pPr>
                  <w:r>
                    <w:rPr>
                      <w:szCs w:val="21"/>
                    </w:rPr>
                    <w:t>废水治理</w:t>
                  </w:r>
                </w:p>
              </w:tc>
              <w:tc>
                <w:tcPr>
                  <w:tcW w:w="3917" w:type="dxa"/>
                  <w:shd w:val="clear" w:color="auto" w:fill="auto"/>
                  <w:vAlign w:val="center"/>
                </w:tcPr>
                <w:p>
                  <w:pPr>
                    <w:jc w:val="center"/>
                    <w:rPr>
                      <w:szCs w:val="21"/>
                    </w:rPr>
                  </w:pPr>
                  <w:r>
                    <w:rPr>
                      <w:szCs w:val="21"/>
                    </w:rPr>
                    <w:t>化粪池</w:t>
                  </w:r>
                </w:p>
              </w:tc>
              <w:tc>
                <w:tcPr>
                  <w:tcW w:w="1003" w:type="dxa"/>
                  <w:shd w:val="clear" w:color="auto" w:fill="auto"/>
                  <w:vAlign w:val="center"/>
                </w:tcPr>
                <w:p>
                  <w:pPr>
                    <w:jc w:val="center"/>
                    <w:rPr>
                      <w:szCs w:val="21"/>
                    </w:rPr>
                  </w:pPr>
                  <w:r>
                    <w:rPr>
                      <w:rFonts w:hint="eastAsia"/>
                      <w:szCs w:val="21"/>
                    </w:rPr>
                    <w:t>1</w:t>
                  </w:r>
                  <w:r>
                    <w:rPr>
                      <w:szCs w:val="21"/>
                    </w:rPr>
                    <w:t>×</w:t>
                  </w:r>
                  <w:r>
                    <w:rPr>
                      <w:rFonts w:hint="eastAsia"/>
                      <w:szCs w:val="21"/>
                    </w:rPr>
                    <w:t>4</w:t>
                  </w:r>
                  <w:r>
                    <w:rPr>
                      <w:szCs w:val="21"/>
                    </w:rPr>
                    <w:t>m</w:t>
                  </w:r>
                  <w:r>
                    <w:rPr>
                      <w:rFonts w:hint="eastAsia"/>
                      <w:szCs w:val="21"/>
                      <w:vertAlign w:val="superscript"/>
                    </w:rPr>
                    <w:t>3</w:t>
                  </w:r>
                </w:p>
              </w:tc>
              <w:tc>
                <w:tcPr>
                  <w:tcW w:w="1109" w:type="dxa"/>
                  <w:shd w:val="clear" w:color="auto" w:fill="auto"/>
                  <w:vAlign w:val="center"/>
                </w:tcPr>
                <w:p>
                  <w:pPr>
                    <w:jc w:val="center"/>
                    <w:rPr>
                      <w:szCs w:val="21"/>
                    </w:rPr>
                  </w:pPr>
                  <w:r>
                    <w:rPr>
                      <w:rFonts w:hint="eastAsia"/>
                      <w:szCs w:val="21"/>
                    </w:rPr>
                    <w:t>1</w:t>
                  </w:r>
                </w:p>
              </w:tc>
              <w:tc>
                <w:tcPr>
                  <w:tcW w:w="2317" w:type="dxa"/>
                  <w:shd w:val="clear" w:color="auto" w:fill="auto"/>
                  <w:vAlign w:val="center"/>
                </w:tcPr>
                <w:p>
                  <w:pPr>
                    <w:jc w:val="center"/>
                    <w:rPr>
                      <w:szCs w:val="21"/>
                    </w:rPr>
                  </w:pPr>
                  <w:r>
                    <w:rPr>
                      <w:rFonts w:hint="eastAsia"/>
                      <w:szCs w:val="21"/>
                    </w:rPr>
                    <w:t>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696" w:type="dxa"/>
                  <w:shd w:val="clear" w:color="auto" w:fill="auto"/>
                  <w:vAlign w:val="center"/>
                </w:tcPr>
                <w:p>
                  <w:pPr>
                    <w:jc w:val="center"/>
                    <w:rPr>
                      <w:szCs w:val="21"/>
                    </w:rPr>
                  </w:pPr>
                  <w:r>
                    <w:rPr>
                      <w:szCs w:val="21"/>
                    </w:rPr>
                    <w:t>噪声治理</w:t>
                  </w:r>
                </w:p>
              </w:tc>
              <w:tc>
                <w:tcPr>
                  <w:tcW w:w="3917" w:type="dxa"/>
                  <w:shd w:val="clear" w:color="auto" w:fill="auto"/>
                  <w:vAlign w:val="center"/>
                </w:tcPr>
                <w:p>
                  <w:pPr>
                    <w:jc w:val="center"/>
                    <w:rPr>
                      <w:rFonts w:hint="eastAsia"/>
                      <w:szCs w:val="21"/>
                    </w:rPr>
                  </w:pPr>
                  <w:r>
                    <w:rPr>
                      <w:rFonts w:hint="eastAsia"/>
                      <w:szCs w:val="21"/>
                    </w:rPr>
                    <w:t>设备基座等处进行减振、加固处理</w:t>
                  </w:r>
                </w:p>
              </w:tc>
              <w:tc>
                <w:tcPr>
                  <w:tcW w:w="1003" w:type="dxa"/>
                  <w:shd w:val="clear" w:color="auto" w:fill="auto"/>
                  <w:vAlign w:val="center"/>
                </w:tcPr>
                <w:p>
                  <w:pPr>
                    <w:jc w:val="center"/>
                    <w:rPr>
                      <w:rFonts w:hint="eastAsia"/>
                      <w:szCs w:val="21"/>
                      <w:highlight w:val="none"/>
                    </w:rPr>
                  </w:pPr>
                  <w:r>
                    <w:rPr>
                      <w:szCs w:val="21"/>
                      <w:highlight w:val="none"/>
                    </w:rPr>
                    <w:t>若干</w:t>
                  </w:r>
                </w:p>
              </w:tc>
              <w:tc>
                <w:tcPr>
                  <w:tcW w:w="1109" w:type="dxa"/>
                  <w:shd w:val="clear" w:color="auto" w:fill="auto"/>
                  <w:vAlign w:val="center"/>
                </w:tcPr>
                <w:p>
                  <w:pPr>
                    <w:rPr>
                      <w:rFonts w:hint="eastAsia"/>
                      <w:szCs w:val="21"/>
                      <w:highlight w:val="none"/>
                    </w:rPr>
                  </w:pPr>
                  <w:r>
                    <w:rPr>
                      <w:rFonts w:hint="eastAsia"/>
                      <w:szCs w:val="21"/>
                      <w:highlight w:val="none"/>
                    </w:rPr>
                    <w:t xml:space="preserve">    1.5</w:t>
                  </w:r>
                </w:p>
              </w:tc>
              <w:tc>
                <w:tcPr>
                  <w:tcW w:w="2317" w:type="dxa"/>
                  <w:shd w:val="clear" w:color="auto" w:fill="auto"/>
                  <w:vAlign w:val="center"/>
                </w:tcPr>
                <w:p>
                  <w:pPr>
                    <w:rPr>
                      <w:rFonts w:hint="eastAsia"/>
                      <w:szCs w:val="21"/>
                    </w:rPr>
                  </w:pPr>
                  <w:r>
                    <w:rPr>
                      <w:rFonts w:hint="eastAsia"/>
                      <w:szCs w:val="21"/>
                    </w:rPr>
                    <w:t xml:space="preserve">     生产设备运行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1" w:hRule="atLeast"/>
                <w:jc w:val="center"/>
              </w:trPr>
              <w:tc>
                <w:tcPr>
                  <w:tcW w:w="696" w:type="dxa"/>
                  <w:vMerge w:val="restart"/>
                  <w:shd w:val="clear" w:color="auto" w:fill="auto"/>
                  <w:vAlign w:val="center"/>
                </w:tcPr>
                <w:p>
                  <w:pPr>
                    <w:jc w:val="center"/>
                    <w:rPr>
                      <w:szCs w:val="21"/>
                    </w:rPr>
                  </w:pPr>
                  <w:r>
                    <w:rPr>
                      <w:szCs w:val="21"/>
                    </w:rPr>
                    <w:t>固废治理</w:t>
                  </w:r>
                </w:p>
              </w:tc>
              <w:tc>
                <w:tcPr>
                  <w:tcW w:w="3917" w:type="dxa"/>
                  <w:shd w:val="clear" w:color="auto" w:fill="auto"/>
                  <w:vAlign w:val="center"/>
                </w:tcPr>
                <w:p>
                  <w:pPr>
                    <w:jc w:val="center"/>
                    <w:rPr>
                      <w:szCs w:val="21"/>
                    </w:rPr>
                  </w:pPr>
                  <w:r>
                    <w:rPr>
                      <w:szCs w:val="21"/>
                    </w:rPr>
                    <w:t>垃圾收集</w:t>
                  </w:r>
                  <w:r>
                    <w:rPr>
                      <w:rFonts w:hint="eastAsia"/>
                      <w:szCs w:val="21"/>
                    </w:rPr>
                    <w:t>箱</w:t>
                  </w:r>
                </w:p>
              </w:tc>
              <w:tc>
                <w:tcPr>
                  <w:tcW w:w="1003" w:type="dxa"/>
                  <w:shd w:val="clear" w:color="auto" w:fill="auto"/>
                  <w:vAlign w:val="center"/>
                </w:tcPr>
                <w:p>
                  <w:pPr>
                    <w:jc w:val="center"/>
                    <w:rPr>
                      <w:szCs w:val="21"/>
                    </w:rPr>
                  </w:pPr>
                  <w:r>
                    <w:rPr>
                      <w:rFonts w:hint="eastAsia"/>
                      <w:szCs w:val="21"/>
                    </w:rPr>
                    <w:t>2</w:t>
                  </w:r>
                  <w:r>
                    <w:rPr>
                      <w:szCs w:val="21"/>
                    </w:rPr>
                    <w:t>个</w:t>
                  </w:r>
                </w:p>
              </w:tc>
              <w:tc>
                <w:tcPr>
                  <w:tcW w:w="1109" w:type="dxa"/>
                  <w:shd w:val="clear" w:color="auto" w:fill="auto"/>
                  <w:vAlign w:val="center"/>
                </w:tcPr>
                <w:p>
                  <w:pPr>
                    <w:jc w:val="center"/>
                    <w:rPr>
                      <w:szCs w:val="21"/>
                    </w:rPr>
                  </w:pPr>
                  <w:r>
                    <w:rPr>
                      <w:szCs w:val="21"/>
                    </w:rPr>
                    <w:t>0.1</w:t>
                  </w:r>
                </w:p>
              </w:tc>
              <w:tc>
                <w:tcPr>
                  <w:tcW w:w="2317" w:type="dxa"/>
                  <w:shd w:val="clear" w:color="auto" w:fill="auto"/>
                  <w:vAlign w:val="center"/>
                </w:tcPr>
                <w:p>
                  <w:pPr>
                    <w:jc w:val="center"/>
                    <w:rPr>
                      <w:szCs w:val="21"/>
                    </w:rPr>
                  </w:pPr>
                  <w:r>
                    <w:rPr>
                      <w:rFonts w:hint="eastAsia"/>
                      <w:szCs w:val="21"/>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1" w:hRule="atLeast"/>
                <w:jc w:val="center"/>
              </w:trPr>
              <w:tc>
                <w:tcPr>
                  <w:tcW w:w="696" w:type="dxa"/>
                  <w:vMerge w:val="continue"/>
                  <w:shd w:val="clear" w:color="auto" w:fill="auto"/>
                  <w:vAlign w:val="center"/>
                </w:tcPr>
                <w:p>
                  <w:pPr>
                    <w:jc w:val="center"/>
                  </w:pPr>
                </w:p>
              </w:tc>
              <w:tc>
                <w:tcPr>
                  <w:tcW w:w="3917" w:type="dxa"/>
                  <w:shd w:val="clear" w:color="auto" w:fill="auto"/>
                  <w:vAlign w:val="center"/>
                </w:tcPr>
                <w:p>
                  <w:pPr>
                    <w:jc w:val="center"/>
                    <w:rPr>
                      <w:rFonts w:hint="eastAsia"/>
                      <w:szCs w:val="21"/>
                    </w:rPr>
                  </w:pPr>
                  <w:r>
                    <w:rPr>
                      <w:rFonts w:hint="eastAsia"/>
                      <w:szCs w:val="21"/>
                    </w:rPr>
                    <w:t>固废临时收集处</w:t>
                  </w:r>
                </w:p>
              </w:tc>
              <w:tc>
                <w:tcPr>
                  <w:tcW w:w="1003" w:type="dxa"/>
                  <w:shd w:val="clear" w:color="auto" w:fill="auto"/>
                  <w:vAlign w:val="center"/>
                </w:tcPr>
                <w:p>
                  <w:pPr>
                    <w:jc w:val="center"/>
                    <w:rPr>
                      <w:rFonts w:hint="eastAsia"/>
                      <w:szCs w:val="21"/>
                    </w:rPr>
                  </w:pPr>
                  <w:r>
                    <w:rPr>
                      <w:szCs w:val="21"/>
                      <w:lang w:val="zh-CN"/>
                    </w:rPr>
                    <w:t>1×</w:t>
                  </w:r>
                  <w:r>
                    <w:rPr>
                      <w:rFonts w:hint="eastAsia"/>
                      <w:szCs w:val="21"/>
                    </w:rPr>
                    <w:t>10</w:t>
                  </w:r>
                  <w:r>
                    <w:rPr>
                      <w:szCs w:val="21"/>
                      <w:lang w:val="zh-CN"/>
                    </w:rPr>
                    <w:t>m</w:t>
                  </w:r>
                  <w:r>
                    <w:rPr>
                      <w:rFonts w:hint="eastAsia"/>
                      <w:szCs w:val="21"/>
                      <w:vertAlign w:val="superscript"/>
                    </w:rPr>
                    <w:t>2</w:t>
                  </w:r>
                </w:p>
              </w:tc>
              <w:tc>
                <w:tcPr>
                  <w:tcW w:w="1109" w:type="dxa"/>
                  <w:shd w:val="clear" w:color="auto" w:fill="auto"/>
                  <w:vAlign w:val="center"/>
                </w:tcPr>
                <w:p>
                  <w:pPr>
                    <w:jc w:val="center"/>
                    <w:rPr>
                      <w:rFonts w:hint="eastAsia"/>
                      <w:szCs w:val="21"/>
                    </w:rPr>
                  </w:pPr>
                  <w:r>
                    <w:rPr>
                      <w:rFonts w:hint="eastAsia"/>
                      <w:szCs w:val="21"/>
                    </w:rPr>
                    <w:t>0.2</w:t>
                  </w:r>
                </w:p>
              </w:tc>
              <w:tc>
                <w:tcPr>
                  <w:tcW w:w="2317" w:type="dxa"/>
                  <w:shd w:val="clear" w:color="auto" w:fill="auto"/>
                  <w:vAlign w:val="center"/>
                </w:tcPr>
                <w:p>
                  <w:pPr>
                    <w:jc w:val="center"/>
                    <w:rPr>
                      <w:rFonts w:hint="eastAsia"/>
                      <w:szCs w:val="21"/>
                    </w:rPr>
                  </w:pPr>
                  <w:r>
                    <w:rPr>
                      <w:rFonts w:hint="eastAsia"/>
                      <w:szCs w:val="21"/>
                    </w:rPr>
                    <w:t>废包装材料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1" w:hRule="atLeast"/>
                <w:jc w:val="center"/>
              </w:trPr>
              <w:tc>
                <w:tcPr>
                  <w:tcW w:w="696" w:type="dxa"/>
                  <w:vMerge w:val="continue"/>
                  <w:shd w:val="clear" w:color="auto" w:fill="auto"/>
                  <w:vAlign w:val="center"/>
                </w:tcPr>
                <w:p>
                  <w:pPr>
                    <w:jc w:val="center"/>
                    <w:rPr>
                      <w:szCs w:val="21"/>
                    </w:rPr>
                  </w:pPr>
                </w:p>
              </w:tc>
              <w:tc>
                <w:tcPr>
                  <w:tcW w:w="3917" w:type="dxa"/>
                  <w:shd w:val="clear" w:color="auto" w:fill="auto"/>
                  <w:vAlign w:val="center"/>
                </w:tcPr>
                <w:p>
                  <w:pPr>
                    <w:jc w:val="center"/>
                    <w:rPr>
                      <w:rFonts w:hint="eastAsia"/>
                      <w:szCs w:val="21"/>
                    </w:rPr>
                  </w:pPr>
                  <w:r>
                    <w:rPr>
                      <w:rFonts w:hint="eastAsia"/>
                      <w:szCs w:val="21"/>
                    </w:rPr>
                    <w:t>专用容器收集（1.5m</w:t>
                  </w:r>
                  <w:r>
                    <w:rPr>
                      <w:rFonts w:hint="eastAsia"/>
                      <w:szCs w:val="21"/>
                      <w:vertAlign w:val="superscript"/>
                    </w:rPr>
                    <w:t>3</w:t>
                  </w:r>
                  <w:r>
                    <w:rPr>
                      <w:rFonts w:hint="eastAsia"/>
                      <w:szCs w:val="21"/>
                    </w:rPr>
                    <w:t>）</w:t>
                  </w:r>
                </w:p>
              </w:tc>
              <w:tc>
                <w:tcPr>
                  <w:tcW w:w="1003" w:type="dxa"/>
                  <w:shd w:val="clear" w:color="auto" w:fill="auto"/>
                  <w:vAlign w:val="center"/>
                </w:tcPr>
                <w:p>
                  <w:pPr>
                    <w:jc w:val="center"/>
                    <w:rPr>
                      <w:rFonts w:hint="eastAsia"/>
                      <w:szCs w:val="21"/>
                    </w:rPr>
                  </w:pPr>
                  <w:r>
                    <w:rPr>
                      <w:rFonts w:hint="eastAsia"/>
                      <w:szCs w:val="21"/>
                    </w:rPr>
                    <w:t>10</w:t>
                  </w:r>
                </w:p>
              </w:tc>
              <w:tc>
                <w:tcPr>
                  <w:tcW w:w="1109" w:type="dxa"/>
                  <w:shd w:val="clear" w:color="auto" w:fill="auto"/>
                  <w:vAlign w:val="center"/>
                </w:tcPr>
                <w:p>
                  <w:pPr>
                    <w:jc w:val="center"/>
                    <w:rPr>
                      <w:rFonts w:hint="eastAsia"/>
                      <w:szCs w:val="21"/>
                    </w:rPr>
                  </w:pPr>
                  <w:r>
                    <w:rPr>
                      <w:rFonts w:hint="eastAsia"/>
                      <w:szCs w:val="21"/>
                    </w:rPr>
                    <w:t>0.2</w:t>
                  </w:r>
                </w:p>
              </w:tc>
              <w:tc>
                <w:tcPr>
                  <w:tcW w:w="2317" w:type="dxa"/>
                  <w:shd w:val="clear" w:color="auto" w:fill="auto"/>
                  <w:vAlign w:val="center"/>
                </w:tcPr>
                <w:p>
                  <w:pPr>
                    <w:jc w:val="center"/>
                    <w:rPr>
                      <w:rFonts w:hint="eastAsia"/>
                      <w:szCs w:val="21"/>
                    </w:rPr>
                  </w:pPr>
                  <w:r>
                    <w:rPr>
                      <w:rFonts w:hint="eastAsia"/>
                      <w:szCs w:val="21"/>
                    </w:rPr>
                    <w:t>废油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6" w:type="dxa"/>
                  <w:vMerge w:val="continue"/>
                  <w:shd w:val="clear" w:color="auto" w:fill="auto"/>
                  <w:vAlign w:val="center"/>
                </w:tcPr>
                <w:p>
                  <w:pPr>
                    <w:jc w:val="center"/>
                    <w:rPr>
                      <w:szCs w:val="21"/>
                    </w:rPr>
                  </w:pPr>
                </w:p>
              </w:tc>
              <w:tc>
                <w:tcPr>
                  <w:tcW w:w="3917" w:type="dxa"/>
                  <w:shd w:val="clear" w:color="auto" w:fill="auto"/>
                  <w:vAlign w:val="center"/>
                </w:tcPr>
                <w:p>
                  <w:pPr>
                    <w:jc w:val="center"/>
                    <w:rPr>
                      <w:szCs w:val="21"/>
                    </w:rPr>
                  </w:pPr>
                  <w:r>
                    <w:rPr>
                      <w:rFonts w:hint="eastAsia"/>
                      <w:szCs w:val="21"/>
                    </w:rPr>
                    <w:t>固定容器收集</w:t>
                  </w:r>
                  <w:r>
                    <w:rPr>
                      <w:rFonts w:hint="eastAsia"/>
                      <w:bCs/>
                      <w:szCs w:val="21"/>
                    </w:rPr>
                    <w:t>（1m</w:t>
                  </w:r>
                  <w:r>
                    <w:rPr>
                      <w:rFonts w:hint="eastAsia"/>
                      <w:bCs/>
                      <w:szCs w:val="21"/>
                      <w:vertAlign w:val="superscript"/>
                    </w:rPr>
                    <w:t>3</w:t>
                  </w:r>
                  <w:r>
                    <w:rPr>
                      <w:rFonts w:hint="eastAsia"/>
                      <w:bCs/>
                      <w:szCs w:val="21"/>
                    </w:rPr>
                    <w:t>）</w:t>
                  </w:r>
                </w:p>
              </w:tc>
              <w:tc>
                <w:tcPr>
                  <w:tcW w:w="1003" w:type="dxa"/>
                  <w:shd w:val="clear" w:color="auto" w:fill="auto"/>
                  <w:vAlign w:val="center"/>
                </w:tcPr>
                <w:p>
                  <w:pPr>
                    <w:jc w:val="center"/>
                    <w:rPr>
                      <w:rFonts w:hint="eastAsia"/>
                      <w:szCs w:val="21"/>
                    </w:rPr>
                  </w:pPr>
                  <w:r>
                    <w:rPr>
                      <w:rFonts w:hint="eastAsia"/>
                      <w:szCs w:val="21"/>
                    </w:rPr>
                    <w:t>2个</w:t>
                  </w:r>
                </w:p>
              </w:tc>
              <w:tc>
                <w:tcPr>
                  <w:tcW w:w="1109" w:type="dxa"/>
                  <w:shd w:val="clear" w:color="auto" w:fill="auto"/>
                  <w:vAlign w:val="center"/>
                </w:tcPr>
                <w:p>
                  <w:pPr>
                    <w:jc w:val="center"/>
                    <w:rPr>
                      <w:rFonts w:hint="eastAsia"/>
                      <w:szCs w:val="21"/>
                    </w:rPr>
                  </w:pPr>
                  <w:r>
                    <w:rPr>
                      <w:rFonts w:hint="eastAsia"/>
                      <w:szCs w:val="21"/>
                    </w:rPr>
                    <w:t>0.1</w:t>
                  </w:r>
                </w:p>
              </w:tc>
              <w:tc>
                <w:tcPr>
                  <w:tcW w:w="2317" w:type="dxa"/>
                  <w:shd w:val="clear" w:color="auto" w:fill="auto"/>
                  <w:vAlign w:val="center"/>
                </w:tcPr>
                <w:p>
                  <w:pPr>
                    <w:jc w:val="center"/>
                    <w:rPr>
                      <w:rFonts w:hint="eastAsia"/>
                      <w:szCs w:val="21"/>
                    </w:rPr>
                  </w:pPr>
                  <w:r>
                    <w:rPr>
                      <w:rFonts w:hint="eastAsia"/>
                      <w:szCs w:val="21"/>
                    </w:rPr>
                    <w:t>废油渣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13" w:type="dxa"/>
                  <w:gridSpan w:val="2"/>
                  <w:shd w:val="clear" w:color="auto" w:fill="auto"/>
                  <w:vAlign w:val="center"/>
                </w:tcPr>
                <w:p>
                  <w:pPr>
                    <w:jc w:val="center"/>
                    <w:rPr>
                      <w:szCs w:val="21"/>
                    </w:rPr>
                  </w:pPr>
                  <w:r>
                    <w:rPr>
                      <w:rFonts w:hint="eastAsia"/>
                      <w:szCs w:val="21"/>
                      <w:lang w:val="zh-CN"/>
                    </w:rPr>
                    <w:t>日常环境管理</w:t>
                  </w:r>
                </w:p>
              </w:tc>
              <w:tc>
                <w:tcPr>
                  <w:tcW w:w="1003" w:type="dxa"/>
                  <w:shd w:val="clear" w:color="auto" w:fill="auto"/>
                  <w:vAlign w:val="center"/>
                </w:tcPr>
                <w:p>
                  <w:pPr>
                    <w:jc w:val="center"/>
                    <w:rPr>
                      <w:rFonts w:hint="eastAsia"/>
                      <w:szCs w:val="21"/>
                    </w:rPr>
                  </w:pPr>
                  <w:r>
                    <w:rPr>
                      <w:rFonts w:hint="eastAsia"/>
                      <w:szCs w:val="21"/>
                    </w:rPr>
                    <w:t>/</w:t>
                  </w:r>
                </w:p>
              </w:tc>
              <w:tc>
                <w:tcPr>
                  <w:tcW w:w="1109" w:type="dxa"/>
                  <w:shd w:val="clear" w:color="auto" w:fill="auto"/>
                  <w:vAlign w:val="center"/>
                </w:tcPr>
                <w:p>
                  <w:pPr>
                    <w:jc w:val="center"/>
                    <w:rPr>
                      <w:rFonts w:hint="eastAsia"/>
                      <w:szCs w:val="21"/>
                    </w:rPr>
                  </w:pPr>
                  <w:r>
                    <w:rPr>
                      <w:rFonts w:hint="eastAsia"/>
                      <w:szCs w:val="21"/>
                    </w:rPr>
                    <w:t>2</w:t>
                  </w:r>
                </w:p>
              </w:tc>
              <w:tc>
                <w:tcPr>
                  <w:tcW w:w="2317" w:type="dxa"/>
                  <w:shd w:val="clear" w:color="auto" w:fill="auto"/>
                  <w:vAlign w:val="center"/>
                </w:tcPr>
                <w:p>
                  <w:pPr>
                    <w:jc w:val="center"/>
                    <w:rPr>
                      <w:rFonts w:hint="eastAsia"/>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16" w:type="dxa"/>
                  <w:gridSpan w:val="3"/>
                  <w:shd w:val="clear" w:color="auto" w:fill="auto"/>
                  <w:vAlign w:val="center"/>
                </w:tcPr>
                <w:p>
                  <w:pPr>
                    <w:jc w:val="center"/>
                    <w:rPr>
                      <w:szCs w:val="21"/>
                    </w:rPr>
                  </w:pPr>
                  <w:r>
                    <w:rPr>
                      <w:szCs w:val="21"/>
                    </w:rPr>
                    <w:t>合计(万元)</w:t>
                  </w:r>
                </w:p>
              </w:tc>
              <w:tc>
                <w:tcPr>
                  <w:tcW w:w="1109" w:type="dxa"/>
                  <w:shd w:val="clear" w:color="auto" w:fill="auto"/>
                  <w:vAlign w:val="center"/>
                </w:tcPr>
                <w:p>
                  <w:pPr>
                    <w:jc w:val="center"/>
                    <w:rPr>
                      <w:rFonts w:hint="eastAsia"/>
                      <w:szCs w:val="21"/>
                    </w:rPr>
                  </w:pPr>
                  <w:r>
                    <w:rPr>
                      <w:rFonts w:hint="eastAsia"/>
                      <w:szCs w:val="21"/>
                    </w:rPr>
                    <w:t>9.5</w:t>
                  </w:r>
                </w:p>
              </w:tc>
              <w:tc>
                <w:tcPr>
                  <w:tcW w:w="2317" w:type="dxa"/>
                  <w:shd w:val="clear" w:color="auto" w:fill="auto"/>
                  <w:vAlign w:val="center"/>
                </w:tcPr>
                <w:p>
                  <w:pPr>
                    <w:jc w:val="center"/>
                    <w:rPr>
                      <w:rFonts w:hint="eastAsia"/>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42" w:type="dxa"/>
                  <w:gridSpan w:val="5"/>
                  <w:shd w:val="clear" w:color="auto" w:fill="auto"/>
                  <w:vAlign w:val="center"/>
                </w:tcPr>
                <w:p>
                  <w:pPr>
                    <w:jc w:val="center"/>
                    <w:rPr>
                      <w:szCs w:val="21"/>
                    </w:rPr>
                  </w:pPr>
                  <w:r>
                    <w:rPr>
                      <w:szCs w:val="21"/>
                    </w:rPr>
                    <w:t>备注:环保投资占总投资比例</w:t>
                  </w:r>
                  <w:r>
                    <w:rPr>
                      <w:rFonts w:hint="eastAsia"/>
                      <w:szCs w:val="21"/>
                    </w:rPr>
                    <w:t>9.5</w:t>
                  </w:r>
                  <w:r>
                    <w:rPr>
                      <w:szCs w:val="21"/>
                    </w:rPr>
                    <w:t>%（</w:t>
                  </w:r>
                  <w:r>
                    <w:rPr>
                      <w:rFonts w:hint="eastAsia"/>
                      <w:szCs w:val="21"/>
                    </w:rPr>
                    <w:t>9.5</w:t>
                  </w:r>
                  <w:r>
                    <w:rPr>
                      <w:szCs w:val="21"/>
                    </w:rPr>
                    <w:t>/</w:t>
                  </w:r>
                  <w:r>
                    <w:rPr>
                      <w:rFonts w:hint="eastAsia"/>
                      <w:szCs w:val="21"/>
                    </w:rPr>
                    <w:t>100</w:t>
                  </w:r>
                  <w:r>
                    <w:rPr>
                      <w:szCs w:val="21"/>
                    </w:rPr>
                    <w:t>×100%=</w:t>
                  </w:r>
                  <w:r>
                    <w:rPr>
                      <w:rFonts w:hint="eastAsia"/>
                      <w:szCs w:val="21"/>
                    </w:rPr>
                    <w:t>9.5</w:t>
                  </w:r>
                  <w:r>
                    <w:rPr>
                      <w:szCs w:val="21"/>
                    </w:rPr>
                    <w:t>%）</w:t>
                  </w:r>
                </w:p>
              </w:tc>
            </w:tr>
          </w:tbl>
          <w:p>
            <w:pPr>
              <w:rPr>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4" w:hRule="atLeast"/>
          <w:jc w:val="center"/>
        </w:trPr>
        <w:tc>
          <w:tcPr>
            <w:tcW w:w="9288" w:type="dxa"/>
            <w:gridSpan w:val="10"/>
            <w:vAlign w:val="top"/>
          </w:tcPr>
          <w:p>
            <w:pPr>
              <w:spacing w:line="500" w:lineRule="exact"/>
              <w:ind w:firstLine="482" w:firstLineChars="200"/>
              <w:rPr>
                <w:b/>
                <w:bCs/>
                <w:sz w:val="24"/>
              </w:rPr>
            </w:pPr>
            <w:r>
              <w:rPr>
                <w:b/>
                <w:bCs/>
                <w:sz w:val="24"/>
              </w:rPr>
              <w:t>与本项目有关的原有污染情况及主要环境问题：</w:t>
            </w:r>
          </w:p>
          <w:p>
            <w:pPr>
              <w:spacing w:line="500" w:lineRule="exact"/>
              <w:ind w:firstLine="480" w:firstLineChars="200"/>
              <w:rPr>
                <w:rFonts w:hint="eastAsia"/>
                <w:sz w:val="24"/>
              </w:rPr>
            </w:pPr>
            <w:r>
              <w:rPr>
                <w:sz w:val="24"/>
                <w:lang w:val="zh-CN"/>
              </w:rPr>
              <w:t>本项目为新建项目，</w:t>
            </w:r>
            <w:r>
              <w:rPr>
                <w:rFonts w:hint="eastAsia"/>
                <w:sz w:val="24"/>
                <w:lang w:val="zh-CN"/>
              </w:rPr>
              <w:t>厂区现状为空地，</w:t>
            </w:r>
            <w:r>
              <w:rPr>
                <w:sz w:val="24"/>
                <w:lang w:val="zh-CN"/>
              </w:rPr>
              <w:t>不存在与本项目有关的原有污染及环境问题。</w:t>
            </w:r>
            <w:r>
              <w:rPr>
                <w:rFonts w:hint="eastAsia"/>
                <w:sz w:val="24"/>
                <w:lang w:val="zh-CN"/>
              </w:rPr>
              <w:t>本项目现状见图如下：</w:t>
            </w:r>
          </w:p>
          <w:p>
            <w:pPr>
              <w:spacing w:line="240" w:lineRule="atLeast"/>
              <w:ind w:right="105" w:rightChars="50" w:firstLine="480"/>
              <w:jc w:val="center"/>
              <w:rPr>
                <w:lang w:val="zh-CN"/>
              </w:rPr>
            </w:pPr>
            <w:r>
              <w:drawing>
                <wp:anchor distT="0" distB="0" distL="114300" distR="114300" simplePos="0" relativeHeight="251696128" behindDoc="1" locked="0" layoutInCell="1" allowOverlap="1">
                  <wp:simplePos x="0" y="0"/>
                  <wp:positionH relativeFrom="column">
                    <wp:posOffset>-78105</wp:posOffset>
                  </wp:positionH>
                  <wp:positionV relativeFrom="paragraph">
                    <wp:posOffset>235585</wp:posOffset>
                  </wp:positionV>
                  <wp:extent cx="2639060" cy="1579245"/>
                  <wp:effectExtent l="0" t="0" r="8890" b="1905"/>
                  <wp:wrapTight wrapText="bothSides">
                    <wp:wrapPolygon>
                      <wp:start x="21591" y="-2"/>
                      <wp:lineTo x="0" y="0"/>
                      <wp:lineTo x="0" y="21600"/>
                      <wp:lineTo x="21591" y="21602"/>
                      <wp:lineTo x="8" y="21602"/>
                      <wp:lineTo x="21599" y="21600"/>
                      <wp:lineTo x="21599" y="0"/>
                      <wp:lineTo x="8" y="-2"/>
                      <wp:lineTo x="21591" y="-2"/>
                    </wp:wrapPolygon>
                  </wp:wrapTight>
                  <wp:docPr id="6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6"/>
                          <pic:cNvPicPr>
                            <a:picLocks noChangeAspect="1"/>
                          </pic:cNvPicPr>
                        </pic:nvPicPr>
                        <pic:blipFill>
                          <a:blip r:embed="rId11"/>
                          <a:stretch>
                            <a:fillRect/>
                          </a:stretch>
                        </pic:blipFill>
                        <pic:spPr>
                          <a:xfrm>
                            <a:off x="0" y="0"/>
                            <a:ext cx="2639060" cy="1579245"/>
                          </a:xfrm>
                          <a:prstGeom prst="rect">
                            <a:avLst/>
                          </a:prstGeom>
                          <a:noFill/>
                          <a:ln w="9525">
                            <a:noFill/>
                          </a:ln>
                        </pic:spPr>
                      </pic:pic>
                    </a:graphicData>
                  </a:graphic>
                </wp:anchor>
              </w:drawing>
            </w:r>
            <w:r>
              <w:drawing>
                <wp:anchor distT="0" distB="0" distL="114300" distR="114300" simplePos="0" relativeHeight="251697152" behindDoc="1" locked="0" layoutInCell="1" allowOverlap="1">
                  <wp:simplePos x="0" y="0"/>
                  <wp:positionH relativeFrom="column">
                    <wp:posOffset>2943225</wp:posOffset>
                  </wp:positionH>
                  <wp:positionV relativeFrom="paragraph">
                    <wp:posOffset>170815</wp:posOffset>
                  </wp:positionV>
                  <wp:extent cx="2732405" cy="1645285"/>
                  <wp:effectExtent l="0" t="0" r="10795" b="12065"/>
                  <wp:wrapTight wrapText="bothSides">
                    <wp:wrapPolygon>
                      <wp:start x="21592" y="-2"/>
                      <wp:lineTo x="0" y="0"/>
                      <wp:lineTo x="0" y="21600"/>
                      <wp:lineTo x="21592" y="21602"/>
                      <wp:lineTo x="8" y="21602"/>
                      <wp:lineTo x="21600" y="21600"/>
                      <wp:lineTo x="21600" y="0"/>
                      <wp:lineTo x="8" y="-2"/>
                      <wp:lineTo x="21592" y="-2"/>
                    </wp:wrapPolygon>
                  </wp:wrapTight>
                  <wp:docPr id="6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7"/>
                          <pic:cNvPicPr>
                            <a:picLocks noChangeAspect="1"/>
                          </pic:cNvPicPr>
                        </pic:nvPicPr>
                        <pic:blipFill>
                          <a:blip r:embed="rId12"/>
                          <a:stretch>
                            <a:fillRect/>
                          </a:stretch>
                        </pic:blipFill>
                        <pic:spPr>
                          <a:xfrm>
                            <a:off x="0" y="0"/>
                            <a:ext cx="2732405" cy="1645285"/>
                          </a:xfrm>
                          <a:prstGeom prst="rect">
                            <a:avLst/>
                          </a:prstGeom>
                          <a:noFill/>
                          <a:ln w="9525">
                            <a:noFill/>
                          </a:ln>
                        </pic:spPr>
                      </pic:pic>
                    </a:graphicData>
                  </a:graphic>
                </wp:anchor>
              </w:drawing>
            </w:r>
          </w:p>
        </w:tc>
      </w:tr>
    </w:tbl>
    <w:p>
      <w:pPr>
        <w:spacing w:line="520" w:lineRule="exact"/>
        <w:outlineLvl w:val="0"/>
        <w:rPr>
          <w:b/>
          <w:sz w:val="24"/>
        </w:rPr>
      </w:pPr>
      <w:r>
        <w:rPr>
          <w:b/>
          <w:sz w:val="24"/>
        </w:rPr>
        <w:br w:type="page"/>
      </w:r>
      <w:r>
        <w:rPr>
          <w:b/>
          <w:sz w:val="24"/>
        </w:rPr>
        <w:t>建设项目所在地自然环境简况</w:t>
      </w:r>
    </w:p>
    <w:tbl>
      <w:tblPr>
        <w:tblStyle w:val="28"/>
        <w:tblW w:w="90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9002" w:type="dxa"/>
            <w:vAlign w:val="top"/>
          </w:tcPr>
          <w:p>
            <w:pPr>
              <w:spacing w:line="360" w:lineRule="auto"/>
              <w:rPr>
                <w:b/>
                <w:spacing w:val="-6"/>
                <w:sz w:val="24"/>
              </w:rPr>
            </w:pPr>
            <w:r>
              <w:rPr>
                <w:b/>
                <w:spacing w:val="-6"/>
                <w:sz w:val="24"/>
              </w:rPr>
              <w:t>自然环境简况(地形、地貌、地质、气候、气象、水文、植被、生物多样性等)：</w:t>
            </w:r>
          </w:p>
          <w:p>
            <w:pPr>
              <w:spacing w:line="560" w:lineRule="exact"/>
              <w:ind w:firstLine="482" w:firstLineChars="200"/>
              <w:rPr>
                <w:b/>
                <w:bCs/>
                <w:sz w:val="24"/>
                <w:lang w:val="zh-CN"/>
              </w:rPr>
            </w:pPr>
            <w:r>
              <w:rPr>
                <w:b/>
                <w:bCs/>
                <w:sz w:val="24"/>
                <w:lang w:val="zh-CN"/>
              </w:rPr>
              <w:t>1、地理位置</w:t>
            </w:r>
          </w:p>
          <w:p>
            <w:pPr>
              <w:spacing w:line="560" w:lineRule="exact"/>
              <w:ind w:firstLine="480" w:firstLineChars="200"/>
              <w:rPr>
                <w:sz w:val="24"/>
                <w:lang w:val="zh-CN"/>
              </w:rPr>
            </w:pPr>
            <w:r>
              <w:rPr>
                <w:sz w:val="24"/>
                <w:lang w:val="zh-CN"/>
              </w:rPr>
              <w:t>滑县位于河南省东北部，在东经114°23′～59′，北纬35°12′～47′之间，东西长51.1km，南北宽39.5km，为古黄河冲积平原，地处豫北平原，与濮阳、延津、浚县、长垣、封丘、内黄接壤。县城道口镇南距郑州市153km，北距安阳市70km，东北距濮阳市53km，西南距新乡市70km，西北距鹤壁新市区25km。</w:t>
            </w:r>
          </w:p>
          <w:p>
            <w:pPr>
              <w:spacing w:line="560" w:lineRule="exact"/>
              <w:ind w:firstLine="482" w:firstLineChars="200"/>
              <w:rPr>
                <w:b/>
                <w:bCs/>
                <w:sz w:val="24"/>
                <w:lang w:val="zh-CN"/>
              </w:rPr>
            </w:pPr>
            <w:r>
              <w:rPr>
                <w:b/>
                <w:bCs/>
                <w:sz w:val="24"/>
                <w:lang w:val="zh-CN"/>
              </w:rPr>
              <w:t>2、地形地貌</w:t>
            </w:r>
          </w:p>
          <w:p>
            <w:pPr>
              <w:spacing w:line="560" w:lineRule="exact"/>
              <w:ind w:firstLine="480" w:firstLineChars="200"/>
              <w:rPr>
                <w:sz w:val="24"/>
                <w:lang w:val="zh-CN"/>
              </w:rPr>
            </w:pPr>
            <w:r>
              <w:rPr>
                <w:sz w:val="24"/>
                <w:lang w:val="zh-CN"/>
              </w:rPr>
              <w:t>滑县处于黄河冲积平原的西部边缘，地势比较平坦，起伏较小，总体呈西南高、东北低之势，海拔在50-65m之间，东西地面比降1/7000，南北地面比降1/5000。由于地处黄河故道 ，历史上受黄河多次泛滥的影响形成了“九堤、四坡、十八洼”的地形特点。</w:t>
            </w:r>
          </w:p>
          <w:p>
            <w:pPr>
              <w:spacing w:line="560" w:lineRule="exact"/>
              <w:ind w:firstLine="480" w:firstLineChars="200"/>
              <w:rPr>
                <w:sz w:val="24"/>
                <w:lang w:val="zh-CN"/>
              </w:rPr>
            </w:pPr>
            <w:r>
              <w:rPr>
                <w:sz w:val="24"/>
                <w:lang w:val="zh-CN"/>
              </w:rPr>
              <w:t>滑县土壤结构分为粘土和风沙土两种，东粘西沙，面积95%为黄河流域，5%为海河流域，应用地下水占总面积的98%。</w:t>
            </w:r>
          </w:p>
          <w:p>
            <w:pPr>
              <w:spacing w:line="560" w:lineRule="exact"/>
              <w:ind w:firstLine="482" w:firstLineChars="200"/>
              <w:rPr>
                <w:b/>
                <w:bCs/>
                <w:sz w:val="24"/>
                <w:lang w:val="zh-CN"/>
              </w:rPr>
            </w:pPr>
            <w:r>
              <w:rPr>
                <w:b/>
                <w:bCs/>
                <w:sz w:val="24"/>
                <w:lang w:val="zh-CN"/>
              </w:rPr>
              <w:t>3、气侯、气象</w:t>
            </w:r>
          </w:p>
          <w:p>
            <w:pPr>
              <w:spacing w:line="560" w:lineRule="exact"/>
              <w:ind w:firstLine="480" w:firstLineChars="200"/>
              <w:rPr>
                <w:sz w:val="24"/>
                <w:lang w:val="zh-CN"/>
              </w:rPr>
            </w:pPr>
            <w:r>
              <w:rPr>
                <w:sz w:val="24"/>
                <w:lang w:val="zh-CN"/>
              </w:rPr>
              <w:t>滑县气候为暖温带大陆性气候，光、热、水资源比较丰富，其特点为：春季温暖多风，夏季炎热多雨，秋季凉爽湿润，冬季寒冷干燥，四季分明，雨、热同季，有利于农作物的生长。</w:t>
            </w:r>
          </w:p>
          <w:p>
            <w:pPr>
              <w:spacing w:line="560" w:lineRule="exact"/>
              <w:ind w:firstLine="480" w:firstLineChars="200"/>
              <w:rPr>
                <w:sz w:val="24"/>
                <w:lang w:val="zh-CN"/>
              </w:rPr>
            </w:pPr>
            <w:r>
              <w:rPr>
                <w:sz w:val="24"/>
                <w:lang w:val="zh-CN"/>
              </w:rPr>
              <w:t>历年气象资料表明，年平均气温为13.7℃，年极端最高气温41.8℃，极端最低气温-19.2℃；年平均降雨量619.7mm，土壤最大冻结深度120mm。年平均风速</w:t>
            </w:r>
            <w:r>
              <w:rPr>
                <w:rFonts w:hint="eastAsia"/>
                <w:sz w:val="24"/>
              </w:rPr>
              <w:t>3</w:t>
            </w:r>
            <w:r>
              <w:rPr>
                <w:sz w:val="24"/>
                <w:lang w:val="zh-CN"/>
              </w:rPr>
              <w:t>.2m/s，最大风速31m/s，主导风向夏季为偏南风，冬季为偏北风，频率分别为31%和26%，静风频率为12.6%。</w:t>
            </w:r>
          </w:p>
          <w:p>
            <w:pPr>
              <w:spacing w:line="560" w:lineRule="exact"/>
              <w:ind w:firstLine="482" w:firstLineChars="200"/>
              <w:rPr>
                <w:b/>
                <w:bCs/>
                <w:sz w:val="24"/>
                <w:lang w:val="zh-CN"/>
              </w:rPr>
            </w:pPr>
            <w:r>
              <w:rPr>
                <w:b/>
                <w:bCs/>
                <w:sz w:val="24"/>
                <w:lang w:val="zh-CN"/>
              </w:rPr>
              <w:t>4、水资源</w:t>
            </w:r>
          </w:p>
          <w:p>
            <w:pPr>
              <w:spacing w:line="560" w:lineRule="exact"/>
              <w:ind w:firstLine="480" w:firstLineChars="200"/>
              <w:rPr>
                <w:sz w:val="24"/>
                <w:lang w:val="zh-CN"/>
              </w:rPr>
            </w:pPr>
            <w:r>
              <w:rPr>
                <w:sz w:val="24"/>
                <w:lang w:val="zh-CN"/>
              </w:rPr>
              <w:t>（1）地下水</w:t>
            </w:r>
          </w:p>
          <w:p>
            <w:pPr>
              <w:spacing w:line="520" w:lineRule="exact"/>
              <w:ind w:firstLine="480" w:firstLineChars="200"/>
              <w:rPr>
                <w:sz w:val="24"/>
                <w:lang w:val="zh-CN"/>
              </w:rPr>
            </w:pPr>
            <w:r>
              <w:rPr>
                <w:sz w:val="24"/>
                <w:lang w:val="zh-CN"/>
              </w:rPr>
              <w:t>滑县地下水较为丰富，在第四系全新统地层中含有8个含水层组。全县95%以上地下水呈弱碱性，pH值在7—9之间，矿化度2g/L以下的地下水占总面积的95.7%，绝大部分水质较好。</w:t>
            </w:r>
          </w:p>
          <w:p>
            <w:pPr>
              <w:spacing w:line="560" w:lineRule="exact"/>
              <w:ind w:firstLine="480" w:firstLineChars="200"/>
              <w:rPr>
                <w:sz w:val="24"/>
                <w:lang w:val="zh-CN"/>
              </w:rPr>
            </w:pPr>
            <w:r>
              <w:rPr>
                <w:sz w:val="24"/>
                <w:lang w:val="zh-CN"/>
              </w:rPr>
              <w:t>（2）地表水</w:t>
            </w:r>
          </w:p>
          <w:p>
            <w:pPr>
              <w:spacing w:line="520" w:lineRule="exact"/>
              <w:ind w:firstLine="480" w:firstLineChars="200"/>
              <w:rPr>
                <w:sz w:val="24"/>
                <w:lang w:val="zh-CN"/>
              </w:rPr>
            </w:pPr>
            <w:r>
              <w:rPr>
                <w:sz w:val="24"/>
                <w:lang w:val="zh-CN"/>
              </w:rPr>
              <w:t>流经滑县的地表水大部分属黄河流域，滑县西部及西北部边界地带属卫河水系海河流域。卫河自浚县曹湾村东入滑县县境，经道口桥上村至军庄北复入浚县，境内河长8km。</w:t>
            </w:r>
          </w:p>
          <w:p>
            <w:pPr>
              <w:spacing w:line="520" w:lineRule="exact"/>
              <w:ind w:firstLine="480" w:firstLineChars="200"/>
              <w:rPr>
                <w:sz w:val="24"/>
                <w:lang w:val="zh-CN"/>
              </w:rPr>
            </w:pPr>
            <w:r>
              <w:rPr>
                <w:sz w:val="24"/>
                <w:lang w:val="zh-CN"/>
              </w:rPr>
              <w:t>金堤河是滑县的主要排洪、排污河道，也是延津、封丘、长垣、濮阳、范县、台前等的一条大型排涝河道。金堤河在滑县境内的主要支流有黄庄河、柳青河、瓦岗河、贾公河、城关河、大宫河等。</w:t>
            </w:r>
          </w:p>
          <w:p>
            <w:pPr>
              <w:spacing w:line="520" w:lineRule="exact"/>
              <w:ind w:firstLine="480" w:firstLineChars="200"/>
              <w:rPr>
                <w:sz w:val="24"/>
                <w:lang w:val="zh-CN"/>
              </w:rPr>
            </w:pPr>
            <w:r>
              <w:rPr>
                <w:sz w:val="24"/>
                <w:lang w:val="zh-CN"/>
              </w:rPr>
              <w:t>黄庄河位于滑县东部，该河自长垣县东角城入滑县县境，在秦寨入金堤河，境内长度32.35km。</w:t>
            </w:r>
          </w:p>
          <w:p>
            <w:pPr>
              <w:spacing w:line="520" w:lineRule="exact"/>
              <w:ind w:firstLine="480" w:firstLineChars="200"/>
              <w:rPr>
                <w:sz w:val="24"/>
                <w:lang w:val="zh-CN"/>
              </w:rPr>
            </w:pPr>
            <w:r>
              <w:rPr>
                <w:sz w:val="24"/>
                <w:lang w:val="zh-CN"/>
              </w:rPr>
              <w:t>柳青河发源于封丘县，是封丘县全境的主要河流，自半坡店入滑县县境，在田庄与黄庄河汇合，滑县境内全长51.76km，是滑县从西南到东北贯穿全县的最长河流。</w:t>
            </w:r>
          </w:p>
          <w:p>
            <w:pPr>
              <w:spacing w:line="520" w:lineRule="exact"/>
              <w:ind w:firstLine="480" w:firstLineChars="200"/>
              <w:rPr>
                <w:sz w:val="24"/>
                <w:lang w:val="zh-CN"/>
              </w:rPr>
            </w:pPr>
            <w:r>
              <w:rPr>
                <w:sz w:val="24"/>
                <w:lang w:val="zh-CN"/>
              </w:rPr>
              <w:t>贾公河起于双庙村，在大王庄入金堤河，全长27.5km，流域面积117km</w:t>
            </w:r>
            <w:r>
              <w:rPr>
                <w:sz w:val="24"/>
                <w:vertAlign w:val="superscript"/>
                <w:lang w:val="zh-CN"/>
              </w:rPr>
              <w:t>2</w:t>
            </w:r>
            <w:r>
              <w:rPr>
                <w:sz w:val="24"/>
                <w:lang w:val="zh-CN"/>
              </w:rPr>
              <w:t>。城关河原名贾公河分洪道，起源于柴郎柳，在白家庄入金堤河，是县城的主要纳污河，河长27.3km，流域面积160km</w:t>
            </w:r>
            <w:r>
              <w:rPr>
                <w:sz w:val="24"/>
                <w:vertAlign w:val="superscript"/>
                <w:lang w:val="zh-CN"/>
              </w:rPr>
              <w:t>2</w:t>
            </w:r>
            <w:r>
              <w:rPr>
                <w:sz w:val="24"/>
                <w:lang w:val="zh-CN"/>
              </w:rPr>
              <w:t>。</w:t>
            </w:r>
          </w:p>
          <w:p>
            <w:pPr>
              <w:spacing w:line="520" w:lineRule="exact"/>
              <w:ind w:firstLine="480" w:firstLineChars="200"/>
              <w:rPr>
                <w:sz w:val="24"/>
                <w:lang w:val="zh-CN"/>
              </w:rPr>
            </w:pPr>
            <w:r>
              <w:rPr>
                <w:sz w:val="24"/>
                <w:lang w:val="zh-CN"/>
              </w:rPr>
              <w:t>大宫河是1958年开挖的大型引黄河道，在封丘县西南部三义寨由黄河引水向东北，自西小庄以下称为金堤河。金堤河流经濮阳县北部纵贯全境后，经范县北部边界、台前县北部，在北张庄入黄河。在滑县境内金堤河流域面积1659km</w:t>
            </w:r>
            <w:r>
              <w:rPr>
                <w:sz w:val="24"/>
                <w:vertAlign w:val="superscript"/>
                <w:lang w:val="zh-CN"/>
              </w:rPr>
              <w:t>2</w:t>
            </w:r>
            <w:r>
              <w:rPr>
                <w:sz w:val="24"/>
                <w:lang w:val="zh-CN"/>
              </w:rPr>
              <w:t>，境内长度25.9km。金堤河近年来接纳了长垣县、封丘、滑县的大部分工业和城市污水，已失去了工农业使用功能。</w:t>
            </w:r>
          </w:p>
          <w:p>
            <w:pPr>
              <w:spacing w:line="560" w:lineRule="exact"/>
              <w:ind w:firstLine="482" w:firstLineChars="200"/>
              <w:rPr>
                <w:b/>
                <w:bCs/>
                <w:sz w:val="24"/>
                <w:lang w:val="zh-CN"/>
              </w:rPr>
            </w:pPr>
            <w:r>
              <w:rPr>
                <w:b/>
                <w:bCs/>
                <w:sz w:val="24"/>
                <w:lang w:val="zh-CN"/>
              </w:rPr>
              <w:t>5、植被、生物多样性</w:t>
            </w:r>
          </w:p>
          <w:p>
            <w:pPr>
              <w:spacing w:line="520" w:lineRule="exact"/>
              <w:ind w:firstLine="480" w:firstLineChars="200"/>
              <w:rPr>
                <w:sz w:val="24"/>
              </w:rPr>
            </w:pPr>
            <w:r>
              <w:rPr>
                <w:sz w:val="24"/>
                <w:lang w:val="zh-CN"/>
              </w:rPr>
              <w:t>该区域主要为农田，粮食作物主要有小麦、大豆、玉米等。林木主要有杨树、榆树、槐树、松柏等。动物有喜鹊、猫头鹰、啄木鸟等。</w:t>
            </w:r>
          </w:p>
          <w:p>
            <w:pPr>
              <w:spacing w:line="520" w:lineRule="exact"/>
              <w:ind w:firstLine="480" w:firstLineChars="200"/>
              <w:rPr>
                <w:sz w:val="24"/>
              </w:rPr>
            </w:pPr>
          </w:p>
          <w:p>
            <w:pPr>
              <w:autoSpaceDE w:val="0"/>
              <w:autoSpaceDN w:val="0"/>
              <w:adjustRightInd w:val="0"/>
              <w:spacing w:line="480" w:lineRule="exact"/>
              <w:rPr>
                <w:sz w:val="24"/>
              </w:rPr>
            </w:pPr>
          </w:p>
        </w:tc>
      </w:tr>
    </w:tbl>
    <w:p>
      <w:pPr>
        <w:outlineLvl w:val="0"/>
        <w:rPr>
          <w:sz w:val="24"/>
        </w:rPr>
      </w:pPr>
      <w:r>
        <w:rPr>
          <w:b/>
          <w:sz w:val="24"/>
        </w:rPr>
        <w:br w:type="page"/>
      </w:r>
      <w:r>
        <w:rPr>
          <w:b/>
          <w:sz w:val="24"/>
        </w:rPr>
        <w:t>环境质量状况</w:t>
      </w:r>
    </w:p>
    <w:tbl>
      <w:tblPr>
        <w:tblStyle w:val="28"/>
        <w:tblW w:w="946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9468" w:type="dxa"/>
            <w:vAlign w:val="top"/>
          </w:tcPr>
          <w:p>
            <w:pPr>
              <w:spacing w:line="440" w:lineRule="exact"/>
              <w:rPr>
                <w:color w:val="000000"/>
                <w:sz w:val="24"/>
              </w:rPr>
            </w:pPr>
            <w:r>
              <w:rPr>
                <w:b/>
                <w:color w:val="000000"/>
                <w:sz w:val="24"/>
              </w:rPr>
              <w:t>建设项目所在地区域环境质量现状及主要环境问题(环境空气、地表水、声环境、生态环境等</w:t>
            </w:r>
            <w:r>
              <w:rPr>
                <w:color w:val="000000"/>
                <w:sz w:val="24"/>
              </w:rPr>
              <w:t>)</w:t>
            </w:r>
          </w:p>
          <w:p>
            <w:pPr>
              <w:pStyle w:val="2"/>
              <w:rPr>
                <w:color w:val="000000"/>
                <w:sz w:val="24"/>
              </w:rPr>
            </w:pPr>
            <w:r>
              <w:drawing>
                <wp:anchor distT="0" distB="0" distL="114300" distR="114300" simplePos="0" relativeHeight="251687936" behindDoc="0" locked="0" layoutInCell="1" allowOverlap="1">
                  <wp:simplePos x="0" y="0"/>
                  <wp:positionH relativeFrom="column">
                    <wp:posOffset>-19050</wp:posOffset>
                  </wp:positionH>
                  <wp:positionV relativeFrom="paragraph">
                    <wp:posOffset>12700</wp:posOffset>
                  </wp:positionV>
                  <wp:extent cx="5866765" cy="4957445"/>
                  <wp:effectExtent l="0" t="0" r="635" b="14605"/>
                  <wp:wrapNone/>
                  <wp:docPr id="5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9"/>
                          <pic:cNvPicPr>
                            <a:picLocks noChangeAspect="1"/>
                          </pic:cNvPicPr>
                        </pic:nvPicPr>
                        <pic:blipFill>
                          <a:blip r:embed="rId13"/>
                          <a:stretch>
                            <a:fillRect/>
                          </a:stretch>
                        </pic:blipFill>
                        <pic:spPr>
                          <a:xfrm>
                            <a:off x="0" y="0"/>
                            <a:ext cx="5866765" cy="4957445"/>
                          </a:xfrm>
                          <a:prstGeom prst="rect">
                            <a:avLst/>
                          </a:prstGeom>
                          <a:noFill/>
                          <a:ln w="9525">
                            <a:noFill/>
                          </a:ln>
                        </pic:spPr>
                      </pic:pic>
                    </a:graphicData>
                  </a:graphic>
                </wp:anchor>
              </w:drawing>
            </w:r>
            <w:r>
              <w:drawing>
                <wp:anchor distT="0" distB="0" distL="114300" distR="114300" simplePos="0" relativeHeight="251688960" behindDoc="0" locked="0" layoutInCell="1" allowOverlap="1">
                  <wp:simplePos x="0" y="0"/>
                  <wp:positionH relativeFrom="column">
                    <wp:posOffset>5398135</wp:posOffset>
                  </wp:positionH>
                  <wp:positionV relativeFrom="paragraph">
                    <wp:posOffset>29210</wp:posOffset>
                  </wp:positionV>
                  <wp:extent cx="469265" cy="648335"/>
                  <wp:effectExtent l="0" t="0" r="6985" b="18415"/>
                  <wp:wrapNone/>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14"/>
                          <a:stretch>
                            <a:fillRect/>
                          </a:stretch>
                        </pic:blipFill>
                        <pic:spPr>
                          <a:xfrm>
                            <a:off x="0" y="0"/>
                            <a:ext cx="469265" cy="648335"/>
                          </a:xfrm>
                          <a:prstGeom prst="rect">
                            <a:avLst/>
                          </a:prstGeom>
                          <a:noFill/>
                          <a:ln w="9525">
                            <a:noFill/>
                          </a:ln>
                        </pic:spPr>
                      </pic:pic>
                    </a:graphicData>
                  </a:graphic>
                </wp:anchor>
              </w:drawing>
            </w:r>
          </w:p>
          <w:p/>
          <w:p>
            <w:pPr>
              <w:pStyle w:val="2"/>
            </w:pPr>
            <w:r>
              <w:rPr>
                <w:sz w:val="21"/>
              </w:rPr>
              <mc:AlternateContent>
                <mc:Choice Requires="wps">
                  <w:drawing>
                    <wp:anchor distT="0" distB="0" distL="114300" distR="114300" simplePos="0" relativeHeight="251689984" behindDoc="0" locked="0" layoutInCell="1" allowOverlap="1">
                      <wp:simplePos x="0" y="0"/>
                      <wp:positionH relativeFrom="column">
                        <wp:posOffset>2756535</wp:posOffset>
                      </wp:positionH>
                      <wp:positionV relativeFrom="paragraph">
                        <wp:posOffset>374650</wp:posOffset>
                      </wp:positionV>
                      <wp:extent cx="152400" cy="152400"/>
                      <wp:effectExtent l="7620" t="10795" r="11430" b="8255"/>
                      <wp:wrapNone/>
                      <wp:docPr id="60" name="自选图形 41"/>
                      <wp:cNvGraphicFramePr/>
                      <a:graphic xmlns:a="http://schemas.openxmlformats.org/drawingml/2006/main">
                        <a:graphicData uri="http://schemas.microsoft.com/office/word/2010/wordprocessingShape">
                          <wps:wsp>
                            <wps:cNvSpPr/>
                            <wps:spPr>
                              <a:xfrm>
                                <a:off x="0" y="0"/>
                                <a:ext cx="152400" cy="15240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41" o:spid="_x0000_s1026" o:spt="5" type="#_x0000_t5" style="position:absolute;left:0pt;margin-left:217.05pt;margin-top:29.5pt;height:12pt;width:12pt;z-index:251689984;mso-width-relative:page;mso-height-relative:page;" fillcolor="#FF0000" filled="t" stroked="t" coordsize="21600,21600" o:gfxdata="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2HoxtcAAAAJAQAADwAAAAAAAAABACAAAAAiAAAAZHJz&#10;L2Rvd25yZXYueG1sUEsBAhQAFAAAAAgAh07iQLLbr0IFAgAAFQQAAA4AAAAAAAAAAQAgAAAAJgEA&#10;AGRycy9lMm9Eb2MueG1sUEsFBgAAAAAGAAYAWQEAAJ0FAAAAAA==&#10;" adj="10800">
                      <v:fill on="t" focussize="0,0"/>
                      <v:stroke color="#FF0000" joinstyle="miter"/>
                      <v:imagedata o:title=""/>
                      <o:lock v:ext="edit" aspectratio="f"/>
                    </v:shape>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2375535</wp:posOffset>
                      </wp:positionH>
                      <wp:positionV relativeFrom="paragraph">
                        <wp:posOffset>129540</wp:posOffset>
                      </wp:positionV>
                      <wp:extent cx="152400" cy="152400"/>
                      <wp:effectExtent l="7620" t="10795" r="11430" b="8255"/>
                      <wp:wrapNone/>
                      <wp:docPr id="61" name="自选图形 42"/>
                      <wp:cNvGraphicFramePr/>
                      <a:graphic xmlns:a="http://schemas.openxmlformats.org/drawingml/2006/main">
                        <a:graphicData uri="http://schemas.microsoft.com/office/word/2010/wordprocessingShape">
                          <wps:wsp>
                            <wps:cNvSpPr/>
                            <wps:spPr>
                              <a:xfrm>
                                <a:off x="0" y="0"/>
                                <a:ext cx="152400" cy="15240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42" o:spid="_x0000_s1026" o:spt="5" type="#_x0000_t5" style="position:absolute;left:0pt;margin-left:187.05pt;margin-top:10.2pt;height:12pt;width:12pt;z-index:251691008;mso-width-relative:page;mso-height-relative:page;" fillcolor="#FF0000" filled="t" stroked="t" coordsize="21600,21600" o:gfxdata="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ISCbXAAAACQEAAA8AAAAAAAAAAQAgAAAAIgAAAGRy&#10;cy9kb3ducmV2LnhtbFBLAQIUABQAAAAIAIdO4kB1aj67BgIAABUEAAAOAAAAAAAAAAEAIAAAACYB&#10;AABkcnMvZTJvRG9jLnhtbFBLBQYAAAAABgAGAFkBAACeBQAAAAA=&#10;" adj="10800">
                      <v:fill on="t" focussize="0,0"/>
                      <v:stroke color="#FF0000" joinstyle="miter"/>
                      <v:imagedata o:title=""/>
                      <o:lock v:ext="edit" aspectratio="f"/>
                    </v:shape>
                  </w:pict>
                </mc:Fallback>
              </mc:AlternateContent>
            </w:r>
          </w:p>
          <w:p>
            <w:pPr>
              <w:pStyle w:val="2"/>
            </w:pPr>
            <w:r>
              <w:rPr>
                <w:sz w:val="21"/>
              </w:rPr>
              <mc:AlternateContent>
                <mc:Choice Requires="wps">
                  <w:drawing>
                    <wp:anchor distT="0" distB="0" distL="114300" distR="114300" simplePos="0" relativeHeight="251693056" behindDoc="0" locked="0" layoutInCell="1" allowOverlap="1">
                      <wp:simplePos x="0" y="0"/>
                      <wp:positionH relativeFrom="column">
                        <wp:posOffset>2575560</wp:posOffset>
                      </wp:positionH>
                      <wp:positionV relativeFrom="paragraph">
                        <wp:posOffset>560070</wp:posOffset>
                      </wp:positionV>
                      <wp:extent cx="152400" cy="152400"/>
                      <wp:effectExtent l="7620" t="10795" r="11430" b="8255"/>
                      <wp:wrapNone/>
                      <wp:docPr id="63" name="自选图形 44"/>
                      <wp:cNvGraphicFramePr/>
                      <a:graphic xmlns:a="http://schemas.openxmlformats.org/drawingml/2006/main">
                        <a:graphicData uri="http://schemas.microsoft.com/office/word/2010/wordprocessingShape">
                          <wps:wsp>
                            <wps:cNvSpPr/>
                            <wps:spPr>
                              <a:xfrm>
                                <a:off x="0" y="0"/>
                                <a:ext cx="152400" cy="15240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44" o:spid="_x0000_s1026" o:spt="5" type="#_x0000_t5" style="position:absolute;left:0pt;margin-left:202.8pt;margin-top:44.1pt;height:12pt;width:12pt;z-index:251693056;mso-width-relative:page;mso-height-relative:page;" fillcolor="#FF0000" filled="t" stroked="t" coordsize="21600,21600" o:gfxdata="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oYBr1wAAAAoBAAAPAAAAAAAAAAEAIAAAACIAAABk&#10;cnMvZG93bnJldi54bWxQSwECFAAUAAAACACHTuJAug9skwcCAAAVBAAADgAAAAAAAAABACAAAAAm&#10;AQAAZHJzL2Uyb0RvYy54bWxQSwUGAAAAAAYABgBZAQAAnwUAAAAA&#10;" adj="10800">
                      <v:fill on="t" focussize="0,0"/>
                      <v:stroke color="#FF0000" joinstyle="miter"/>
                      <v:imagedata o:title=""/>
                      <o:lock v:ext="edit" aspectratio="f"/>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2927985</wp:posOffset>
                      </wp:positionH>
                      <wp:positionV relativeFrom="paragraph">
                        <wp:posOffset>7620</wp:posOffset>
                      </wp:positionV>
                      <wp:extent cx="152400" cy="152400"/>
                      <wp:effectExtent l="7620" t="10795" r="11430" b="8255"/>
                      <wp:wrapNone/>
                      <wp:docPr id="62" name="自选图形 43"/>
                      <wp:cNvGraphicFramePr/>
                      <a:graphic xmlns:a="http://schemas.openxmlformats.org/drawingml/2006/main">
                        <a:graphicData uri="http://schemas.microsoft.com/office/word/2010/wordprocessingShape">
                          <wps:wsp>
                            <wps:cNvSpPr/>
                            <wps:spPr>
                              <a:xfrm>
                                <a:off x="0" y="0"/>
                                <a:ext cx="152400" cy="15240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43" o:spid="_x0000_s1026" o:spt="5" type="#_x0000_t5" style="position:absolute;left:0pt;margin-left:230.55pt;margin-top:0.6pt;height:12pt;width:12pt;z-index:251692032;mso-width-relative:page;mso-height-relative:page;" fillcolor="#FF0000" filled="t" stroked="t" coordsize="21600,21600" o:gfxdata="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0sZ661QAAAAgBAAAPAAAAAAAAAAEAIAAAACIAAABkcnMv&#10;ZG93bnJldi54bWxQSwECFAAUAAAACACHTuJAXK+DoAYCAAAVBAAADgAAAAAAAAABACAAAAAkAQAA&#10;ZHJzL2Uyb0RvYy54bWxQSwUGAAAAAAYABgBZAQAAnAUAAAAA&#10;" adj="10800">
                      <v:fill on="t" focussize="0,0"/>
                      <v:stroke color="#FF0000" joinstyle="miter"/>
                      <v:imagedata o:title=""/>
                      <o:lock v:ext="edit" aspectratio="f"/>
                    </v:shape>
                  </w:pict>
                </mc:Fallback>
              </mc:AlternateContent>
            </w:r>
          </w:p>
          <w:p/>
          <w:p>
            <w:pPr>
              <w:pStyle w:val="2"/>
            </w:pPr>
          </w:p>
          <w:p/>
          <w:p>
            <w:pPr>
              <w:spacing w:line="520" w:lineRule="exact"/>
              <w:rPr>
                <w:b/>
                <w:bCs/>
                <w:sz w:val="24"/>
              </w:rPr>
            </w:pPr>
            <w:r>
              <mc:AlternateContent>
                <mc:Choice Requires="wps">
                  <w:drawing>
                    <wp:anchor distT="0" distB="0" distL="114300" distR="114300" simplePos="0" relativeHeight="251695104" behindDoc="0" locked="0" layoutInCell="1" allowOverlap="1">
                      <wp:simplePos x="0" y="0"/>
                      <wp:positionH relativeFrom="column">
                        <wp:posOffset>4594860</wp:posOffset>
                      </wp:positionH>
                      <wp:positionV relativeFrom="paragraph">
                        <wp:posOffset>320675</wp:posOffset>
                      </wp:positionV>
                      <wp:extent cx="152400" cy="152400"/>
                      <wp:effectExtent l="7620" t="10795" r="11430" b="8255"/>
                      <wp:wrapNone/>
                      <wp:docPr id="65" name="自选图形 46"/>
                      <wp:cNvGraphicFramePr/>
                      <a:graphic xmlns:a="http://schemas.openxmlformats.org/drawingml/2006/main">
                        <a:graphicData uri="http://schemas.microsoft.com/office/word/2010/wordprocessingShape">
                          <wps:wsp>
                            <wps:cNvSpPr/>
                            <wps:spPr>
                              <a:xfrm>
                                <a:off x="0" y="0"/>
                                <a:ext cx="152400" cy="15240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46" o:spid="_x0000_s1026" o:spt="5" type="#_x0000_t5" style="position:absolute;left:0pt;margin-left:361.8pt;margin-top:25.25pt;height:12pt;width:12pt;z-index:251695104;mso-width-relative:page;mso-height-relative:page;" fillcolor="#FF0000" filled="t" stroked="t" coordsize="21600,21600" o:gfxdata="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oCpbXAAAACQEAAA8AAAAAAAAAAQAgAAAAIgAAAGRy&#10;cy9kb3ducmV2LnhtbFBLAQIUABQAAAAIAIdO4kDohRekBgIAABUEAAAOAAAAAAAAAAEAIAAAACYB&#10;AABkcnMvZTJvRG9jLnhtbFBLBQYAAAAABgAGAFkBAACeBQAAAAA=&#10;" adj="10800">
                      <v:fill on="t" focussize="0,0"/>
                      <v:stroke color="#FF0000" joinstyle="miter"/>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4432935</wp:posOffset>
                      </wp:positionH>
                      <wp:positionV relativeFrom="paragraph">
                        <wp:posOffset>254000</wp:posOffset>
                      </wp:positionV>
                      <wp:extent cx="1400810" cy="295910"/>
                      <wp:effectExtent l="4445" t="4445" r="23495" b="23495"/>
                      <wp:wrapNone/>
                      <wp:docPr id="64" name="文本框 45"/>
                      <wp:cNvGraphicFramePr/>
                      <a:graphic xmlns:a="http://schemas.openxmlformats.org/drawingml/2006/main">
                        <a:graphicData uri="http://schemas.microsoft.com/office/word/2010/wordprocessingShape">
                          <wps:wsp>
                            <wps:cNvSpPr txBox="1"/>
                            <wps:spPr>
                              <a:xfrm>
                                <a:off x="0" y="0"/>
                                <a:ext cx="1400810" cy="295910"/>
                              </a:xfrm>
                              <a:prstGeom prst="rect">
                                <a:avLst/>
                              </a:prstGeom>
                              <a:solidFill>
                                <a:srgbClr val="FFFFFF"/>
                              </a:solidFill>
                              <a:ln w="9525" cap="flat" cmpd="sng">
                                <a:solidFill>
                                  <a:srgbClr val="000001"/>
                                </a:solidFill>
                                <a:prstDash val="solid"/>
                                <a:miter/>
                                <a:headEnd type="none" w="med" len="med"/>
                                <a:tailEnd type="none" w="med" len="med"/>
                              </a:ln>
                            </wps:spPr>
                            <wps:txbx>
                              <w:txbxContent>
                                <w:p>
                                  <w:pPr>
                                    <w:ind w:firstLine="630" w:firstLineChars="300"/>
                                    <w:rPr>
                                      <w:rFonts w:hint="eastAsia"/>
                                    </w:rPr>
                                  </w:pPr>
                                  <w:r>
                                    <w:rPr>
                                      <w:rFonts w:hint="eastAsia"/>
                                    </w:rPr>
                                    <w:t>噪声检测点位</w:t>
                                  </w:r>
                                </w:p>
                              </w:txbxContent>
                            </wps:txbx>
                            <wps:bodyPr wrap="square" upright="1"/>
                          </wps:wsp>
                        </a:graphicData>
                      </a:graphic>
                    </wp:anchor>
                  </w:drawing>
                </mc:Choice>
                <mc:Fallback>
                  <w:pict>
                    <v:shape id="文本框 45" o:spid="_x0000_s1026" o:spt="202" type="#_x0000_t202" style="position:absolute;left:0pt;margin-left:349.05pt;margin-top:20pt;height:23.3pt;width:110.3pt;z-index:251694080;mso-width-relative:page;mso-height-relative:page;" fillcolor="#FFFFFF" filled="t" stroked="t" coordsize="21600,21600" o:gfxdata="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ezGOdkAAAAJAQAADwAAAAAAAAABACAAAAAiAAAAZHJzL2Rvd25y&#10;ZXYueG1sUEsBAhQAFAAAAAgAh07iQNcrTM79AQAA+AMAAA4AAAAAAAAAAQAgAAAAKAEAAGRycy9l&#10;Mm9Eb2MueG1sUEsFBgAAAAAGAAYAWQEAAJcFAAAAAA==&#10;">
                      <v:fill on="t" focussize="0,0"/>
                      <v:stroke color="#000001" joinstyle="miter"/>
                      <v:imagedata o:title=""/>
                      <o:lock v:ext="edit" aspectratio="f"/>
                      <v:textbox>
                        <w:txbxContent>
                          <w:p>
                            <w:pPr>
                              <w:ind w:firstLine="630" w:firstLineChars="300"/>
                              <w:rPr>
                                <w:rFonts w:hint="eastAsia"/>
                              </w:rPr>
                            </w:pPr>
                            <w:r>
                              <w:rPr>
                                <w:rFonts w:hint="eastAsia"/>
                              </w:rPr>
                              <w:t>噪声检测点位</w:t>
                            </w:r>
                          </w:p>
                        </w:txbxContent>
                      </v:textbox>
                    </v:shape>
                  </w:pict>
                </mc:Fallback>
              </mc:AlternateContent>
            </w:r>
          </w:p>
          <w:p>
            <w:pPr>
              <w:spacing w:line="520" w:lineRule="exact"/>
              <w:rPr>
                <w:b/>
                <w:bCs/>
                <w:sz w:val="24"/>
              </w:rPr>
            </w:pPr>
          </w:p>
          <w:p>
            <w:pPr>
              <w:spacing w:line="360" w:lineRule="auto"/>
              <w:ind w:firstLine="3162" w:firstLineChars="1500"/>
              <w:rPr>
                <w:b/>
                <w:szCs w:val="21"/>
              </w:rPr>
            </w:pPr>
            <w:r>
              <w:rPr>
                <w:b/>
                <w:szCs w:val="21"/>
              </w:rPr>
              <w:t xml:space="preserve">图3 </w:t>
            </w:r>
            <w:r>
              <w:rPr>
                <w:rFonts w:hint="eastAsia"/>
                <w:b/>
                <w:szCs w:val="21"/>
              </w:rPr>
              <w:t xml:space="preserve">   </w:t>
            </w:r>
            <w:r>
              <w:rPr>
                <w:b/>
                <w:szCs w:val="21"/>
              </w:rPr>
              <w:t xml:space="preserve"> 噪声检测布点图</w:t>
            </w:r>
          </w:p>
          <w:p>
            <w:pPr>
              <w:spacing w:line="600" w:lineRule="exact"/>
              <w:ind w:firstLine="482" w:firstLineChars="200"/>
            </w:pPr>
            <w:r>
              <w:rPr>
                <w:b/>
                <w:sz w:val="24"/>
              </w:rPr>
              <w:t>1、环境空气</w:t>
            </w:r>
          </w:p>
          <w:p>
            <w:pPr>
              <w:spacing w:line="560" w:lineRule="exact"/>
              <w:ind w:firstLine="480" w:firstLineChars="200"/>
              <w:rPr>
                <w:rFonts w:hint="eastAsia"/>
                <w:sz w:val="24"/>
                <w:szCs w:val="24"/>
                <w:highlight w:val="none"/>
                <w:lang w:val="en-US" w:eastAsia="zh-CN"/>
              </w:rPr>
            </w:pPr>
            <w:r>
              <w:rPr>
                <w:rFonts w:hint="eastAsia"/>
                <w:sz w:val="24"/>
                <w:szCs w:val="24"/>
                <w:highlight w:val="none"/>
                <w:lang w:val="en-US" w:eastAsia="zh-CN"/>
              </w:rPr>
              <w:t>1.1空气质量达标区判定</w:t>
            </w:r>
          </w:p>
          <w:p>
            <w:pPr>
              <w:spacing w:line="560" w:lineRule="exact"/>
              <w:ind w:firstLine="480" w:firstLineChars="200"/>
              <w:rPr>
                <w:rFonts w:hint="eastAsia"/>
                <w:sz w:val="24"/>
                <w:szCs w:val="24"/>
                <w:highlight w:val="none"/>
                <w:lang w:val="en-US" w:eastAsia="zh-CN"/>
              </w:rPr>
            </w:pPr>
            <w:r>
              <w:rPr>
                <w:rFonts w:hint="eastAsia"/>
                <w:sz w:val="24"/>
                <w:szCs w:val="24"/>
                <w:highlight w:val="none"/>
                <w:lang w:val="en-US" w:eastAsia="zh-CN"/>
              </w:rPr>
              <w:t>为了解项目所在地区环境空气质量现状，本项目收集了2017滑县环境状况公报监测数据资料。</w:t>
            </w:r>
            <w:r>
              <w:rPr>
                <w:rFonts w:hint="eastAsia" w:ascii="Times New Roman" w:hAnsi="Times New Roman" w:eastAsia="宋体" w:cs="Times New Roman"/>
                <w:i w:val="0"/>
                <w:caps w:val="0"/>
                <w:color w:val="333333"/>
                <w:spacing w:val="0"/>
                <w:sz w:val="24"/>
                <w:szCs w:val="24"/>
                <w:highlight w:val="none"/>
                <w:shd w:val="clear" w:color="auto" w:fill="FFFFFF"/>
                <w:lang w:eastAsia="zh-CN"/>
              </w:rPr>
              <w:t>滑县</w:t>
            </w:r>
            <w:r>
              <w:rPr>
                <w:rFonts w:hint="default" w:ascii="Times New Roman" w:hAnsi="Times New Roman" w:eastAsia="Open Sans" w:cs="Times New Roman"/>
                <w:i w:val="0"/>
                <w:caps w:val="0"/>
                <w:color w:val="333333"/>
                <w:spacing w:val="0"/>
                <w:sz w:val="24"/>
                <w:szCs w:val="24"/>
                <w:highlight w:val="none"/>
                <w:shd w:val="clear" w:color="auto" w:fill="FFFFFF"/>
              </w:rPr>
              <w:t>2017年SO</w:t>
            </w:r>
            <w:r>
              <w:rPr>
                <w:rFonts w:hint="default" w:ascii="Times New Roman" w:hAnsi="Times New Roman" w:eastAsia="Open Sans" w:cs="Times New Roman"/>
                <w:i w:val="0"/>
                <w:caps w:val="0"/>
                <w:color w:val="333333"/>
                <w:spacing w:val="0"/>
                <w:sz w:val="24"/>
                <w:szCs w:val="24"/>
                <w:highlight w:val="none"/>
                <w:shd w:val="clear" w:color="auto" w:fill="FFFFFF"/>
                <w:vertAlign w:val="subscript"/>
              </w:rPr>
              <w:t>2</w:t>
            </w:r>
            <w:r>
              <w:rPr>
                <w:rFonts w:hint="default" w:ascii="Times New Roman" w:hAnsi="Times New Roman" w:eastAsia="Open Sans" w:cs="Times New Roman"/>
                <w:i w:val="0"/>
                <w:caps w:val="0"/>
                <w:color w:val="333333"/>
                <w:spacing w:val="0"/>
                <w:sz w:val="24"/>
                <w:szCs w:val="24"/>
                <w:highlight w:val="none"/>
                <w:shd w:val="clear" w:color="auto" w:fill="FFFFFF"/>
              </w:rPr>
              <w:t>、NO</w:t>
            </w:r>
            <w:r>
              <w:rPr>
                <w:rFonts w:hint="default" w:ascii="Times New Roman" w:hAnsi="Times New Roman" w:eastAsia="Open Sans" w:cs="Times New Roman"/>
                <w:i w:val="0"/>
                <w:caps w:val="0"/>
                <w:color w:val="333333"/>
                <w:spacing w:val="0"/>
                <w:sz w:val="24"/>
                <w:szCs w:val="24"/>
                <w:highlight w:val="none"/>
                <w:shd w:val="clear" w:color="auto" w:fill="FFFFFF"/>
                <w:vertAlign w:val="subscript"/>
              </w:rPr>
              <w:t>2</w:t>
            </w:r>
            <w:r>
              <w:rPr>
                <w:rFonts w:hint="default" w:ascii="Times New Roman" w:hAnsi="Times New Roman" w:eastAsia="Open Sans" w:cs="Times New Roman"/>
                <w:i w:val="0"/>
                <w:caps w:val="0"/>
                <w:color w:val="333333"/>
                <w:spacing w:val="0"/>
                <w:sz w:val="24"/>
                <w:szCs w:val="24"/>
                <w:highlight w:val="none"/>
                <w:shd w:val="clear" w:color="auto" w:fill="FFFFFF"/>
              </w:rPr>
              <w:t>、PM</w:t>
            </w:r>
            <w:r>
              <w:rPr>
                <w:rFonts w:hint="default" w:ascii="Times New Roman" w:hAnsi="Times New Roman" w:eastAsia="Open Sans" w:cs="Times New Roman"/>
                <w:i w:val="0"/>
                <w:caps w:val="0"/>
                <w:color w:val="333333"/>
                <w:spacing w:val="0"/>
                <w:sz w:val="24"/>
                <w:szCs w:val="24"/>
                <w:highlight w:val="none"/>
                <w:shd w:val="clear" w:color="auto" w:fill="FFFFFF"/>
                <w:vertAlign w:val="subscript"/>
              </w:rPr>
              <w:t>10</w:t>
            </w:r>
            <w:r>
              <w:rPr>
                <w:rFonts w:hint="default" w:ascii="Times New Roman" w:hAnsi="Times New Roman" w:eastAsia="Open Sans" w:cs="Times New Roman"/>
                <w:i w:val="0"/>
                <w:caps w:val="0"/>
                <w:color w:val="333333"/>
                <w:spacing w:val="0"/>
                <w:sz w:val="24"/>
                <w:szCs w:val="24"/>
                <w:highlight w:val="none"/>
                <w:shd w:val="clear" w:color="auto" w:fill="FFFFFF"/>
              </w:rPr>
              <w:t>、PM</w:t>
            </w:r>
            <w:r>
              <w:rPr>
                <w:rFonts w:hint="default" w:ascii="Times New Roman" w:hAnsi="Times New Roman" w:eastAsia="Open Sans" w:cs="Times New Roman"/>
                <w:i w:val="0"/>
                <w:caps w:val="0"/>
                <w:color w:val="333333"/>
                <w:spacing w:val="0"/>
                <w:sz w:val="24"/>
                <w:szCs w:val="24"/>
                <w:highlight w:val="none"/>
                <w:shd w:val="clear" w:color="auto" w:fill="FFFFFF"/>
                <w:vertAlign w:val="subscript"/>
              </w:rPr>
              <w:t>2.5</w:t>
            </w:r>
            <w:r>
              <w:rPr>
                <w:rFonts w:hint="default" w:ascii="Times New Roman" w:hAnsi="Times New Roman" w:eastAsia="Open Sans" w:cs="Times New Roman"/>
                <w:i w:val="0"/>
                <w:caps w:val="0"/>
                <w:color w:val="333333"/>
                <w:spacing w:val="0"/>
                <w:sz w:val="24"/>
                <w:szCs w:val="24"/>
                <w:highlight w:val="none"/>
                <w:shd w:val="clear" w:color="auto" w:fill="FFFFFF"/>
              </w:rPr>
              <w:t>年均浓度分别为</w:t>
            </w:r>
            <w:r>
              <w:rPr>
                <w:rFonts w:hint="eastAsia" w:eastAsia="仿宋"/>
                <w:bCs/>
                <w:sz w:val="21"/>
                <w:szCs w:val="21"/>
                <w:highlight w:val="none"/>
              </w:rPr>
              <w:t>26</w:t>
            </w:r>
            <w:r>
              <w:rPr>
                <w:rFonts w:hint="default" w:ascii="Times New Roman" w:hAnsi="Times New Roman" w:eastAsia="Open Sans" w:cs="Times New Roman"/>
                <w:i w:val="0"/>
                <w:caps w:val="0"/>
                <w:color w:val="333333"/>
                <w:spacing w:val="0"/>
                <w:sz w:val="24"/>
                <w:szCs w:val="24"/>
                <w:highlight w:val="none"/>
                <w:shd w:val="clear" w:color="auto" w:fill="FFFFFF"/>
              </w:rPr>
              <w:t>ug/m</w:t>
            </w:r>
            <w:r>
              <w:rPr>
                <w:rFonts w:hint="default" w:ascii="Times New Roman" w:hAnsi="Times New Roman" w:eastAsia="Open Sans" w:cs="Times New Roman"/>
                <w:i w:val="0"/>
                <w:caps w:val="0"/>
                <w:color w:val="333333"/>
                <w:spacing w:val="0"/>
                <w:sz w:val="24"/>
                <w:szCs w:val="24"/>
                <w:highlight w:val="none"/>
                <w:shd w:val="clear" w:color="auto" w:fill="FFFFFF"/>
                <w:vertAlign w:val="superscript"/>
              </w:rPr>
              <w:t>3</w:t>
            </w:r>
            <w:r>
              <w:rPr>
                <w:rFonts w:hint="default" w:ascii="Times New Roman" w:hAnsi="Times New Roman" w:eastAsia="Open Sans" w:cs="Times New Roman"/>
                <w:i w:val="0"/>
                <w:caps w:val="0"/>
                <w:color w:val="333333"/>
                <w:spacing w:val="0"/>
                <w:sz w:val="24"/>
                <w:szCs w:val="24"/>
                <w:highlight w:val="none"/>
                <w:shd w:val="clear" w:color="auto" w:fill="FFFFFF"/>
              </w:rPr>
              <w:t>、</w:t>
            </w:r>
            <w:r>
              <w:rPr>
                <w:rFonts w:hint="eastAsia" w:ascii="Times New Roman" w:hAnsi="Times New Roman" w:eastAsia="宋体" w:cs="Times New Roman"/>
                <w:i w:val="0"/>
                <w:caps w:val="0"/>
                <w:color w:val="333333"/>
                <w:spacing w:val="0"/>
                <w:sz w:val="24"/>
                <w:szCs w:val="24"/>
                <w:highlight w:val="none"/>
                <w:shd w:val="clear" w:color="auto" w:fill="FFFFFF"/>
                <w:lang w:val="en-US" w:eastAsia="zh-CN"/>
              </w:rPr>
              <w:t>37</w:t>
            </w:r>
            <w:r>
              <w:rPr>
                <w:rFonts w:hint="default" w:ascii="Times New Roman" w:hAnsi="Times New Roman" w:eastAsia="Open Sans" w:cs="Times New Roman"/>
                <w:i w:val="0"/>
                <w:caps w:val="0"/>
                <w:color w:val="333333"/>
                <w:spacing w:val="0"/>
                <w:sz w:val="24"/>
                <w:szCs w:val="24"/>
                <w:highlight w:val="none"/>
                <w:shd w:val="clear" w:color="auto" w:fill="FFFFFF"/>
              </w:rPr>
              <w:t xml:space="preserve"> ug/m</w:t>
            </w:r>
            <w:r>
              <w:rPr>
                <w:rFonts w:hint="default" w:ascii="Times New Roman" w:hAnsi="Times New Roman" w:eastAsia="Open Sans" w:cs="Times New Roman"/>
                <w:i w:val="0"/>
                <w:caps w:val="0"/>
                <w:color w:val="333333"/>
                <w:spacing w:val="0"/>
                <w:sz w:val="24"/>
                <w:szCs w:val="24"/>
                <w:highlight w:val="none"/>
                <w:shd w:val="clear" w:color="auto" w:fill="FFFFFF"/>
                <w:vertAlign w:val="superscript"/>
              </w:rPr>
              <w:t>3</w:t>
            </w:r>
            <w:r>
              <w:rPr>
                <w:rFonts w:hint="default" w:ascii="Times New Roman" w:hAnsi="Times New Roman" w:eastAsia="Open Sans" w:cs="Times New Roman"/>
                <w:i w:val="0"/>
                <w:caps w:val="0"/>
                <w:color w:val="333333"/>
                <w:spacing w:val="0"/>
                <w:sz w:val="24"/>
                <w:szCs w:val="24"/>
                <w:highlight w:val="none"/>
                <w:shd w:val="clear" w:color="auto" w:fill="FFFFFF"/>
              </w:rPr>
              <w:t>、</w:t>
            </w:r>
            <w:r>
              <w:rPr>
                <w:rFonts w:hint="eastAsia" w:ascii="Times New Roman" w:hAnsi="Times New Roman" w:eastAsia="宋体" w:cs="Times New Roman"/>
                <w:i w:val="0"/>
                <w:caps w:val="0"/>
                <w:color w:val="333333"/>
                <w:spacing w:val="0"/>
                <w:sz w:val="24"/>
                <w:szCs w:val="24"/>
                <w:highlight w:val="none"/>
                <w:shd w:val="clear" w:color="auto" w:fill="FFFFFF"/>
                <w:lang w:val="en-US" w:eastAsia="zh-CN"/>
              </w:rPr>
              <w:t>97</w:t>
            </w:r>
            <w:r>
              <w:rPr>
                <w:rFonts w:hint="default" w:ascii="Times New Roman" w:hAnsi="Times New Roman" w:eastAsia="Open Sans" w:cs="Times New Roman"/>
                <w:i w:val="0"/>
                <w:caps w:val="0"/>
                <w:color w:val="333333"/>
                <w:spacing w:val="0"/>
                <w:sz w:val="24"/>
                <w:szCs w:val="24"/>
                <w:highlight w:val="none"/>
                <w:shd w:val="clear" w:color="auto" w:fill="FFFFFF"/>
              </w:rPr>
              <w:t xml:space="preserve"> ug/m</w:t>
            </w:r>
            <w:r>
              <w:rPr>
                <w:rFonts w:hint="default" w:ascii="Times New Roman" w:hAnsi="Times New Roman" w:eastAsia="Open Sans" w:cs="Times New Roman"/>
                <w:i w:val="0"/>
                <w:caps w:val="0"/>
                <w:color w:val="333333"/>
                <w:spacing w:val="0"/>
                <w:sz w:val="24"/>
                <w:szCs w:val="24"/>
                <w:highlight w:val="none"/>
                <w:shd w:val="clear" w:color="auto" w:fill="FFFFFF"/>
                <w:vertAlign w:val="superscript"/>
              </w:rPr>
              <w:t>3</w:t>
            </w:r>
            <w:r>
              <w:rPr>
                <w:rFonts w:hint="default" w:ascii="Times New Roman" w:hAnsi="Times New Roman" w:eastAsia="Open Sans" w:cs="Times New Roman"/>
                <w:i w:val="0"/>
                <w:caps w:val="0"/>
                <w:color w:val="333333"/>
                <w:spacing w:val="0"/>
                <w:sz w:val="24"/>
                <w:szCs w:val="24"/>
                <w:highlight w:val="none"/>
                <w:shd w:val="clear" w:color="auto" w:fill="FFFFFF"/>
              </w:rPr>
              <w:t>、</w:t>
            </w:r>
            <w:r>
              <w:rPr>
                <w:rFonts w:hint="eastAsia" w:ascii="Times New Roman" w:hAnsi="Times New Roman" w:eastAsia="宋体" w:cs="Times New Roman"/>
                <w:i w:val="0"/>
                <w:caps w:val="0"/>
                <w:color w:val="333333"/>
                <w:spacing w:val="0"/>
                <w:sz w:val="24"/>
                <w:szCs w:val="24"/>
                <w:highlight w:val="none"/>
                <w:shd w:val="clear" w:color="auto" w:fill="FFFFFF"/>
                <w:lang w:val="en-US" w:eastAsia="zh-CN"/>
              </w:rPr>
              <w:t>57</w:t>
            </w:r>
            <w:r>
              <w:rPr>
                <w:rFonts w:hint="default" w:ascii="Times New Roman" w:hAnsi="Times New Roman" w:eastAsia="Open Sans" w:cs="Times New Roman"/>
                <w:i w:val="0"/>
                <w:caps w:val="0"/>
                <w:color w:val="333333"/>
                <w:spacing w:val="0"/>
                <w:sz w:val="24"/>
                <w:szCs w:val="24"/>
                <w:highlight w:val="none"/>
                <w:shd w:val="clear" w:color="auto" w:fill="FFFFFF"/>
              </w:rPr>
              <w:t xml:space="preserve"> ug/m</w:t>
            </w:r>
            <w:r>
              <w:rPr>
                <w:rFonts w:hint="default" w:ascii="Times New Roman" w:hAnsi="Times New Roman" w:eastAsia="Open Sans" w:cs="Times New Roman"/>
                <w:i w:val="0"/>
                <w:caps w:val="0"/>
                <w:color w:val="333333"/>
                <w:spacing w:val="0"/>
                <w:sz w:val="24"/>
                <w:szCs w:val="24"/>
                <w:highlight w:val="none"/>
                <w:shd w:val="clear" w:color="auto" w:fill="FFFFFF"/>
                <w:vertAlign w:val="superscript"/>
              </w:rPr>
              <w:t>3</w:t>
            </w:r>
            <w:r>
              <w:rPr>
                <w:rFonts w:hint="default" w:ascii="Times New Roman" w:hAnsi="Times New Roman" w:eastAsia="Open Sans" w:cs="Times New Roman"/>
                <w:i w:val="0"/>
                <w:caps w:val="0"/>
                <w:color w:val="333333"/>
                <w:spacing w:val="0"/>
                <w:sz w:val="24"/>
                <w:szCs w:val="24"/>
                <w:highlight w:val="none"/>
                <w:shd w:val="clear" w:color="auto" w:fill="FFFFFF"/>
              </w:rPr>
              <w:t>；CO 24小时平均第95百分位数为2.</w:t>
            </w:r>
            <w:r>
              <w:rPr>
                <w:rFonts w:hint="eastAsia" w:ascii="Times New Roman" w:hAnsi="Times New Roman" w:eastAsia="宋体" w:cs="Times New Roman"/>
                <w:i w:val="0"/>
                <w:caps w:val="0"/>
                <w:color w:val="333333"/>
                <w:spacing w:val="0"/>
                <w:sz w:val="24"/>
                <w:szCs w:val="24"/>
                <w:highlight w:val="none"/>
                <w:shd w:val="clear" w:color="auto" w:fill="FFFFFF"/>
                <w:lang w:val="en-US" w:eastAsia="zh-CN"/>
              </w:rPr>
              <w:t>7</w:t>
            </w:r>
            <w:r>
              <w:rPr>
                <w:rFonts w:hint="default" w:ascii="Times New Roman" w:hAnsi="Times New Roman" w:eastAsia="Open Sans" w:cs="Times New Roman"/>
                <w:i w:val="0"/>
                <w:caps w:val="0"/>
                <w:color w:val="333333"/>
                <w:spacing w:val="0"/>
                <w:sz w:val="24"/>
                <w:szCs w:val="24"/>
                <w:highlight w:val="none"/>
                <w:shd w:val="clear" w:color="auto" w:fill="FFFFFF"/>
              </w:rPr>
              <w:t>mg/m</w:t>
            </w:r>
            <w:r>
              <w:rPr>
                <w:rFonts w:hint="default" w:ascii="Times New Roman" w:hAnsi="Times New Roman" w:eastAsia="Open Sans" w:cs="Times New Roman"/>
                <w:i w:val="0"/>
                <w:caps w:val="0"/>
                <w:color w:val="333333"/>
                <w:spacing w:val="0"/>
                <w:sz w:val="24"/>
                <w:szCs w:val="24"/>
                <w:highlight w:val="none"/>
                <w:shd w:val="clear" w:color="auto" w:fill="FFFFFF"/>
                <w:vertAlign w:val="superscript"/>
              </w:rPr>
              <w:t>3</w:t>
            </w:r>
            <w:r>
              <w:rPr>
                <w:rFonts w:hint="default" w:ascii="Times New Roman" w:hAnsi="Times New Roman" w:eastAsia="Open Sans" w:cs="Times New Roman"/>
                <w:i w:val="0"/>
                <w:caps w:val="0"/>
                <w:color w:val="333333"/>
                <w:spacing w:val="0"/>
                <w:sz w:val="24"/>
                <w:szCs w:val="24"/>
                <w:highlight w:val="none"/>
                <w:shd w:val="clear" w:color="auto" w:fill="FFFFFF"/>
              </w:rPr>
              <w:t>，O</w:t>
            </w:r>
            <w:r>
              <w:rPr>
                <w:rFonts w:hint="default" w:ascii="Times New Roman" w:hAnsi="Times New Roman" w:eastAsia="Open Sans" w:cs="Times New Roman"/>
                <w:i w:val="0"/>
                <w:caps w:val="0"/>
                <w:color w:val="333333"/>
                <w:spacing w:val="0"/>
                <w:sz w:val="24"/>
                <w:szCs w:val="24"/>
                <w:highlight w:val="none"/>
                <w:shd w:val="clear" w:color="auto" w:fill="FFFFFF"/>
                <w:vertAlign w:val="subscript"/>
              </w:rPr>
              <w:t>3</w:t>
            </w:r>
            <w:r>
              <w:rPr>
                <w:rFonts w:hint="default" w:ascii="Times New Roman" w:hAnsi="Times New Roman" w:eastAsia="Open Sans" w:cs="Times New Roman"/>
                <w:i w:val="0"/>
                <w:caps w:val="0"/>
                <w:color w:val="333333"/>
                <w:spacing w:val="0"/>
                <w:sz w:val="24"/>
                <w:szCs w:val="24"/>
                <w:highlight w:val="none"/>
                <w:shd w:val="clear" w:color="auto" w:fill="FFFFFF"/>
              </w:rPr>
              <w:t>日最大8小时平均第90百分位数为</w:t>
            </w:r>
            <w:r>
              <w:rPr>
                <w:rFonts w:hint="eastAsia" w:ascii="Times New Roman" w:hAnsi="Times New Roman" w:eastAsia="宋体" w:cs="Times New Roman"/>
                <w:i w:val="0"/>
                <w:caps w:val="0"/>
                <w:color w:val="333333"/>
                <w:spacing w:val="0"/>
                <w:sz w:val="24"/>
                <w:szCs w:val="24"/>
                <w:highlight w:val="none"/>
                <w:shd w:val="clear" w:color="auto" w:fill="FFFFFF"/>
                <w:lang w:val="en-US" w:eastAsia="zh-CN"/>
              </w:rPr>
              <w:t>154</w:t>
            </w:r>
            <w:r>
              <w:rPr>
                <w:rFonts w:hint="default" w:ascii="Times New Roman" w:hAnsi="Times New Roman" w:eastAsia="Open Sans" w:cs="Times New Roman"/>
                <w:i w:val="0"/>
                <w:caps w:val="0"/>
                <w:color w:val="333333"/>
                <w:spacing w:val="0"/>
                <w:sz w:val="24"/>
                <w:szCs w:val="24"/>
                <w:highlight w:val="none"/>
                <w:shd w:val="clear" w:color="auto" w:fill="FFFFFF"/>
              </w:rPr>
              <w:t xml:space="preserve"> ug/m</w:t>
            </w:r>
            <w:r>
              <w:rPr>
                <w:rFonts w:hint="default" w:ascii="Times New Roman" w:hAnsi="Times New Roman" w:eastAsia="Open Sans" w:cs="Times New Roman"/>
                <w:i w:val="0"/>
                <w:caps w:val="0"/>
                <w:color w:val="333333"/>
                <w:spacing w:val="0"/>
                <w:sz w:val="24"/>
                <w:szCs w:val="24"/>
                <w:highlight w:val="none"/>
                <w:shd w:val="clear" w:color="auto" w:fill="FFFFFF"/>
                <w:vertAlign w:val="superscript"/>
              </w:rPr>
              <w:t>3</w:t>
            </w:r>
            <w:r>
              <w:rPr>
                <w:rFonts w:hint="default" w:ascii="Times New Roman" w:hAnsi="Times New Roman" w:eastAsia="Open Sans" w:cs="Times New Roman"/>
                <w:i w:val="0"/>
                <w:caps w:val="0"/>
                <w:color w:val="333333"/>
                <w:spacing w:val="0"/>
                <w:sz w:val="24"/>
                <w:szCs w:val="24"/>
                <w:highlight w:val="none"/>
                <w:shd w:val="clear" w:color="auto" w:fill="FFFFFF"/>
              </w:rPr>
              <w:t>；污染物PM</w:t>
            </w:r>
            <w:r>
              <w:rPr>
                <w:rFonts w:hint="default" w:ascii="Times New Roman" w:hAnsi="Times New Roman" w:eastAsia="Open Sans" w:cs="Times New Roman"/>
                <w:i w:val="0"/>
                <w:caps w:val="0"/>
                <w:color w:val="333333"/>
                <w:spacing w:val="0"/>
                <w:sz w:val="24"/>
                <w:szCs w:val="24"/>
                <w:highlight w:val="none"/>
                <w:shd w:val="clear" w:color="auto" w:fill="FFFFFF"/>
                <w:vertAlign w:val="subscript"/>
              </w:rPr>
              <w:t>10</w:t>
            </w:r>
            <w:r>
              <w:rPr>
                <w:rFonts w:hint="default" w:ascii="Times New Roman" w:hAnsi="Times New Roman" w:eastAsia="Open Sans" w:cs="Times New Roman"/>
                <w:i w:val="0"/>
                <w:caps w:val="0"/>
                <w:color w:val="333333"/>
                <w:spacing w:val="0"/>
                <w:sz w:val="24"/>
                <w:szCs w:val="24"/>
                <w:highlight w:val="none"/>
                <w:shd w:val="clear" w:color="auto" w:fill="FFFFFF"/>
              </w:rPr>
              <w:t>、PM</w:t>
            </w:r>
            <w:r>
              <w:rPr>
                <w:rFonts w:hint="default" w:ascii="Times New Roman" w:hAnsi="Times New Roman" w:eastAsia="Open Sans" w:cs="Times New Roman"/>
                <w:i w:val="0"/>
                <w:caps w:val="0"/>
                <w:color w:val="333333"/>
                <w:spacing w:val="0"/>
                <w:sz w:val="24"/>
                <w:szCs w:val="24"/>
                <w:highlight w:val="none"/>
                <w:shd w:val="clear" w:color="auto" w:fill="FFFFFF"/>
                <w:vertAlign w:val="subscript"/>
              </w:rPr>
              <w:t>2.5</w:t>
            </w:r>
            <w:r>
              <w:rPr>
                <w:rFonts w:hint="default" w:ascii="Times New Roman" w:hAnsi="Times New Roman" w:eastAsia="Open Sans" w:cs="Times New Roman"/>
                <w:i w:val="0"/>
                <w:caps w:val="0"/>
                <w:color w:val="333333"/>
                <w:spacing w:val="0"/>
                <w:sz w:val="24"/>
                <w:szCs w:val="24"/>
                <w:highlight w:val="none"/>
                <w:shd w:val="clear" w:color="auto" w:fill="FFFFFF"/>
              </w:rPr>
              <w:t>超过《环境空气质量标准》（GB3095-2012）中二级标准限值</w:t>
            </w:r>
            <w:r>
              <w:rPr>
                <w:rFonts w:hint="eastAsia" w:ascii="Times New Roman" w:hAnsi="Times New Roman" w:eastAsia="宋体" w:cs="Times New Roman"/>
                <w:i w:val="0"/>
                <w:caps w:val="0"/>
                <w:color w:val="333333"/>
                <w:spacing w:val="0"/>
                <w:sz w:val="24"/>
                <w:szCs w:val="24"/>
                <w:highlight w:val="none"/>
                <w:shd w:val="clear" w:color="auto" w:fill="FFFFFF"/>
                <w:lang w:eastAsia="zh-CN"/>
              </w:rPr>
              <w:t>，</w:t>
            </w:r>
            <w:r>
              <w:rPr>
                <w:rFonts w:hint="eastAsia"/>
                <w:sz w:val="24"/>
                <w:szCs w:val="24"/>
                <w:highlight w:val="none"/>
                <w:lang w:val="en-US" w:eastAsia="zh-CN"/>
              </w:rPr>
              <w:t>故判定本项目所在区域为不达标区。</w:t>
            </w:r>
          </w:p>
          <w:p>
            <w:pPr>
              <w:pStyle w:val="36"/>
              <w:spacing w:line="360" w:lineRule="auto"/>
              <w:jc w:val="center"/>
              <w:rPr>
                <w:rFonts w:hint="eastAsia"/>
                <w:sz w:val="21"/>
                <w:szCs w:val="21"/>
                <w:highlight w:val="none"/>
                <w:lang w:eastAsia="zh-CN"/>
              </w:rPr>
            </w:pPr>
            <w:r>
              <w:rPr>
                <w:rFonts w:hint="default"/>
                <w:sz w:val="21"/>
                <w:szCs w:val="21"/>
                <w:highlight w:val="none"/>
                <w:lang w:val="en-US" w:eastAsia="zh-CN"/>
              </w:rPr>
              <w:t>表</w:t>
            </w:r>
            <w:r>
              <w:rPr>
                <w:rFonts w:hint="eastAsia"/>
                <w:sz w:val="21"/>
                <w:szCs w:val="21"/>
                <w:highlight w:val="none"/>
                <w:lang w:val="en-US" w:eastAsia="zh-CN"/>
              </w:rPr>
              <w:t>10</w:t>
            </w:r>
            <w:r>
              <w:rPr>
                <w:rFonts w:hint="default"/>
                <w:sz w:val="21"/>
                <w:szCs w:val="21"/>
                <w:highlight w:val="none"/>
                <w:lang w:val="en-US" w:eastAsia="zh-CN"/>
              </w:rPr>
              <w:t xml:space="preserve">  区域空气质量现状评价表</w:t>
            </w:r>
          </w:p>
          <w:tbl>
            <w:tblPr>
              <w:tblStyle w:val="29"/>
              <w:tblW w:w="9040" w:type="dxa"/>
              <w:jc w:val="center"/>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35"/>
              <w:gridCol w:w="1910"/>
              <w:gridCol w:w="1641"/>
              <w:gridCol w:w="1672"/>
              <w:gridCol w:w="1421"/>
              <w:gridCol w:w="11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7" w:hRule="exact"/>
                <w:jc w:val="center"/>
              </w:trPr>
              <w:tc>
                <w:tcPr>
                  <w:tcW w:w="1235" w:type="dxa"/>
                  <w:tcBorders>
                    <w:tl2br w:val="nil"/>
                    <w:tr2bl w:val="nil"/>
                  </w:tcBorders>
                  <w:shd w:val="clear" w:color="auto" w:fill="F1F1F1"/>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污染物</w:t>
                  </w:r>
                </w:p>
              </w:tc>
              <w:tc>
                <w:tcPr>
                  <w:tcW w:w="1910" w:type="dxa"/>
                  <w:tcBorders>
                    <w:tl2br w:val="nil"/>
                    <w:tr2bl w:val="nil"/>
                  </w:tcBorders>
                  <w:shd w:val="clear" w:color="auto" w:fill="F1F1F1"/>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评价指标</w:t>
                  </w:r>
                </w:p>
              </w:tc>
              <w:tc>
                <w:tcPr>
                  <w:tcW w:w="1641" w:type="dxa"/>
                  <w:tcBorders>
                    <w:tl2br w:val="nil"/>
                    <w:tr2bl w:val="nil"/>
                  </w:tcBorders>
                  <w:shd w:val="clear" w:color="auto" w:fill="F1F1F1"/>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浓度(μg/m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c>
                <w:tcPr>
                  <w:tcW w:w="1672" w:type="dxa"/>
                  <w:tcBorders>
                    <w:tl2br w:val="nil"/>
                    <w:tr2bl w:val="nil"/>
                  </w:tcBorders>
                  <w:shd w:val="clear" w:color="auto" w:fill="F1F1F1"/>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标准值(μg/m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c>
                <w:tcPr>
                  <w:tcW w:w="1421" w:type="dxa"/>
                  <w:tcBorders>
                    <w:tl2br w:val="nil"/>
                    <w:tr2bl w:val="nil"/>
                  </w:tcBorders>
                  <w:shd w:val="clear" w:color="auto" w:fill="F1F1F1"/>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占标率(/%)</w:t>
                  </w:r>
                </w:p>
              </w:tc>
              <w:tc>
                <w:tcPr>
                  <w:tcW w:w="1161" w:type="dxa"/>
                  <w:tcBorders>
                    <w:tl2br w:val="nil"/>
                    <w:tr2bl w:val="nil"/>
                  </w:tcBorders>
                  <w:shd w:val="clear" w:color="auto" w:fill="F1F1F1"/>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3" w:hRule="exact"/>
                <w:jc w:val="center"/>
              </w:trPr>
              <w:tc>
                <w:tcPr>
                  <w:tcW w:w="1235"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SO</w:t>
                  </w:r>
                  <w:r>
                    <w:rPr>
                      <w:rFonts w:hint="default" w:ascii="Times New Roman" w:hAnsi="Times New Roman" w:cs="Times New Roman"/>
                      <w:sz w:val="21"/>
                      <w:szCs w:val="21"/>
                      <w:highlight w:val="none"/>
                      <w:vertAlign w:val="subscript"/>
                      <w:lang w:val="en-US" w:eastAsia="zh-CN"/>
                    </w:rPr>
                    <w:t>2</w:t>
                  </w:r>
                </w:p>
              </w:tc>
              <w:tc>
                <w:tcPr>
                  <w:tcW w:w="1910"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年平均质量浓度</w:t>
                  </w:r>
                </w:p>
              </w:tc>
              <w:tc>
                <w:tcPr>
                  <w:tcW w:w="164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eastAsia" w:eastAsia="仿宋"/>
                      <w:bCs/>
                      <w:sz w:val="21"/>
                      <w:szCs w:val="21"/>
                      <w:highlight w:val="none"/>
                    </w:rPr>
                    <w:t>26</w:t>
                  </w:r>
                </w:p>
              </w:tc>
              <w:tc>
                <w:tcPr>
                  <w:tcW w:w="1672" w:type="dxa"/>
                  <w:tcBorders>
                    <w:tl2br w:val="nil"/>
                    <w:tr2bl w:val="nil"/>
                  </w:tcBorders>
                  <w:vAlign w:val="center"/>
                </w:tcPr>
                <w:p>
                  <w:pPr>
                    <w:pStyle w:val="42"/>
                    <w:adjustRightInd w:val="0"/>
                    <w:ind w:left="0" w:leftChars="0" w:firstLine="0" w:firstLineChars="0"/>
                    <w:jc w:val="center"/>
                    <w:textAlignment w:val="baseline"/>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60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eastAsia="宋体" w:cs="Times New Roman"/>
                      <w:i w:val="0"/>
                      <w:color w:val="000000"/>
                      <w:kern w:val="0"/>
                      <w:sz w:val="21"/>
                      <w:szCs w:val="21"/>
                      <w:highlight w:val="none"/>
                      <w:u w:val="none"/>
                      <w:lang w:val="en-US" w:eastAsia="zh-CN" w:bidi="ar"/>
                    </w:rPr>
                    <w:t>43.33</w:t>
                  </w: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1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exact"/>
                <w:jc w:val="center"/>
              </w:trPr>
              <w:tc>
                <w:tcPr>
                  <w:tcW w:w="1235"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NO</w:t>
                  </w:r>
                  <w:r>
                    <w:rPr>
                      <w:rFonts w:hint="default" w:ascii="Times New Roman" w:hAnsi="Times New Roman" w:cs="Times New Roman"/>
                      <w:sz w:val="21"/>
                      <w:szCs w:val="21"/>
                      <w:highlight w:val="none"/>
                      <w:vertAlign w:val="subscript"/>
                      <w:lang w:val="en-US" w:eastAsia="zh-CN"/>
                    </w:rPr>
                    <w:t>2</w:t>
                  </w:r>
                </w:p>
              </w:tc>
              <w:tc>
                <w:tcPr>
                  <w:tcW w:w="1910"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年均值</w:t>
                  </w:r>
                </w:p>
              </w:tc>
              <w:tc>
                <w:tcPr>
                  <w:tcW w:w="164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eastAsia" w:eastAsia="仿宋"/>
                      <w:bCs/>
                      <w:sz w:val="21"/>
                      <w:szCs w:val="21"/>
                      <w:highlight w:val="none"/>
                    </w:rPr>
                    <w:t>37</w:t>
                  </w:r>
                </w:p>
              </w:tc>
              <w:tc>
                <w:tcPr>
                  <w:tcW w:w="1672" w:type="dxa"/>
                  <w:tcBorders>
                    <w:tl2br w:val="nil"/>
                    <w:tr2bl w:val="nil"/>
                  </w:tcBorders>
                  <w:vAlign w:val="center"/>
                </w:tcPr>
                <w:p>
                  <w:pPr>
                    <w:pStyle w:val="42"/>
                    <w:adjustRightInd w:val="0"/>
                    <w:ind w:left="0" w:leftChars="0" w:firstLine="0" w:firstLineChars="0"/>
                    <w:jc w:val="center"/>
                    <w:textAlignment w:val="baseline"/>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40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eastAsia="宋体" w:cs="Times New Roman"/>
                      <w:i w:val="0"/>
                      <w:color w:val="000000"/>
                      <w:kern w:val="0"/>
                      <w:sz w:val="21"/>
                      <w:szCs w:val="21"/>
                      <w:highlight w:val="none"/>
                      <w:u w:val="none"/>
                      <w:lang w:val="en-US" w:eastAsia="zh-CN" w:bidi="ar"/>
                    </w:rPr>
                    <w:t>92.5</w:t>
                  </w: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1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3" w:hRule="exact"/>
                <w:jc w:val="center"/>
              </w:trPr>
              <w:tc>
                <w:tcPr>
                  <w:tcW w:w="1235"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PM</w:t>
                  </w:r>
                  <w:r>
                    <w:rPr>
                      <w:rFonts w:hint="default" w:ascii="Times New Roman" w:hAnsi="Times New Roman" w:cs="Times New Roman"/>
                      <w:sz w:val="21"/>
                      <w:szCs w:val="21"/>
                      <w:highlight w:val="none"/>
                      <w:vertAlign w:val="subscript"/>
                      <w:lang w:val="en-US" w:eastAsia="zh-CN"/>
                    </w:rPr>
                    <w:t>10</w:t>
                  </w:r>
                </w:p>
              </w:tc>
              <w:tc>
                <w:tcPr>
                  <w:tcW w:w="1910"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年均值</w:t>
                  </w:r>
                </w:p>
              </w:tc>
              <w:tc>
                <w:tcPr>
                  <w:tcW w:w="164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eastAsia" w:eastAsia="仿宋"/>
                      <w:bCs/>
                      <w:sz w:val="21"/>
                      <w:szCs w:val="21"/>
                      <w:highlight w:val="none"/>
                      <w:lang w:val="en-US" w:eastAsia="zh-CN"/>
                    </w:rPr>
                    <w:t>9</w:t>
                  </w:r>
                  <w:r>
                    <w:rPr>
                      <w:rFonts w:hint="eastAsia" w:eastAsia="仿宋"/>
                      <w:bCs/>
                      <w:sz w:val="21"/>
                      <w:szCs w:val="21"/>
                      <w:highlight w:val="none"/>
                    </w:rPr>
                    <w:t>7</w:t>
                  </w:r>
                </w:p>
              </w:tc>
              <w:tc>
                <w:tcPr>
                  <w:tcW w:w="1672" w:type="dxa"/>
                  <w:tcBorders>
                    <w:tl2br w:val="nil"/>
                    <w:tr2bl w:val="nil"/>
                  </w:tcBorders>
                  <w:vAlign w:val="center"/>
                </w:tcPr>
                <w:p>
                  <w:pPr>
                    <w:pStyle w:val="42"/>
                    <w:adjustRightInd w:val="0"/>
                    <w:ind w:left="0" w:leftChars="0" w:firstLine="0" w:firstLineChars="0"/>
                    <w:jc w:val="center"/>
                    <w:textAlignment w:val="baseline"/>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70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eastAsia="宋体" w:cs="Times New Roman"/>
                      <w:i w:val="0"/>
                      <w:color w:val="000000"/>
                      <w:kern w:val="0"/>
                      <w:sz w:val="21"/>
                      <w:szCs w:val="21"/>
                      <w:highlight w:val="none"/>
                      <w:u w:val="none"/>
                      <w:lang w:val="en-US" w:eastAsia="zh-CN" w:bidi="ar"/>
                    </w:rPr>
                    <w:t>138.57</w:t>
                  </w: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1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3" w:hRule="exact"/>
                <w:jc w:val="center"/>
              </w:trPr>
              <w:tc>
                <w:tcPr>
                  <w:tcW w:w="1235"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PM</w:t>
                  </w:r>
                  <w:r>
                    <w:rPr>
                      <w:rFonts w:hint="default" w:ascii="Times New Roman" w:hAnsi="Times New Roman" w:cs="Times New Roman"/>
                      <w:sz w:val="21"/>
                      <w:szCs w:val="21"/>
                      <w:highlight w:val="none"/>
                      <w:vertAlign w:val="subscript"/>
                      <w:lang w:val="en-US" w:eastAsia="zh-CN"/>
                    </w:rPr>
                    <w:t>2.5</w:t>
                  </w:r>
                </w:p>
              </w:tc>
              <w:tc>
                <w:tcPr>
                  <w:tcW w:w="1910"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年均值</w:t>
                  </w:r>
                </w:p>
              </w:tc>
              <w:tc>
                <w:tcPr>
                  <w:tcW w:w="164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eastAsia" w:eastAsia="仿宋"/>
                      <w:bCs/>
                      <w:sz w:val="21"/>
                      <w:szCs w:val="21"/>
                      <w:highlight w:val="none"/>
                      <w:lang w:val="en-US" w:eastAsia="zh-CN"/>
                    </w:rPr>
                    <w:t>5</w:t>
                  </w:r>
                  <w:r>
                    <w:rPr>
                      <w:rFonts w:hint="eastAsia" w:eastAsia="仿宋"/>
                      <w:bCs/>
                      <w:sz w:val="21"/>
                      <w:szCs w:val="21"/>
                      <w:highlight w:val="none"/>
                    </w:rPr>
                    <w:t>7</w:t>
                  </w:r>
                </w:p>
              </w:tc>
              <w:tc>
                <w:tcPr>
                  <w:tcW w:w="1672" w:type="dxa"/>
                  <w:tcBorders>
                    <w:tl2br w:val="nil"/>
                    <w:tr2bl w:val="nil"/>
                  </w:tcBorders>
                  <w:vAlign w:val="center"/>
                </w:tcPr>
                <w:p>
                  <w:pPr>
                    <w:pStyle w:val="42"/>
                    <w:adjustRightInd w:val="0"/>
                    <w:ind w:left="0" w:leftChars="0" w:firstLine="0" w:firstLineChars="0"/>
                    <w:jc w:val="center"/>
                    <w:textAlignment w:val="baseline"/>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35</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eastAsia="宋体" w:cs="Times New Roman"/>
                      <w:i w:val="0"/>
                      <w:color w:val="000000"/>
                      <w:kern w:val="0"/>
                      <w:sz w:val="21"/>
                      <w:szCs w:val="21"/>
                      <w:highlight w:val="none"/>
                      <w:u w:val="none"/>
                      <w:lang w:val="en-US" w:eastAsia="zh-CN" w:bidi="ar"/>
                    </w:rPr>
                    <w:t>162.85</w:t>
                  </w: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1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8" w:hRule="exact"/>
                <w:jc w:val="center"/>
              </w:trPr>
              <w:tc>
                <w:tcPr>
                  <w:tcW w:w="1235"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CO</w:t>
                  </w:r>
                </w:p>
              </w:tc>
              <w:tc>
                <w:tcPr>
                  <w:tcW w:w="1910"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日均值第95百分位数浓度</w:t>
                  </w:r>
                </w:p>
              </w:tc>
              <w:tc>
                <w:tcPr>
                  <w:tcW w:w="1641" w:type="dxa"/>
                  <w:tcBorders>
                    <w:tl2br w:val="nil"/>
                    <w:tr2bl w:val="nil"/>
                  </w:tcBorders>
                  <w:vAlign w:val="center"/>
                </w:tcPr>
                <w:p>
                  <w:pPr>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27</w:t>
                  </w:r>
                  <w:r>
                    <w:rPr>
                      <w:rFonts w:hint="default" w:ascii="Times New Roman" w:hAnsi="Times New Roman" w:cs="Times New Roman"/>
                      <w:sz w:val="21"/>
                      <w:szCs w:val="21"/>
                      <w:highlight w:val="none"/>
                      <w:lang w:val="en-US" w:eastAsia="zh-CN"/>
                    </w:rPr>
                    <w:t>00</w:t>
                  </w:r>
                </w:p>
              </w:tc>
              <w:tc>
                <w:tcPr>
                  <w:tcW w:w="1672" w:type="dxa"/>
                  <w:tcBorders>
                    <w:tl2br w:val="nil"/>
                    <w:tr2bl w:val="nil"/>
                  </w:tcBorders>
                  <w:vAlign w:val="center"/>
                </w:tcPr>
                <w:p>
                  <w:pPr>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4000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eastAsia="宋体" w:cs="Times New Roman"/>
                      <w:i w:val="0"/>
                      <w:color w:val="000000"/>
                      <w:kern w:val="0"/>
                      <w:sz w:val="21"/>
                      <w:szCs w:val="21"/>
                      <w:highlight w:val="none"/>
                      <w:u w:val="none"/>
                      <w:lang w:val="en-US" w:eastAsia="zh-CN" w:bidi="ar"/>
                    </w:rPr>
                    <w:t>67.5</w:t>
                  </w: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1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58" w:hRule="exact"/>
                <w:jc w:val="center"/>
              </w:trPr>
              <w:tc>
                <w:tcPr>
                  <w:tcW w:w="1235"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O</w:t>
                  </w:r>
                  <w:r>
                    <w:rPr>
                      <w:rFonts w:hint="default" w:ascii="Times New Roman" w:hAnsi="Times New Roman" w:cs="Times New Roman"/>
                      <w:sz w:val="21"/>
                      <w:szCs w:val="21"/>
                      <w:highlight w:val="none"/>
                      <w:vertAlign w:val="subscript"/>
                      <w:lang w:val="en-US" w:eastAsia="zh-CN"/>
                    </w:rPr>
                    <w:t>3</w:t>
                  </w:r>
                </w:p>
              </w:tc>
              <w:tc>
                <w:tcPr>
                  <w:tcW w:w="1910" w:type="dxa"/>
                  <w:tcBorders>
                    <w:tl2br w:val="nil"/>
                    <w:tr2bl w:val="nil"/>
                  </w:tcBorders>
                  <w:vAlign w:val="center"/>
                </w:tcPr>
                <w:p>
                  <w:pPr>
                    <w:pStyle w:val="2"/>
                    <w:pageBreakBefore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日最大8小时平均均值第90百分位数浓度</w:t>
                  </w:r>
                </w:p>
              </w:tc>
              <w:tc>
                <w:tcPr>
                  <w:tcW w:w="1641" w:type="dxa"/>
                  <w:tcBorders>
                    <w:tl2br w:val="nil"/>
                    <w:tr2bl w:val="nil"/>
                  </w:tcBorders>
                  <w:vAlign w:val="center"/>
                </w:tcPr>
                <w:p>
                  <w:pPr>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154</w:t>
                  </w:r>
                </w:p>
              </w:tc>
              <w:tc>
                <w:tcPr>
                  <w:tcW w:w="1672" w:type="dxa"/>
                  <w:tcBorders>
                    <w:tl2br w:val="nil"/>
                    <w:tr2bl w:val="nil"/>
                  </w:tcBorders>
                  <w:vAlign w:val="center"/>
                </w:tcPr>
                <w:p>
                  <w:pPr>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160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eastAsia="宋体" w:cs="Times New Roman"/>
                      <w:i w:val="0"/>
                      <w:color w:val="000000"/>
                      <w:kern w:val="0"/>
                      <w:sz w:val="21"/>
                      <w:szCs w:val="21"/>
                      <w:highlight w:val="none"/>
                      <w:u w:val="none"/>
                      <w:lang w:val="en-US" w:eastAsia="zh-CN" w:bidi="ar"/>
                    </w:rPr>
                    <w:t>96.25</w:t>
                  </w: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1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bl>
          <w:p>
            <w:pPr>
              <w:keepNext/>
              <w:keepLines/>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b w:val="0"/>
                <w:bCs w:val="0"/>
                <w:kern w:val="2"/>
                <w:sz w:val="24"/>
                <w:szCs w:val="24"/>
                <w:highlight w:val="none"/>
                <w:lang w:val="en-US" w:eastAsia="zh-CN" w:bidi="ar-SA"/>
              </w:rPr>
            </w:pPr>
            <w:r>
              <w:rPr>
                <w:rFonts w:hint="eastAsia"/>
                <w:b w:val="0"/>
                <w:bCs w:val="0"/>
                <w:kern w:val="2"/>
                <w:sz w:val="24"/>
                <w:szCs w:val="24"/>
                <w:highlight w:val="none"/>
                <w:lang w:val="en-US" w:eastAsia="zh-CN" w:bidi="ar-SA"/>
              </w:rPr>
              <w:t>1.2基本污染物环境质量现状</w:t>
            </w:r>
          </w:p>
          <w:p>
            <w:pPr>
              <w:keepNext/>
              <w:keepLines/>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b w:val="0"/>
                <w:bCs w:val="0"/>
                <w:kern w:val="2"/>
                <w:sz w:val="24"/>
                <w:szCs w:val="24"/>
                <w:highlight w:val="none"/>
                <w:lang w:val="en-US" w:eastAsia="zh-CN" w:bidi="ar-SA"/>
              </w:rPr>
            </w:pPr>
            <w:r>
              <w:rPr>
                <w:rFonts w:hint="default"/>
                <w:b w:val="0"/>
                <w:bCs w:val="0"/>
                <w:kern w:val="2"/>
                <w:sz w:val="24"/>
                <w:szCs w:val="24"/>
                <w:highlight w:val="none"/>
                <w:lang w:val="en-US" w:eastAsia="zh-CN" w:bidi="ar-SA"/>
              </w:rPr>
              <w:t>《环境影响评价技术导则 大气环境》（HJ2.2-2018)中评价因子定义为“评价因子主要为项目排放的基本污染物和其他污染物”。本项目评价因子中不涉及其他污染物，基本污染物为颗粒物（PM10）</w:t>
            </w:r>
            <w:r>
              <w:rPr>
                <w:rFonts w:hint="eastAsia"/>
                <w:b w:val="0"/>
                <w:bCs w:val="0"/>
                <w:kern w:val="2"/>
                <w:sz w:val="24"/>
                <w:szCs w:val="24"/>
                <w:highlight w:val="none"/>
                <w:lang w:val="en-US" w:eastAsia="zh-CN" w:bidi="ar-SA"/>
              </w:rPr>
              <w:t>、SO2、NOX</w:t>
            </w:r>
            <w:r>
              <w:rPr>
                <w:rFonts w:hint="default"/>
                <w:b w:val="0"/>
                <w:bCs w:val="0"/>
                <w:kern w:val="2"/>
                <w:sz w:val="24"/>
                <w:szCs w:val="24"/>
                <w:highlight w:val="none"/>
                <w:lang w:val="en-US" w:eastAsia="zh-CN" w:bidi="ar-SA"/>
              </w:rPr>
              <w:t>；环境质量现状需采用评价范围内的环境质量监测数据，本项目大气环境影响评价等级为二级，评价范围为边长5km的矩形。本项目评价范围内无环境空气质量现状监测数据。可选择符合《环境空气质量监测点位布设技术规范（试行）》（HJ 664—2013）规定，并且邻近的环境空气质量城市点的监测数据。《环境空气质量监测点位布设技术规范（试行）》（HJ 664—2013）规定：“城市点代表范围一般为半径500m至4千米，有时也可扩大到半径4千米至几十千米（如对于空气污染物浓度较低，其空间变化较小的地区）的范围。”经参阅大气新导则培训释义，同时考虑本项目污染物浓度及地形特点。本项目选择</w:t>
            </w:r>
            <w:r>
              <w:rPr>
                <w:rFonts w:hint="eastAsia"/>
                <w:b w:val="0"/>
                <w:bCs w:val="0"/>
                <w:kern w:val="2"/>
                <w:sz w:val="24"/>
                <w:szCs w:val="24"/>
                <w:highlight w:val="none"/>
                <w:lang w:val="en-US" w:eastAsia="zh-CN" w:bidi="ar-SA"/>
              </w:rPr>
              <w:t>安阳</w:t>
            </w:r>
            <w:r>
              <w:rPr>
                <w:rFonts w:hint="default"/>
                <w:b w:val="0"/>
                <w:bCs w:val="0"/>
                <w:kern w:val="2"/>
                <w:sz w:val="24"/>
                <w:szCs w:val="24"/>
                <w:highlight w:val="none"/>
                <w:lang w:val="en-US" w:eastAsia="zh-CN" w:bidi="ar-SA"/>
              </w:rPr>
              <w:t>市环境空气监测网络中的城市点—</w:t>
            </w:r>
            <w:r>
              <w:rPr>
                <w:rFonts w:hint="eastAsia"/>
                <w:b w:val="0"/>
                <w:bCs w:val="0"/>
                <w:kern w:val="2"/>
                <w:sz w:val="24"/>
                <w:szCs w:val="24"/>
                <w:highlight w:val="none"/>
                <w:lang w:val="en-US" w:eastAsia="zh-CN" w:bidi="ar-SA"/>
              </w:rPr>
              <w:t>安阳市银杏小区</w:t>
            </w:r>
            <w:r>
              <w:rPr>
                <w:rFonts w:hint="default"/>
                <w:b w:val="0"/>
                <w:bCs w:val="0"/>
                <w:kern w:val="2"/>
                <w:sz w:val="24"/>
                <w:szCs w:val="24"/>
                <w:highlight w:val="none"/>
                <w:lang w:val="en-US" w:eastAsia="zh-CN" w:bidi="ar-SA"/>
              </w:rPr>
              <w:t>。该监测点距离本项目约1</w:t>
            </w:r>
            <w:r>
              <w:rPr>
                <w:rFonts w:hint="eastAsia"/>
                <w:b w:val="0"/>
                <w:bCs w:val="0"/>
                <w:kern w:val="2"/>
                <w:sz w:val="24"/>
                <w:szCs w:val="24"/>
                <w:highlight w:val="none"/>
                <w:lang w:val="en-US" w:eastAsia="zh-CN" w:bidi="ar-SA"/>
              </w:rPr>
              <w:t>4</w:t>
            </w:r>
            <w:r>
              <w:rPr>
                <w:rFonts w:hint="default"/>
                <w:b w:val="0"/>
                <w:bCs w:val="0"/>
                <w:kern w:val="2"/>
                <w:sz w:val="24"/>
                <w:szCs w:val="24"/>
                <w:highlight w:val="none"/>
                <w:lang w:val="en-US" w:eastAsia="zh-CN" w:bidi="ar-SA"/>
              </w:rPr>
              <w:t>km，符合城市点邻近（500m~几十km）要求。</w:t>
            </w:r>
          </w:p>
          <w:p>
            <w:pPr>
              <w:pStyle w:val="2"/>
              <w:keepNext/>
              <w:keepLines/>
              <w:pageBreakBefore w:val="0"/>
              <w:widowControl w:val="0"/>
              <w:kinsoku/>
              <w:wordWrap/>
              <w:overflowPunct/>
              <w:topLinePunct w:val="0"/>
              <w:autoSpaceDE/>
              <w:autoSpaceDN/>
              <w:bidi w:val="0"/>
              <w:adjustRightInd/>
              <w:snapToGrid/>
              <w:spacing w:line="240" w:lineRule="auto"/>
              <w:textAlignment w:val="auto"/>
              <w:outlineLvl w:val="0"/>
              <w:rPr>
                <w:rFonts w:hint="eastAsia"/>
                <w:b w:val="0"/>
                <w:bCs w:val="0"/>
                <w:kern w:val="2"/>
                <w:sz w:val="24"/>
                <w:szCs w:val="24"/>
                <w:highlight w:val="none"/>
                <w:lang w:val="en-US" w:eastAsia="zh-CN" w:bidi="ar-SA"/>
              </w:rPr>
            </w:pPr>
            <w:r>
              <w:rPr>
                <w:rFonts w:hint="default"/>
                <w:b w:val="0"/>
                <w:bCs w:val="0"/>
                <w:kern w:val="2"/>
                <w:sz w:val="24"/>
                <w:szCs w:val="24"/>
                <w:highlight w:val="none"/>
                <w:lang w:val="en-US" w:eastAsia="zh-CN" w:bidi="ar-SA"/>
              </w:rPr>
              <w:t xml:space="preserve"> </w:t>
            </w:r>
            <w:r>
              <w:rPr>
                <w:rFonts w:hint="eastAsia"/>
                <w:b w:val="0"/>
                <w:bCs w:val="0"/>
                <w:kern w:val="2"/>
                <w:sz w:val="24"/>
                <w:szCs w:val="24"/>
                <w:highlight w:val="none"/>
                <w:lang w:val="en-US" w:eastAsia="zh-CN" w:bidi="ar-SA"/>
              </w:rPr>
              <w:t xml:space="preserve">                     表10 基本污染物环境质量现状评价表</w:t>
            </w:r>
          </w:p>
          <w:tbl>
            <w:tblPr>
              <w:tblStyle w:val="29"/>
              <w:tblW w:w="92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749"/>
              <w:gridCol w:w="1212"/>
              <w:gridCol w:w="1333"/>
              <w:gridCol w:w="1500"/>
              <w:gridCol w:w="1276"/>
              <w:gridCol w:w="10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3" w:hRule="exact"/>
                <w:jc w:val="center"/>
              </w:trPr>
              <w:tc>
                <w:tcPr>
                  <w:tcW w:w="2110"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点位名称</w:t>
                  </w:r>
                </w:p>
              </w:tc>
              <w:tc>
                <w:tcPr>
                  <w:tcW w:w="749"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污染物</w:t>
                  </w:r>
                </w:p>
              </w:tc>
              <w:tc>
                <w:tcPr>
                  <w:tcW w:w="1212"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年评价指标</w:t>
                  </w:r>
                </w:p>
              </w:tc>
              <w:tc>
                <w:tcPr>
                  <w:tcW w:w="1333"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浓度(μg/m</w:t>
                  </w:r>
                  <w:r>
                    <w:rPr>
                      <w:rFonts w:hint="default"/>
                      <w:bCs/>
                      <w:szCs w:val="21"/>
                      <w:highlight w:val="none"/>
                      <w:vertAlign w:val="superscript"/>
                      <w:lang w:val="en-US" w:eastAsia="zh-CN"/>
                    </w:rPr>
                    <w:t>3</w:t>
                  </w:r>
                  <w:r>
                    <w:rPr>
                      <w:rFonts w:hint="default"/>
                      <w:bCs/>
                      <w:szCs w:val="21"/>
                      <w:highlight w:val="none"/>
                      <w:lang w:val="en-US" w:eastAsia="zh-CN"/>
                    </w:rPr>
                    <w:t>)</w:t>
                  </w:r>
                </w:p>
              </w:tc>
              <w:tc>
                <w:tcPr>
                  <w:tcW w:w="1500"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标准值(μg/m</w:t>
                  </w:r>
                  <w:r>
                    <w:rPr>
                      <w:rFonts w:hint="default"/>
                      <w:bCs/>
                      <w:szCs w:val="21"/>
                      <w:highlight w:val="none"/>
                      <w:vertAlign w:val="superscript"/>
                      <w:lang w:val="en-US" w:eastAsia="zh-CN"/>
                    </w:rPr>
                    <w:t>3</w:t>
                  </w:r>
                  <w:r>
                    <w:rPr>
                      <w:rFonts w:hint="default"/>
                      <w:bCs/>
                      <w:szCs w:val="21"/>
                      <w:highlight w:val="none"/>
                      <w:lang w:val="en-US" w:eastAsia="zh-CN"/>
                    </w:rPr>
                    <w:t>)</w:t>
                  </w:r>
                </w:p>
              </w:tc>
              <w:tc>
                <w:tcPr>
                  <w:tcW w:w="1276"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占标率(/%)</w:t>
                  </w:r>
                </w:p>
              </w:tc>
              <w:tc>
                <w:tcPr>
                  <w:tcW w:w="1042"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2110" w:type="dxa"/>
                  <w:vMerge w:val="restart"/>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滑县卫南调蓄管理处</w:t>
                  </w:r>
                </w:p>
              </w:tc>
              <w:tc>
                <w:tcPr>
                  <w:tcW w:w="749"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PM</w:t>
                  </w:r>
                  <w:r>
                    <w:rPr>
                      <w:rFonts w:hint="default"/>
                      <w:bCs/>
                      <w:szCs w:val="21"/>
                      <w:highlight w:val="none"/>
                      <w:vertAlign w:val="subscript"/>
                      <w:lang w:val="en-US" w:eastAsia="zh-CN"/>
                    </w:rPr>
                    <w:t>10</w:t>
                  </w:r>
                </w:p>
              </w:tc>
              <w:tc>
                <w:tcPr>
                  <w:tcW w:w="1212"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年均值</w:t>
                  </w:r>
                </w:p>
              </w:tc>
              <w:tc>
                <w:tcPr>
                  <w:tcW w:w="1333" w:type="dxa"/>
                  <w:tcBorders>
                    <w:tl2br w:val="nil"/>
                    <w:tr2bl w:val="nil"/>
                  </w:tcBorders>
                  <w:vAlign w:val="center"/>
                </w:tcPr>
                <w:p>
                  <w:pPr>
                    <w:jc w:val="center"/>
                    <w:rPr>
                      <w:rFonts w:hint="default"/>
                      <w:bCs/>
                      <w:szCs w:val="21"/>
                      <w:highlight w:val="none"/>
                      <w:lang w:val="en-US" w:eastAsia="zh-CN"/>
                    </w:rPr>
                  </w:pPr>
                  <w:r>
                    <w:rPr>
                      <w:rFonts w:hint="eastAsia"/>
                      <w:bCs/>
                      <w:szCs w:val="21"/>
                      <w:highlight w:val="none"/>
                      <w:lang w:val="en-US" w:eastAsia="zh-CN"/>
                    </w:rPr>
                    <w:t>155</w:t>
                  </w:r>
                </w:p>
              </w:tc>
              <w:tc>
                <w:tcPr>
                  <w:tcW w:w="1500" w:type="dxa"/>
                  <w:tcBorders>
                    <w:tl2br w:val="nil"/>
                    <w:tr2bl w:val="nil"/>
                  </w:tcBorders>
                  <w:vAlign w:val="center"/>
                </w:tcPr>
                <w:p>
                  <w:pPr>
                    <w:jc w:val="center"/>
                    <w:rPr>
                      <w:rFonts w:hint="default"/>
                      <w:bCs/>
                      <w:szCs w:val="21"/>
                      <w:highlight w:val="none"/>
                      <w:lang w:val="en-US" w:eastAsia="zh-CN"/>
                    </w:rPr>
                  </w:pPr>
                  <w:r>
                    <w:rPr>
                      <w:rFonts w:hint="default"/>
                      <w:bCs/>
                      <w:szCs w:val="21"/>
                      <w:highlight w:val="none"/>
                      <w:lang w:val="en-US" w:eastAsia="zh-CN"/>
                    </w:rPr>
                    <w:t>70</w:t>
                  </w:r>
                </w:p>
              </w:tc>
              <w:tc>
                <w:tcPr>
                  <w:tcW w:w="1276" w:type="dxa"/>
                  <w:tcBorders>
                    <w:tl2br w:val="nil"/>
                    <w:tr2bl w:val="nil"/>
                  </w:tcBorders>
                  <w:vAlign w:val="center"/>
                </w:tcPr>
                <w:p>
                  <w:pPr>
                    <w:jc w:val="center"/>
                    <w:rPr>
                      <w:rFonts w:hint="default"/>
                      <w:bCs/>
                      <w:szCs w:val="21"/>
                      <w:highlight w:val="none"/>
                      <w:lang w:val="en-US" w:eastAsia="zh-CN"/>
                    </w:rPr>
                  </w:pPr>
                  <w:r>
                    <w:rPr>
                      <w:rFonts w:hint="default"/>
                      <w:bCs/>
                      <w:szCs w:val="21"/>
                      <w:highlight w:val="none"/>
                      <w:lang w:val="en-US" w:eastAsia="zh-CN"/>
                    </w:rPr>
                    <w:t>2</w:t>
                  </w:r>
                  <w:r>
                    <w:rPr>
                      <w:rFonts w:hint="eastAsia"/>
                      <w:bCs/>
                      <w:szCs w:val="21"/>
                      <w:highlight w:val="none"/>
                      <w:lang w:val="en-US" w:eastAsia="zh-CN"/>
                    </w:rPr>
                    <w:t>21</w:t>
                  </w:r>
                  <w:r>
                    <w:rPr>
                      <w:rFonts w:hint="default"/>
                      <w:bCs/>
                      <w:szCs w:val="21"/>
                      <w:highlight w:val="none"/>
                      <w:lang w:val="en-US" w:eastAsia="zh-CN"/>
                    </w:rPr>
                    <w:t>.</w:t>
                  </w:r>
                  <w:r>
                    <w:rPr>
                      <w:rFonts w:hint="eastAsia"/>
                      <w:bCs/>
                      <w:szCs w:val="21"/>
                      <w:highlight w:val="none"/>
                      <w:lang w:val="en-US" w:eastAsia="zh-CN"/>
                    </w:rPr>
                    <w:t>42</w:t>
                  </w:r>
                  <w:r>
                    <w:rPr>
                      <w:rFonts w:hint="default"/>
                      <w:bCs/>
                      <w:szCs w:val="21"/>
                      <w:highlight w:val="none"/>
                      <w:lang w:val="en-US" w:eastAsia="zh-CN"/>
                    </w:rPr>
                    <w:t>%</w:t>
                  </w:r>
                </w:p>
              </w:tc>
              <w:tc>
                <w:tcPr>
                  <w:tcW w:w="1042"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2110" w:type="dxa"/>
                  <w:vMerge w:val="continue"/>
                  <w:tcBorders>
                    <w:tl2br w:val="nil"/>
                    <w:tr2bl w:val="nil"/>
                  </w:tcBorders>
                  <w:vAlign w:val="top"/>
                </w:tcPr>
                <w:p>
                  <w:pPr>
                    <w:jc w:val="center"/>
                    <w:rPr>
                      <w:rFonts w:hint="default"/>
                      <w:bCs/>
                      <w:szCs w:val="21"/>
                      <w:highlight w:val="none"/>
                      <w:lang w:val="en-US" w:eastAsia="zh-CN"/>
                    </w:rPr>
                  </w:pPr>
                </w:p>
              </w:tc>
              <w:tc>
                <w:tcPr>
                  <w:tcW w:w="749"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SO</w:t>
                  </w:r>
                  <w:r>
                    <w:rPr>
                      <w:rFonts w:hint="default"/>
                      <w:bCs/>
                      <w:szCs w:val="21"/>
                      <w:highlight w:val="none"/>
                      <w:vertAlign w:val="subscript"/>
                      <w:lang w:val="en-US" w:eastAsia="zh-CN"/>
                    </w:rPr>
                    <w:t>2</w:t>
                  </w:r>
                </w:p>
              </w:tc>
              <w:tc>
                <w:tcPr>
                  <w:tcW w:w="1212"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年均值</w:t>
                  </w:r>
                </w:p>
              </w:tc>
              <w:tc>
                <w:tcPr>
                  <w:tcW w:w="1333" w:type="dxa"/>
                  <w:tcBorders>
                    <w:tl2br w:val="nil"/>
                    <w:tr2bl w:val="nil"/>
                  </w:tcBorders>
                  <w:vAlign w:val="center"/>
                </w:tcPr>
                <w:p>
                  <w:pPr>
                    <w:jc w:val="center"/>
                    <w:rPr>
                      <w:rFonts w:hint="default"/>
                      <w:bCs/>
                      <w:szCs w:val="21"/>
                      <w:highlight w:val="none"/>
                      <w:lang w:val="en-US" w:eastAsia="zh-CN"/>
                    </w:rPr>
                  </w:pPr>
                  <w:r>
                    <w:rPr>
                      <w:rFonts w:hint="eastAsia"/>
                      <w:bCs/>
                      <w:szCs w:val="21"/>
                      <w:highlight w:val="none"/>
                      <w:lang w:val="en-US" w:eastAsia="zh-CN"/>
                    </w:rPr>
                    <w:t>27</w:t>
                  </w:r>
                </w:p>
              </w:tc>
              <w:tc>
                <w:tcPr>
                  <w:tcW w:w="1500" w:type="dxa"/>
                  <w:tcBorders>
                    <w:tl2br w:val="nil"/>
                    <w:tr2bl w:val="nil"/>
                  </w:tcBorders>
                  <w:vAlign w:val="center"/>
                </w:tcPr>
                <w:p>
                  <w:pPr>
                    <w:jc w:val="center"/>
                    <w:rPr>
                      <w:rFonts w:hint="default"/>
                      <w:bCs/>
                      <w:szCs w:val="21"/>
                      <w:highlight w:val="none"/>
                      <w:lang w:val="en-US" w:eastAsia="zh-CN"/>
                    </w:rPr>
                  </w:pPr>
                  <w:r>
                    <w:rPr>
                      <w:rFonts w:hint="eastAsia"/>
                      <w:bCs/>
                      <w:szCs w:val="21"/>
                      <w:highlight w:val="none"/>
                      <w:lang w:val="en-US" w:eastAsia="zh-CN"/>
                    </w:rPr>
                    <w:t>60</w:t>
                  </w:r>
                </w:p>
              </w:tc>
              <w:tc>
                <w:tcPr>
                  <w:tcW w:w="1276" w:type="dxa"/>
                  <w:tcBorders>
                    <w:tl2br w:val="nil"/>
                    <w:tr2bl w:val="nil"/>
                  </w:tcBorders>
                  <w:vAlign w:val="center"/>
                </w:tcPr>
                <w:p>
                  <w:pPr>
                    <w:jc w:val="center"/>
                    <w:rPr>
                      <w:rFonts w:hint="default"/>
                      <w:bCs/>
                      <w:szCs w:val="21"/>
                      <w:highlight w:val="none"/>
                      <w:lang w:val="en-US" w:eastAsia="zh-CN"/>
                    </w:rPr>
                  </w:pPr>
                  <w:r>
                    <w:rPr>
                      <w:rFonts w:hint="eastAsia"/>
                      <w:bCs/>
                      <w:szCs w:val="21"/>
                      <w:highlight w:val="none"/>
                      <w:lang w:val="en-US" w:eastAsia="zh-CN"/>
                    </w:rPr>
                    <w:t>0.45</w:t>
                  </w:r>
                  <w:r>
                    <w:rPr>
                      <w:rFonts w:hint="default"/>
                      <w:bCs/>
                      <w:szCs w:val="21"/>
                      <w:highlight w:val="none"/>
                      <w:lang w:val="en-US" w:eastAsia="zh-CN"/>
                    </w:rPr>
                    <w:t>%</w:t>
                  </w:r>
                </w:p>
              </w:tc>
              <w:tc>
                <w:tcPr>
                  <w:tcW w:w="1042"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2110" w:type="dxa"/>
                  <w:vMerge w:val="continue"/>
                  <w:tcBorders>
                    <w:tl2br w:val="nil"/>
                    <w:tr2bl w:val="nil"/>
                  </w:tcBorders>
                  <w:vAlign w:val="top"/>
                </w:tcPr>
                <w:p>
                  <w:pPr>
                    <w:jc w:val="center"/>
                    <w:rPr>
                      <w:rFonts w:hint="default"/>
                      <w:bCs/>
                      <w:szCs w:val="21"/>
                      <w:highlight w:val="none"/>
                      <w:lang w:val="en-US" w:eastAsia="zh-CN"/>
                    </w:rPr>
                  </w:pPr>
                </w:p>
              </w:tc>
              <w:tc>
                <w:tcPr>
                  <w:tcW w:w="749"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NO</w:t>
                  </w:r>
                  <w:r>
                    <w:rPr>
                      <w:rFonts w:hint="default"/>
                      <w:bCs/>
                      <w:szCs w:val="21"/>
                      <w:highlight w:val="none"/>
                      <w:vertAlign w:val="subscript"/>
                      <w:lang w:val="en-US" w:eastAsia="zh-CN"/>
                    </w:rPr>
                    <w:t>X</w:t>
                  </w:r>
                </w:p>
              </w:tc>
              <w:tc>
                <w:tcPr>
                  <w:tcW w:w="1212"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年均值</w:t>
                  </w:r>
                </w:p>
              </w:tc>
              <w:tc>
                <w:tcPr>
                  <w:tcW w:w="1333" w:type="dxa"/>
                  <w:tcBorders>
                    <w:tl2br w:val="nil"/>
                    <w:tr2bl w:val="nil"/>
                  </w:tcBorders>
                  <w:vAlign w:val="center"/>
                </w:tcPr>
                <w:p>
                  <w:pPr>
                    <w:jc w:val="center"/>
                    <w:rPr>
                      <w:rFonts w:hint="default"/>
                      <w:bCs/>
                      <w:szCs w:val="21"/>
                      <w:highlight w:val="none"/>
                      <w:lang w:val="en-US" w:eastAsia="zh-CN"/>
                    </w:rPr>
                  </w:pPr>
                  <w:r>
                    <w:rPr>
                      <w:rFonts w:hint="eastAsia"/>
                      <w:bCs/>
                      <w:szCs w:val="21"/>
                      <w:highlight w:val="none"/>
                      <w:lang w:val="en-US" w:eastAsia="zh-CN"/>
                    </w:rPr>
                    <w:t>60</w:t>
                  </w:r>
                </w:p>
              </w:tc>
              <w:tc>
                <w:tcPr>
                  <w:tcW w:w="1500" w:type="dxa"/>
                  <w:tcBorders>
                    <w:tl2br w:val="nil"/>
                    <w:tr2bl w:val="nil"/>
                  </w:tcBorders>
                  <w:vAlign w:val="center"/>
                </w:tcPr>
                <w:p>
                  <w:pPr>
                    <w:jc w:val="center"/>
                    <w:rPr>
                      <w:rFonts w:hint="default"/>
                      <w:bCs/>
                      <w:szCs w:val="21"/>
                      <w:highlight w:val="none"/>
                      <w:lang w:val="en-US" w:eastAsia="zh-CN"/>
                    </w:rPr>
                  </w:pPr>
                  <w:r>
                    <w:rPr>
                      <w:rFonts w:hint="eastAsia"/>
                      <w:bCs/>
                      <w:szCs w:val="21"/>
                      <w:highlight w:val="none"/>
                      <w:lang w:val="en-US" w:eastAsia="zh-CN"/>
                    </w:rPr>
                    <w:t>40</w:t>
                  </w:r>
                </w:p>
              </w:tc>
              <w:tc>
                <w:tcPr>
                  <w:tcW w:w="1276" w:type="dxa"/>
                  <w:tcBorders>
                    <w:tl2br w:val="nil"/>
                    <w:tr2bl w:val="nil"/>
                  </w:tcBorders>
                  <w:vAlign w:val="center"/>
                </w:tcPr>
                <w:p>
                  <w:pPr>
                    <w:jc w:val="center"/>
                    <w:rPr>
                      <w:rFonts w:hint="default"/>
                      <w:bCs/>
                      <w:szCs w:val="21"/>
                      <w:highlight w:val="none"/>
                      <w:lang w:val="en-US" w:eastAsia="zh-CN"/>
                    </w:rPr>
                  </w:pPr>
                  <w:r>
                    <w:rPr>
                      <w:rFonts w:hint="eastAsia"/>
                      <w:bCs/>
                      <w:szCs w:val="21"/>
                      <w:highlight w:val="none"/>
                      <w:lang w:val="en-US" w:eastAsia="zh-CN"/>
                    </w:rPr>
                    <w:t>150</w:t>
                  </w:r>
                  <w:r>
                    <w:rPr>
                      <w:rFonts w:hint="default"/>
                      <w:bCs/>
                      <w:szCs w:val="21"/>
                      <w:highlight w:val="none"/>
                      <w:lang w:val="en-US" w:eastAsia="zh-CN"/>
                    </w:rPr>
                    <w:t>%</w:t>
                  </w:r>
                </w:p>
              </w:tc>
              <w:tc>
                <w:tcPr>
                  <w:tcW w:w="1042" w:type="dxa"/>
                  <w:tcBorders>
                    <w:tl2br w:val="nil"/>
                    <w:tr2bl w:val="nil"/>
                  </w:tcBorders>
                  <w:vAlign w:val="top"/>
                </w:tcPr>
                <w:p>
                  <w:pPr>
                    <w:jc w:val="center"/>
                    <w:rPr>
                      <w:rFonts w:hint="default"/>
                      <w:bCs/>
                      <w:szCs w:val="21"/>
                      <w:highlight w:val="none"/>
                      <w:lang w:val="en-US" w:eastAsia="zh-CN"/>
                    </w:rPr>
                  </w:pPr>
                  <w:r>
                    <w:rPr>
                      <w:rFonts w:hint="default"/>
                      <w:bCs/>
                      <w:szCs w:val="21"/>
                      <w:highlight w:val="none"/>
                      <w:lang w:val="en-US" w:eastAsia="zh-CN"/>
                    </w:rPr>
                    <w:t>不达标</w:t>
                  </w:r>
                </w:p>
              </w:tc>
            </w:tr>
          </w:tbl>
          <w:p>
            <w:pPr>
              <w:spacing w:line="360" w:lineRule="auto"/>
              <w:ind w:firstLine="420" w:firstLineChars="200"/>
              <w:rPr>
                <w:rFonts w:hint="default" w:ascii="Times New Roman" w:hAnsi="Times New Roman" w:cs="Times New Roman"/>
                <w:sz w:val="21"/>
                <w:szCs w:val="21"/>
                <w:highlight w:val="none"/>
                <w:lang w:eastAsia="zh-CN"/>
              </w:rPr>
            </w:pPr>
            <w:r>
              <w:rPr>
                <w:rFonts w:hint="default"/>
                <w:b w:val="0"/>
                <w:bCs w:val="0"/>
                <w:kern w:val="2"/>
                <w:sz w:val="21"/>
                <w:szCs w:val="21"/>
                <w:highlight w:val="none"/>
                <w:lang w:val="en-US" w:eastAsia="zh-CN" w:bidi="ar-SA"/>
              </w:rPr>
              <w:t>注：数据来源于中国空气质量在线监测分析平台濮阳空气质量指数月统计历史数据2017年1月1日~2017年12月31日，网址为</w:t>
            </w:r>
            <w:r>
              <w:rPr>
                <w:rFonts w:hint="eastAsia"/>
                <w:b w:val="0"/>
                <w:bCs w:val="0"/>
                <w:kern w:val="2"/>
                <w:sz w:val="21"/>
                <w:szCs w:val="21"/>
                <w:highlight w:val="none"/>
                <w:lang w:val="en-US" w:eastAsia="zh-CN" w:bidi="ar-SA"/>
              </w:rPr>
              <w:t>：</w:t>
            </w:r>
            <w:r>
              <w:rPr>
                <w:rFonts w:hint="default"/>
                <w:b w:val="0"/>
                <w:bCs w:val="0"/>
                <w:kern w:val="2"/>
                <w:sz w:val="21"/>
                <w:szCs w:val="21"/>
                <w:highlight w:val="none"/>
                <w:lang w:val="en-US" w:eastAsia="zh-CN" w:bidi="ar-SA"/>
              </w:rPr>
              <w:fldChar w:fldCharType="begin"/>
            </w:r>
            <w:r>
              <w:rPr>
                <w:rFonts w:hint="default"/>
                <w:b w:val="0"/>
                <w:bCs w:val="0"/>
                <w:kern w:val="2"/>
                <w:sz w:val="21"/>
                <w:szCs w:val="21"/>
                <w:highlight w:val="none"/>
                <w:lang w:val="en-US" w:eastAsia="zh-CN" w:bidi="ar-SA"/>
              </w:rPr>
              <w:instrText xml:space="preserve"> HYPERLINK "https://www.aqistudy.cn/historydata/monthdata.php?city=%E6%BF%AE%E9%98%B3。" </w:instrText>
            </w:r>
            <w:r>
              <w:rPr>
                <w:rFonts w:hint="default"/>
                <w:b w:val="0"/>
                <w:bCs w:val="0"/>
                <w:kern w:val="2"/>
                <w:sz w:val="21"/>
                <w:szCs w:val="21"/>
                <w:highlight w:val="none"/>
                <w:lang w:val="en-US" w:eastAsia="zh-CN" w:bidi="ar-SA"/>
              </w:rPr>
              <w:fldChar w:fldCharType="separate"/>
            </w:r>
            <w:r>
              <w:rPr>
                <w:rFonts w:hint="default"/>
                <w:b w:val="0"/>
                <w:bCs w:val="0"/>
                <w:kern w:val="2"/>
                <w:sz w:val="21"/>
                <w:szCs w:val="21"/>
                <w:highlight w:val="none"/>
                <w:lang w:val="en-US" w:eastAsia="zh-CN" w:bidi="ar-SA"/>
              </w:rPr>
              <w:t>https://www.zq12369.com/environment.php?tab=city&amp;city=安阳&amp;order=DESC#envtab。</w:t>
            </w:r>
            <w:r>
              <w:rPr>
                <w:rFonts w:hint="default"/>
                <w:b w:val="0"/>
                <w:bCs w:val="0"/>
                <w:kern w:val="2"/>
                <w:sz w:val="21"/>
                <w:szCs w:val="21"/>
                <w:highlight w:val="none"/>
                <w:lang w:val="en-US" w:eastAsia="zh-CN" w:bidi="ar-SA"/>
              </w:rPr>
              <w:fldChar w:fldCharType="end"/>
            </w:r>
          </w:p>
          <w:p>
            <w:pPr>
              <w:spacing w:line="360" w:lineRule="auto"/>
              <w:ind w:firstLine="482" w:firstLineChars="200"/>
              <w:rPr>
                <w:b/>
                <w:bCs/>
                <w:sz w:val="24"/>
              </w:rPr>
            </w:pPr>
            <w:r>
              <w:rPr>
                <w:b/>
                <w:bCs/>
                <w:sz w:val="24"/>
              </w:rPr>
              <w:t>2、地表水</w:t>
            </w:r>
          </w:p>
          <w:p>
            <w:pPr>
              <w:pStyle w:val="30"/>
              <w:spacing w:line="520" w:lineRule="exact"/>
              <w:ind w:left="21" w:leftChars="10"/>
              <w:rPr>
                <w:lang w:val="zh-CN"/>
              </w:rPr>
            </w:pPr>
            <w:r>
              <w:rPr>
                <w:highlight w:val="none"/>
              </w:rPr>
              <w:t>项目</w:t>
            </w:r>
            <w:r>
              <w:rPr>
                <w:rFonts w:hint="eastAsia"/>
                <w:highlight w:val="none"/>
              </w:rPr>
              <w:t>东</w:t>
            </w:r>
            <w:r>
              <w:rPr>
                <w:highlight w:val="none"/>
              </w:rPr>
              <w:t>侧约</w:t>
            </w:r>
            <w:r>
              <w:rPr>
                <w:rFonts w:hint="eastAsia"/>
                <w:highlight w:val="none"/>
              </w:rPr>
              <w:t>278</w:t>
            </w:r>
            <w:r>
              <w:rPr>
                <w:highlight w:val="none"/>
              </w:rPr>
              <w:t>m处为</w:t>
            </w:r>
            <w:r>
              <w:rPr>
                <w:rFonts w:hint="eastAsia"/>
                <w:highlight w:val="none"/>
              </w:rPr>
              <w:t>柳青</w:t>
            </w:r>
            <w:r>
              <w:rPr>
                <w:highlight w:val="none"/>
              </w:rPr>
              <w:t>河，</w:t>
            </w:r>
            <w:r>
              <w:rPr>
                <w:rFonts w:hint="eastAsia"/>
                <w:highlight w:val="none"/>
              </w:rPr>
              <w:t>柳青河向</w:t>
            </w:r>
            <w:r>
              <w:rPr>
                <w:rFonts w:hint="eastAsia"/>
              </w:rPr>
              <w:t>北汇入金堤河，</w:t>
            </w:r>
            <w:r>
              <w:rPr>
                <w:lang w:val="zh-CN"/>
              </w:rPr>
              <w:t>为了解项目区地表水环境质量现状，本次评价</w:t>
            </w:r>
            <w:r>
              <w:rPr>
                <w:rFonts w:hint="eastAsia"/>
                <w:lang w:val="zh-CN"/>
              </w:rPr>
              <w:t>使</w:t>
            </w:r>
            <w:r>
              <w:rPr>
                <w:lang w:val="zh-CN"/>
              </w:rPr>
              <w:t>用“河南省201</w:t>
            </w:r>
            <w:r>
              <w:t>7</w:t>
            </w:r>
            <w:r>
              <w:rPr>
                <w:lang w:val="zh-CN"/>
              </w:rPr>
              <w:t>年第</w:t>
            </w:r>
            <w:r>
              <w:rPr>
                <w:rFonts w:hint="eastAsia"/>
              </w:rPr>
              <w:t>33</w:t>
            </w:r>
            <w:r>
              <w:rPr>
                <w:lang w:val="zh-CN"/>
              </w:rPr>
              <w:t>期</w:t>
            </w:r>
            <w:r>
              <w:rPr>
                <w:color w:val="000000"/>
                <w:shd w:val="clear" w:color="auto" w:fill="FFFFFF"/>
              </w:rPr>
              <w:t>（2017-0</w:t>
            </w:r>
            <w:r>
              <w:rPr>
                <w:rFonts w:hint="eastAsia"/>
                <w:color w:val="000000"/>
                <w:shd w:val="clear" w:color="auto" w:fill="FFFFFF"/>
              </w:rPr>
              <w:t>8</w:t>
            </w:r>
            <w:r>
              <w:rPr>
                <w:color w:val="000000"/>
                <w:shd w:val="clear" w:color="auto" w:fill="FFFFFF"/>
              </w:rPr>
              <w:t>-0</w:t>
            </w:r>
            <w:r>
              <w:rPr>
                <w:rFonts w:hint="eastAsia"/>
                <w:color w:val="000000"/>
                <w:shd w:val="clear" w:color="auto" w:fill="FFFFFF"/>
              </w:rPr>
              <w:t>7</w:t>
            </w:r>
            <w:r>
              <w:rPr>
                <w:color w:val="000000"/>
                <w:shd w:val="clear" w:color="auto" w:fill="FFFFFF"/>
              </w:rPr>
              <w:t>～2017-0</w:t>
            </w:r>
            <w:r>
              <w:rPr>
                <w:rFonts w:hint="eastAsia"/>
                <w:color w:val="000000"/>
                <w:shd w:val="clear" w:color="auto" w:fill="FFFFFF"/>
              </w:rPr>
              <w:t>8</w:t>
            </w:r>
            <w:r>
              <w:rPr>
                <w:color w:val="000000"/>
                <w:shd w:val="clear" w:color="auto" w:fill="FFFFFF"/>
              </w:rPr>
              <w:t>-</w:t>
            </w:r>
            <w:r>
              <w:rPr>
                <w:rFonts w:hint="eastAsia"/>
                <w:color w:val="000000"/>
                <w:shd w:val="clear" w:color="auto" w:fill="FFFFFF"/>
              </w:rPr>
              <w:t>13</w:t>
            </w:r>
            <w:r>
              <w:rPr>
                <w:color w:val="000000"/>
                <w:shd w:val="clear" w:color="auto" w:fill="FFFFFF"/>
              </w:rPr>
              <w:t>）</w:t>
            </w:r>
            <w:r>
              <w:rPr>
                <w:lang w:val="zh-CN"/>
              </w:rPr>
              <w:t>河南省地表水环境责任目标断面水质周报”</w:t>
            </w:r>
            <w:r>
              <w:t>金堤河濮阳大韩桥断面</w:t>
            </w:r>
            <w:r>
              <w:rPr>
                <w:lang w:val="zh-CN"/>
              </w:rPr>
              <w:t>数值，具体数值见下表。</w:t>
            </w:r>
          </w:p>
          <w:p>
            <w:pPr>
              <w:autoSpaceDE w:val="0"/>
              <w:autoSpaceDN w:val="0"/>
              <w:adjustRightInd w:val="0"/>
              <w:spacing w:line="520" w:lineRule="exact"/>
              <w:ind w:firstLine="561"/>
              <w:jc w:val="center"/>
              <w:rPr>
                <w:b/>
                <w:bCs/>
                <w:szCs w:val="16"/>
                <w:lang w:val="zh-CN"/>
              </w:rPr>
            </w:pPr>
            <w:r>
              <w:rPr>
                <w:b/>
                <w:bCs/>
                <w:szCs w:val="16"/>
                <w:lang w:val="zh-CN"/>
              </w:rPr>
              <w:t>表</w:t>
            </w:r>
            <w:r>
              <w:rPr>
                <w:rFonts w:hint="eastAsia"/>
                <w:b/>
                <w:bCs/>
                <w:szCs w:val="16"/>
              </w:rPr>
              <w:t>10</w:t>
            </w:r>
            <w:r>
              <w:rPr>
                <w:b/>
                <w:bCs/>
                <w:szCs w:val="16"/>
                <w:lang w:val="zh-CN"/>
              </w:rPr>
              <w:t xml:space="preserve">  地表水环境质量现状监测结果</w:t>
            </w:r>
          </w:p>
          <w:tbl>
            <w:tblPr>
              <w:tblStyle w:val="28"/>
              <w:tblW w:w="92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2344"/>
              <w:gridCol w:w="2341"/>
              <w:gridCol w:w="2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97" w:type="dxa"/>
                  <w:vAlign w:val="center"/>
                </w:tcPr>
                <w:p>
                  <w:pPr>
                    <w:jc w:val="center"/>
                    <w:rPr>
                      <w:bCs/>
                      <w:szCs w:val="21"/>
                    </w:rPr>
                  </w:pPr>
                  <w:r>
                    <w:rPr>
                      <w:bCs/>
                      <w:szCs w:val="21"/>
                    </w:rPr>
                    <w:t>类别</w:t>
                  </w:r>
                </w:p>
              </w:tc>
              <w:tc>
                <w:tcPr>
                  <w:tcW w:w="2344" w:type="dxa"/>
                  <w:vAlign w:val="center"/>
                </w:tcPr>
                <w:p>
                  <w:pPr>
                    <w:jc w:val="center"/>
                    <w:rPr>
                      <w:bCs/>
                      <w:szCs w:val="21"/>
                    </w:rPr>
                  </w:pPr>
                  <w:r>
                    <w:rPr>
                      <w:bCs/>
                      <w:szCs w:val="21"/>
                    </w:rPr>
                    <w:t>COD</w:t>
                  </w:r>
                </w:p>
              </w:tc>
              <w:tc>
                <w:tcPr>
                  <w:tcW w:w="2341" w:type="dxa"/>
                  <w:vAlign w:val="center"/>
                </w:tcPr>
                <w:p>
                  <w:pPr>
                    <w:jc w:val="center"/>
                    <w:rPr>
                      <w:bCs/>
                      <w:szCs w:val="21"/>
                    </w:rPr>
                  </w:pPr>
                  <w:r>
                    <w:rPr>
                      <w:bCs/>
                      <w:szCs w:val="21"/>
                    </w:rPr>
                    <w:t>NH</w:t>
                  </w:r>
                  <w:r>
                    <w:rPr>
                      <w:bCs/>
                      <w:szCs w:val="21"/>
                      <w:vertAlign w:val="subscript"/>
                    </w:rPr>
                    <w:t>3</w:t>
                  </w:r>
                  <w:r>
                    <w:rPr>
                      <w:bCs/>
                      <w:szCs w:val="21"/>
                    </w:rPr>
                    <w:t>-N</w:t>
                  </w:r>
                </w:p>
              </w:tc>
              <w:tc>
                <w:tcPr>
                  <w:tcW w:w="2340" w:type="dxa"/>
                  <w:vAlign w:val="center"/>
                </w:tcPr>
                <w:p>
                  <w:pPr>
                    <w:widowControl/>
                    <w:jc w:val="center"/>
                    <w:rPr>
                      <w:bCs/>
                      <w:szCs w:val="21"/>
                    </w:rPr>
                  </w:pPr>
                  <w:r>
                    <w:rPr>
                      <w:bCs/>
                      <w:szCs w:val="21"/>
                    </w:rPr>
                    <w:t>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97" w:type="dxa"/>
                  <w:vAlign w:val="center"/>
                </w:tcPr>
                <w:p>
                  <w:pPr>
                    <w:jc w:val="center"/>
                    <w:rPr>
                      <w:bCs/>
                      <w:szCs w:val="21"/>
                    </w:rPr>
                  </w:pPr>
                  <w:r>
                    <w:rPr>
                      <w:bCs/>
                      <w:szCs w:val="21"/>
                    </w:rPr>
                    <w:t>监测值</w:t>
                  </w:r>
                </w:p>
              </w:tc>
              <w:tc>
                <w:tcPr>
                  <w:tcW w:w="2344" w:type="dxa"/>
                  <w:vAlign w:val="center"/>
                </w:tcPr>
                <w:p>
                  <w:pPr>
                    <w:jc w:val="center"/>
                    <w:rPr>
                      <w:bCs/>
                      <w:szCs w:val="21"/>
                    </w:rPr>
                  </w:pPr>
                  <w:r>
                    <w:rPr>
                      <w:rFonts w:hint="eastAsia"/>
                      <w:bCs/>
                      <w:szCs w:val="21"/>
                      <w:lang w:bidi="ar"/>
                    </w:rPr>
                    <w:t>21.2</w:t>
                  </w:r>
                  <w:r>
                    <w:rPr>
                      <w:bCs/>
                      <w:szCs w:val="21"/>
                      <w:lang w:bidi="ar"/>
                    </w:rPr>
                    <w:t>mg/L</w:t>
                  </w:r>
                </w:p>
              </w:tc>
              <w:tc>
                <w:tcPr>
                  <w:tcW w:w="2341" w:type="dxa"/>
                  <w:vAlign w:val="center"/>
                </w:tcPr>
                <w:p>
                  <w:pPr>
                    <w:jc w:val="center"/>
                    <w:rPr>
                      <w:bCs/>
                      <w:spacing w:val="-12"/>
                      <w:szCs w:val="21"/>
                    </w:rPr>
                  </w:pPr>
                  <w:r>
                    <w:rPr>
                      <w:bCs/>
                      <w:spacing w:val="-12"/>
                      <w:szCs w:val="21"/>
                    </w:rPr>
                    <w:t>0.</w:t>
                  </w:r>
                  <w:r>
                    <w:rPr>
                      <w:rFonts w:hint="eastAsia"/>
                      <w:bCs/>
                      <w:spacing w:val="-12"/>
                      <w:szCs w:val="21"/>
                    </w:rPr>
                    <w:t>44</w:t>
                  </w:r>
                  <w:r>
                    <w:rPr>
                      <w:bCs/>
                      <w:szCs w:val="21"/>
                      <w:lang w:bidi="ar"/>
                    </w:rPr>
                    <w:t>mg/L</w:t>
                  </w:r>
                </w:p>
              </w:tc>
              <w:tc>
                <w:tcPr>
                  <w:tcW w:w="2340" w:type="dxa"/>
                  <w:vAlign w:val="center"/>
                </w:tcPr>
                <w:p>
                  <w:pPr>
                    <w:jc w:val="center"/>
                    <w:rPr>
                      <w:bCs/>
                      <w:szCs w:val="21"/>
                    </w:rPr>
                  </w:pPr>
                  <w:r>
                    <w:rPr>
                      <w:bCs/>
                      <w:szCs w:val="21"/>
                    </w:rPr>
                    <w:t>0.</w:t>
                  </w:r>
                  <w:r>
                    <w:rPr>
                      <w:rFonts w:hint="eastAsia"/>
                      <w:bCs/>
                      <w:szCs w:val="21"/>
                    </w:rPr>
                    <w:t>19</w:t>
                  </w:r>
                  <w:r>
                    <w:rPr>
                      <w:bCs/>
                      <w:szCs w:val="21"/>
                      <w:lang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2197" w:type="dxa"/>
                  <w:vAlign w:val="center"/>
                </w:tcPr>
                <w:p>
                  <w:pPr>
                    <w:jc w:val="center"/>
                    <w:rPr>
                      <w:bCs/>
                      <w:szCs w:val="21"/>
                    </w:rPr>
                  </w:pPr>
                  <w:r>
                    <w:rPr>
                      <w:bCs/>
                      <w:szCs w:val="21"/>
                    </w:rPr>
                    <w:t>标准值</w:t>
                  </w:r>
                </w:p>
              </w:tc>
              <w:tc>
                <w:tcPr>
                  <w:tcW w:w="2344" w:type="dxa"/>
                  <w:vAlign w:val="center"/>
                </w:tcPr>
                <w:p>
                  <w:pPr>
                    <w:jc w:val="center"/>
                    <w:rPr>
                      <w:bCs/>
                      <w:szCs w:val="21"/>
                    </w:rPr>
                  </w:pPr>
                  <w:r>
                    <w:rPr>
                      <w:bCs/>
                      <w:szCs w:val="21"/>
                      <w:lang w:bidi="ar"/>
                    </w:rPr>
                    <w:t>≤40mg/L</w:t>
                  </w:r>
                </w:p>
              </w:tc>
              <w:tc>
                <w:tcPr>
                  <w:tcW w:w="2341" w:type="dxa"/>
                  <w:vAlign w:val="center"/>
                </w:tcPr>
                <w:p>
                  <w:pPr>
                    <w:jc w:val="center"/>
                    <w:rPr>
                      <w:bCs/>
                      <w:szCs w:val="21"/>
                    </w:rPr>
                  </w:pPr>
                  <w:r>
                    <w:rPr>
                      <w:bCs/>
                      <w:szCs w:val="21"/>
                      <w:lang w:bidi="ar"/>
                    </w:rPr>
                    <w:t>≤2.0mg/L</w:t>
                  </w:r>
                </w:p>
              </w:tc>
              <w:tc>
                <w:tcPr>
                  <w:tcW w:w="2340" w:type="dxa"/>
                  <w:vAlign w:val="center"/>
                </w:tcPr>
                <w:p>
                  <w:pPr>
                    <w:jc w:val="center"/>
                    <w:rPr>
                      <w:bCs/>
                      <w:szCs w:val="21"/>
                    </w:rPr>
                  </w:pPr>
                  <w:r>
                    <w:rPr>
                      <w:bCs/>
                      <w:szCs w:val="21"/>
                      <w:lang w:bidi="ar"/>
                    </w:rPr>
                    <w:t>≤0.4mg/L</w:t>
                  </w:r>
                </w:p>
              </w:tc>
            </w:tr>
          </w:tbl>
          <w:p>
            <w:pPr>
              <w:pStyle w:val="30"/>
              <w:spacing w:line="520" w:lineRule="exact"/>
              <w:ind w:left="21" w:leftChars="10"/>
            </w:pPr>
            <w:r>
              <w:t>由上表可知，项目所在区域金堤河濮阳大韩桥断面地表水环境质量可以满足《地表水环境质量标准》（GB3838-2002）</w:t>
            </w:r>
            <w:r>
              <w:rPr>
                <w:rFonts w:hint="eastAsia"/>
              </w:rPr>
              <w:t>Ⅴ</w:t>
            </w:r>
            <w:r>
              <w:t>类标准。</w:t>
            </w:r>
          </w:p>
          <w:p>
            <w:pPr>
              <w:spacing w:line="500" w:lineRule="exact"/>
              <w:ind w:firstLine="482" w:firstLineChars="200"/>
              <w:rPr>
                <w:b/>
                <w:color w:val="000000"/>
                <w:sz w:val="24"/>
              </w:rPr>
            </w:pPr>
            <w:r>
              <w:rPr>
                <w:b/>
                <w:color w:val="000000"/>
                <w:sz w:val="24"/>
              </w:rPr>
              <w:t>3、声环境</w:t>
            </w:r>
          </w:p>
          <w:p>
            <w:pPr>
              <w:spacing w:line="360" w:lineRule="auto"/>
              <w:ind w:firstLine="480" w:firstLineChars="200"/>
              <w:rPr>
                <w:rFonts w:hint="eastAsia"/>
                <w:sz w:val="24"/>
                <w:highlight w:val="none"/>
              </w:rPr>
            </w:pPr>
            <w:r>
              <w:rPr>
                <w:rFonts w:hint="eastAsia"/>
                <w:sz w:val="24"/>
                <w:highlight w:val="none"/>
              </w:rPr>
              <w:t>天津绿洲蓝海环保科技有限公司</w:t>
            </w:r>
            <w:r>
              <w:rPr>
                <w:sz w:val="24"/>
                <w:highlight w:val="none"/>
              </w:rPr>
              <w:t>201</w:t>
            </w:r>
            <w:r>
              <w:rPr>
                <w:rFonts w:hint="eastAsia"/>
                <w:sz w:val="24"/>
                <w:highlight w:val="none"/>
              </w:rPr>
              <w:t>8</w:t>
            </w:r>
            <w:r>
              <w:rPr>
                <w:sz w:val="24"/>
                <w:highlight w:val="none"/>
              </w:rPr>
              <w:t>年0</w:t>
            </w:r>
            <w:r>
              <w:rPr>
                <w:rFonts w:hint="eastAsia"/>
                <w:sz w:val="24"/>
                <w:highlight w:val="none"/>
              </w:rPr>
              <w:t>9</w:t>
            </w:r>
            <w:r>
              <w:rPr>
                <w:sz w:val="24"/>
                <w:highlight w:val="none"/>
              </w:rPr>
              <w:t>月</w:t>
            </w:r>
            <w:r>
              <w:rPr>
                <w:rFonts w:hint="eastAsia"/>
                <w:sz w:val="24"/>
                <w:highlight w:val="none"/>
              </w:rPr>
              <w:t>12</w:t>
            </w:r>
            <w:r>
              <w:rPr>
                <w:sz w:val="24"/>
                <w:highlight w:val="none"/>
              </w:rPr>
              <w:t>日～0</w:t>
            </w:r>
            <w:r>
              <w:rPr>
                <w:rFonts w:hint="eastAsia"/>
                <w:sz w:val="24"/>
                <w:highlight w:val="none"/>
              </w:rPr>
              <w:t>9</w:t>
            </w:r>
            <w:r>
              <w:rPr>
                <w:sz w:val="24"/>
                <w:highlight w:val="none"/>
              </w:rPr>
              <w:t>月</w:t>
            </w:r>
            <w:r>
              <w:rPr>
                <w:rFonts w:hint="eastAsia"/>
                <w:sz w:val="24"/>
                <w:highlight w:val="none"/>
              </w:rPr>
              <w:t>13</w:t>
            </w:r>
            <w:r>
              <w:rPr>
                <w:sz w:val="24"/>
                <w:highlight w:val="none"/>
              </w:rPr>
              <w:t>日</w:t>
            </w:r>
            <w:r>
              <w:rPr>
                <w:rFonts w:hint="eastAsia"/>
                <w:sz w:val="24"/>
                <w:highlight w:val="none"/>
              </w:rPr>
              <w:t>对河南祥贝食品有限公司年生产3000吨膨化食品建设项目</w:t>
            </w:r>
            <w:r>
              <w:rPr>
                <w:sz w:val="24"/>
                <w:highlight w:val="none"/>
              </w:rPr>
              <w:t>进行了现状监测。监测点位布置于厂区四周</w:t>
            </w:r>
            <w:r>
              <w:rPr>
                <w:rFonts w:hint="eastAsia"/>
                <w:sz w:val="24"/>
                <w:highlight w:val="none"/>
              </w:rPr>
              <w:t>，监测频次为：连续两天，昼夜各一次，</w:t>
            </w:r>
            <w:r>
              <w:rPr>
                <w:sz w:val="24"/>
                <w:highlight w:val="none"/>
              </w:rPr>
              <w:t>能够反映项目区域噪声现状。</w:t>
            </w:r>
            <w:r>
              <w:rPr>
                <w:rFonts w:hint="eastAsia"/>
                <w:sz w:val="24"/>
                <w:highlight w:val="none"/>
              </w:rPr>
              <w:t>噪声监测结果见表11。</w:t>
            </w:r>
          </w:p>
          <w:p>
            <w:pPr>
              <w:spacing w:line="360" w:lineRule="auto"/>
              <w:jc w:val="center"/>
              <w:rPr>
                <w:rFonts w:hint="eastAsia" w:ascii="宋体" w:hAnsi="宋体" w:cs="宋体"/>
                <w:b/>
                <w:bCs/>
                <w:szCs w:val="21"/>
                <w:highlight w:val="none"/>
              </w:rPr>
            </w:pPr>
            <w:r>
              <w:rPr>
                <w:rFonts w:hint="eastAsia" w:ascii="宋体" w:hAnsi="宋体" w:cs="宋体"/>
                <w:b/>
                <w:bCs/>
                <w:szCs w:val="21"/>
                <w:highlight w:val="none"/>
              </w:rPr>
              <w:t>表11 声环境质量现状检测结果一览表</w:t>
            </w:r>
          </w:p>
          <w:tbl>
            <w:tblPr>
              <w:tblStyle w:val="29"/>
              <w:tblW w:w="92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1499"/>
              <w:gridCol w:w="1464"/>
              <w:gridCol w:w="1571"/>
              <w:gridCol w:w="20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645" w:type="dxa"/>
                  <w:vMerge w:val="restart"/>
                  <w:vAlign w:val="center"/>
                </w:tcPr>
                <w:p>
                  <w:pPr>
                    <w:jc w:val="center"/>
                    <w:rPr>
                      <w:rFonts w:hint="eastAsia"/>
                      <w:szCs w:val="21"/>
                    </w:rPr>
                  </w:pPr>
                  <w:r>
                    <w:rPr>
                      <w:rFonts w:hint="eastAsia"/>
                      <w:szCs w:val="21"/>
                    </w:rPr>
                    <w:t>检测日期</w:t>
                  </w:r>
                </w:p>
              </w:tc>
              <w:tc>
                <w:tcPr>
                  <w:tcW w:w="6577" w:type="dxa"/>
                  <w:gridSpan w:val="4"/>
                  <w:vAlign w:val="center"/>
                </w:tcPr>
                <w:p>
                  <w:pPr>
                    <w:jc w:val="center"/>
                    <w:rPr>
                      <w:rFonts w:hint="eastAsia"/>
                      <w:szCs w:val="21"/>
                    </w:rPr>
                  </w:pPr>
                  <w:r>
                    <w:rPr>
                      <w:rFonts w:hint="eastAsia"/>
                      <w:szCs w:val="21"/>
                    </w:rPr>
                    <w:t>检测点位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645" w:type="dxa"/>
                  <w:vMerge w:val="continue"/>
                  <w:vAlign w:val="center"/>
                </w:tcPr>
                <w:p>
                  <w:pPr>
                    <w:jc w:val="center"/>
                    <w:rPr>
                      <w:rFonts w:hint="eastAsia"/>
                      <w:szCs w:val="21"/>
                    </w:rPr>
                  </w:pPr>
                </w:p>
              </w:tc>
              <w:tc>
                <w:tcPr>
                  <w:tcW w:w="1499" w:type="dxa"/>
                  <w:vAlign w:val="center"/>
                </w:tcPr>
                <w:p>
                  <w:pPr>
                    <w:jc w:val="center"/>
                    <w:rPr>
                      <w:rFonts w:hint="eastAsia"/>
                      <w:szCs w:val="21"/>
                    </w:rPr>
                  </w:pPr>
                  <w:r>
                    <w:rPr>
                      <w:rFonts w:hint="eastAsia"/>
                      <w:szCs w:val="21"/>
                    </w:rPr>
                    <w:t>东厂界</w:t>
                  </w:r>
                </w:p>
              </w:tc>
              <w:tc>
                <w:tcPr>
                  <w:tcW w:w="1464" w:type="dxa"/>
                  <w:vAlign w:val="center"/>
                </w:tcPr>
                <w:p>
                  <w:pPr>
                    <w:jc w:val="center"/>
                    <w:rPr>
                      <w:rFonts w:hint="eastAsia"/>
                      <w:szCs w:val="21"/>
                    </w:rPr>
                  </w:pPr>
                  <w:r>
                    <w:rPr>
                      <w:rFonts w:hint="eastAsia"/>
                      <w:szCs w:val="21"/>
                    </w:rPr>
                    <w:t>南厂界</w:t>
                  </w:r>
                </w:p>
              </w:tc>
              <w:tc>
                <w:tcPr>
                  <w:tcW w:w="1571" w:type="dxa"/>
                  <w:vAlign w:val="center"/>
                </w:tcPr>
                <w:p>
                  <w:pPr>
                    <w:jc w:val="center"/>
                    <w:rPr>
                      <w:rFonts w:hint="eastAsia"/>
                      <w:szCs w:val="21"/>
                    </w:rPr>
                  </w:pPr>
                  <w:r>
                    <w:rPr>
                      <w:rFonts w:hint="eastAsia"/>
                      <w:szCs w:val="21"/>
                    </w:rPr>
                    <w:t>西厂界</w:t>
                  </w:r>
                </w:p>
              </w:tc>
              <w:tc>
                <w:tcPr>
                  <w:tcW w:w="2043" w:type="dxa"/>
                  <w:vAlign w:val="center"/>
                </w:tcPr>
                <w:p>
                  <w:pPr>
                    <w:jc w:val="center"/>
                    <w:rPr>
                      <w:rFonts w:hint="eastAsia"/>
                      <w:szCs w:val="21"/>
                    </w:rPr>
                  </w:pPr>
                  <w:r>
                    <w:rPr>
                      <w:rFonts w:hint="eastAsia"/>
                      <w:szCs w:val="21"/>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645" w:type="dxa"/>
                  <w:vAlign w:val="center"/>
                </w:tcPr>
                <w:p>
                  <w:pPr>
                    <w:jc w:val="center"/>
                    <w:rPr>
                      <w:rFonts w:hint="eastAsia"/>
                      <w:szCs w:val="21"/>
                    </w:rPr>
                  </w:pPr>
                  <w:r>
                    <w:rPr>
                      <w:rFonts w:hint="eastAsia"/>
                      <w:szCs w:val="21"/>
                    </w:rPr>
                    <w:t>09月12日（昼间）</w:t>
                  </w:r>
                </w:p>
              </w:tc>
              <w:tc>
                <w:tcPr>
                  <w:tcW w:w="1499" w:type="dxa"/>
                  <w:vAlign w:val="center"/>
                </w:tcPr>
                <w:p>
                  <w:pPr>
                    <w:jc w:val="center"/>
                    <w:rPr>
                      <w:rFonts w:hint="eastAsia"/>
                      <w:szCs w:val="21"/>
                    </w:rPr>
                  </w:pPr>
                  <w:r>
                    <w:rPr>
                      <w:rFonts w:hint="eastAsia"/>
                      <w:szCs w:val="21"/>
                    </w:rPr>
                    <w:t>48.1</w:t>
                  </w:r>
                </w:p>
              </w:tc>
              <w:tc>
                <w:tcPr>
                  <w:tcW w:w="1464" w:type="dxa"/>
                  <w:vAlign w:val="center"/>
                </w:tcPr>
                <w:p>
                  <w:pPr>
                    <w:jc w:val="center"/>
                    <w:rPr>
                      <w:rFonts w:hint="eastAsia"/>
                      <w:szCs w:val="21"/>
                    </w:rPr>
                  </w:pPr>
                  <w:r>
                    <w:rPr>
                      <w:rFonts w:hint="eastAsia"/>
                      <w:szCs w:val="21"/>
                    </w:rPr>
                    <w:t>46.9</w:t>
                  </w:r>
                </w:p>
              </w:tc>
              <w:tc>
                <w:tcPr>
                  <w:tcW w:w="1571" w:type="dxa"/>
                  <w:vAlign w:val="center"/>
                </w:tcPr>
                <w:p>
                  <w:pPr>
                    <w:jc w:val="center"/>
                    <w:rPr>
                      <w:rFonts w:hint="eastAsia"/>
                      <w:szCs w:val="21"/>
                    </w:rPr>
                  </w:pPr>
                  <w:r>
                    <w:rPr>
                      <w:rFonts w:hint="eastAsia"/>
                      <w:szCs w:val="21"/>
                    </w:rPr>
                    <w:t>48.3</w:t>
                  </w:r>
                </w:p>
              </w:tc>
              <w:tc>
                <w:tcPr>
                  <w:tcW w:w="2043" w:type="dxa"/>
                  <w:vAlign w:val="center"/>
                </w:tcPr>
                <w:p>
                  <w:pPr>
                    <w:jc w:val="center"/>
                    <w:rPr>
                      <w:rFonts w:hint="eastAsia"/>
                      <w:szCs w:val="21"/>
                    </w:rPr>
                  </w:pPr>
                  <w:r>
                    <w:rPr>
                      <w:rFonts w:hint="eastAsia"/>
                      <w:szCs w:val="21"/>
                    </w:rPr>
                    <w:t>55.7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645" w:type="dxa"/>
                  <w:vAlign w:val="center"/>
                </w:tcPr>
                <w:p>
                  <w:pPr>
                    <w:jc w:val="center"/>
                    <w:rPr>
                      <w:rFonts w:hint="eastAsia"/>
                      <w:szCs w:val="21"/>
                    </w:rPr>
                  </w:pPr>
                  <w:r>
                    <w:rPr>
                      <w:rFonts w:hint="eastAsia"/>
                      <w:szCs w:val="21"/>
                    </w:rPr>
                    <w:t>09月12日（夜间）</w:t>
                  </w:r>
                </w:p>
              </w:tc>
              <w:tc>
                <w:tcPr>
                  <w:tcW w:w="1499" w:type="dxa"/>
                  <w:vAlign w:val="center"/>
                </w:tcPr>
                <w:p>
                  <w:pPr>
                    <w:jc w:val="center"/>
                    <w:rPr>
                      <w:rFonts w:hint="eastAsia"/>
                      <w:szCs w:val="21"/>
                    </w:rPr>
                  </w:pPr>
                  <w:r>
                    <w:rPr>
                      <w:rFonts w:hint="eastAsia"/>
                      <w:szCs w:val="21"/>
                    </w:rPr>
                    <w:t>41.3</w:t>
                  </w:r>
                </w:p>
              </w:tc>
              <w:tc>
                <w:tcPr>
                  <w:tcW w:w="1464" w:type="dxa"/>
                  <w:vAlign w:val="center"/>
                </w:tcPr>
                <w:p>
                  <w:pPr>
                    <w:jc w:val="center"/>
                    <w:rPr>
                      <w:rFonts w:hint="eastAsia"/>
                      <w:szCs w:val="21"/>
                    </w:rPr>
                  </w:pPr>
                  <w:r>
                    <w:rPr>
                      <w:rFonts w:hint="eastAsia"/>
                      <w:szCs w:val="21"/>
                    </w:rPr>
                    <w:t>40.6</w:t>
                  </w:r>
                </w:p>
              </w:tc>
              <w:tc>
                <w:tcPr>
                  <w:tcW w:w="1571" w:type="dxa"/>
                  <w:vAlign w:val="center"/>
                </w:tcPr>
                <w:p>
                  <w:pPr>
                    <w:jc w:val="center"/>
                    <w:rPr>
                      <w:rFonts w:hint="eastAsia"/>
                      <w:szCs w:val="21"/>
                    </w:rPr>
                  </w:pPr>
                  <w:r>
                    <w:rPr>
                      <w:rFonts w:hint="eastAsia"/>
                      <w:szCs w:val="21"/>
                    </w:rPr>
                    <w:t>42.5</w:t>
                  </w:r>
                </w:p>
              </w:tc>
              <w:tc>
                <w:tcPr>
                  <w:tcW w:w="2043" w:type="dxa"/>
                  <w:vAlign w:val="center"/>
                </w:tcPr>
                <w:p>
                  <w:pPr>
                    <w:jc w:val="center"/>
                    <w:rPr>
                      <w:rFonts w:hint="eastAsia"/>
                      <w:szCs w:val="21"/>
                    </w:rPr>
                  </w:pPr>
                  <w:r>
                    <w:rPr>
                      <w:rFonts w:hint="eastAsia"/>
                      <w:szCs w:val="21"/>
                    </w:rPr>
                    <w:t>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645" w:type="dxa"/>
                  <w:vAlign w:val="center"/>
                </w:tcPr>
                <w:p>
                  <w:pPr>
                    <w:jc w:val="center"/>
                    <w:rPr>
                      <w:rFonts w:hint="eastAsia"/>
                      <w:szCs w:val="21"/>
                    </w:rPr>
                  </w:pPr>
                  <w:r>
                    <w:rPr>
                      <w:rFonts w:hint="eastAsia"/>
                      <w:szCs w:val="21"/>
                    </w:rPr>
                    <w:t>09月13日（昼间）</w:t>
                  </w:r>
                </w:p>
              </w:tc>
              <w:tc>
                <w:tcPr>
                  <w:tcW w:w="1499" w:type="dxa"/>
                  <w:vAlign w:val="center"/>
                </w:tcPr>
                <w:p>
                  <w:pPr>
                    <w:jc w:val="center"/>
                    <w:rPr>
                      <w:rFonts w:hint="eastAsia"/>
                      <w:szCs w:val="21"/>
                    </w:rPr>
                  </w:pPr>
                  <w:r>
                    <w:rPr>
                      <w:rFonts w:hint="eastAsia"/>
                      <w:szCs w:val="21"/>
                    </w:rPr>
                    <w:t>48.2</w:t>
                  </w:r>
                </w:p>
              </w:tc>
              <w:tc>
                <w:tcPr>
                  <w:tcW w:w="1464" w:type="dxa"/>
                  <w:vAlign w:val="center"/>
                </w:tcPr>
                <w:p>
                  <w:pPr>
                    <w:jc w:val="center"/>
                    <w:rPr>
                      <w:rFonts w:hint="eastAsia"/>
                      <w:szCs w:val="21"/>
                    </w:rPr>
                  </w:pPr>
                  <w:r>
                    <w:rPr>
                      <w:rFonts w:hint="eastAsia"/>
                      <w:szCs w:val="21"/>
                    </w:rPr>
                    <w:t>47.3</w:t>
                  </w:r>
                </w:p>
              </w:tc>
              <w:tc>
                <w:tcPr>
                  <w:tcW w:w="1571" w:type="dxa"/>
                  <w:vAlign w:val="center"/>
                </w:tcPr>
                <w:p>
                  <w:pPr>
                    <w:jc w:val="center"/>
                    <w:rPr>
                      <w:rFonts w:hint="eastAsia"/>
                      <w:szCs w:val="21"/>
                    </w:rPr>
                  </w:pPr>
                  <w:r>
                    <w:rPr>
                      <w:rFonts w:hint="eastAsia"/>
                      <w:szCs w:val="21"/>
                    </w:rPr>
                    <w:t>48.2</w:t>
                  </w:r>
                </w:p>
              </w:tc>
              <w:tc>
                <w:tcPr>
                  <w:tcW w:w="2043" w:type="dxa"/>
                  <w:vAlign w:val="center"/>
                </w:tcPr>
                <w:p>
                  <w:pPr>
                    <w:jc w:val="center"/>
                    <w:rPr>
                      <w:rFonts w:hint="eastAsia"/>
                      <w:szCs w:val="21"/>
                    </w:rPr>
                  </w:pPr>
                  <w:r>
                    <w:rPr>
                      <w:rFonts w:hint="eastAsia"/>
                      <w:szCs w:val="21"/>
                    </w:rPr>
                    <w:t>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645" w:type="dxa"/>
                  <w:vAlign w:val="center"/>
                </w:tcPr>
                <w:p>
                  <w:pPr>
                    <w:jc w:val="center"/>
                    <w:rPr>
                      <w:rFonts w:hint="eastAsia"/>
                      <w:szCs w:val="21"/>
                    </w:rPr>
                  </w:pPr>
                  <w:r>
                    <w:rPr>
                      <w:rFonts w:hint="eastAsia"/>
                      <w:szCs w:val="21"/>
                    </w:rPr>
                    <w:t>09月13日（夜间）</w:t>
                  </w:r>
                </w:p>
              </w:tc>
              <w:tc>
                <w:tcPr>
                  <w:tcW w:w="1499" w:type="dxa"/>
                  <w:vAlign w:val="center"/>
                </w:tcPr>
                <w:p>
                  <w:pPr>
                    <w:jc w:val="center"/>
                    <w:rPr>
                      <w:rFonts w:hint="eastAsia"/>
                      <w:szCs w:val="21"/>
                    </w:rPr>
                  </w:pPr>
                  <w:r>
                    <w:rPr>
                      <w:rFonts w:hint="eastAsia"/>
                      <w:szCs w:val="21"/>
                    </w:rPr>
                    <w:t>41.5</w:t>
                  </w:r>
                </w:p>
              </w:tc>
              <w:tc>
                <w:tcPr>
                  <w:tcW w:w="1464" w:type="dxa"/>
                  <w:vAlign w:val="center"/>
                </w:tcPr>
                <w:p>
                  <w:pPr>
                    <w:jc w:val="center"/>
                    <w:rPr>
                      <w:rFonts w:hint="eastAsia"/>
                      <w:szCs w:val="21"/>
                    </w:rPr>
                  </w:pPr>
                  <w:r>
                    <w:rPr>
                      <w:rFonts w:hint="eastAsia"/>
                      <w:szCs w:val="21"/>
                    </w:rPr>
                    <w:t>40.7</w:t>
                  </w:r>
                </w:p>
              </w:tc>
              <w:tc>
                <w:tcPr>
                  <w:tcW w:w="1571" w:type="dxa"/>
                  <w:vAlign w:val="center"/>
                </w:tcPr>
                <w:p>
                  <w:pPr>
                    <w:jc w:val="center"/>
                    <w:rPr>
                      <w:rFonts w:hint="eastAsia"/>
                      <w:szCs w:val="21"/>
                    </w:rPr>
                  </w:pPr>
                  <w:r>
                    <w:rPr>
                      <w:rFonts w:hint="eastAsia"/>
                      <w:szCs w:val="21"/>
                    </w:rPr>
                    <w:t>42.7</w:t>
                  </w:r>
                </w:p>
              </w:tc>
              <w:tc>
                <w:tcPr>
                  <w:tcW w:w="2043" w:type="dxa"/>
                  <w:vAlign w:val="center"/>
                </w:tcPr>
                <w:p>
                  <w:pPr>
                    <w:jc w:val="center"/>
                    <w:rPr>
                      <w:rFonts w:hint="eastAsia"/>
                      <w:szCs w:val="21"/>
                    </w:rPr>
                  </w:pPr>
                  <w:r>
                    <w:rPr>
                      <w:rFonts w:hint="eastAsia"/>
                      <w:szCs w:val="21"/>
                    </w:rPr>
                    <w:t>48.2</w:t>
                  </w:r>
                </w:p>
              </w:tc>
            </w:tr>
          </w:tbl>
          <w:p>
            <w:pPr>
              <w:spacing w:line="360" w:lineRule="auto"/>
              <w:ind w:firstLine="480" w:firstLineChars="200"/>
              <w:rPr>
                <w:sz w:val="24"/>
              </w:rPr>
            </w:pPr>
            <w:r>
              <w:rPr>
                <w:rFonts w:hint="eastAsia"/>
                <w:color w:val="000000"/>
                <w:sz w:val="24"/>
              </w:rPr>
              <w:t>由上表可知，本项目</w:t>
            </w:r>
            <w:r>
              <w:rPr>
                <w:color w:val="000000"/>
                <w:sz w:val="24"/>
              </w:rPr>
              <w:t>厂区四周昼间噪声值在</w:t>
            </w:r>
            <w:r>
              <w:rPr>
                <w:rFonts w:hint="eastAsia"/>
                <w:color w:val="000000"/>
                <w:sz w:val="24"/>
              </w:rPr>
              <w:t>46.9</w:t>
            </w:r>
            <w:r>
              <w:rPr>
                <w:color w:val="000000"/>
                <w:sz w:val="24"/>
              </w:rPr>
              <w:t>～5</w:t>
            </w:r>
            <w:r>
              <w:rPr>
                <w:rFonts w:hint="eastAsia"/>
                <w:color w:val="000000"/>
                <w:sz w:val="24"/>
              </w:rPr>
              <w:t>5.7</w:t>
            </w:r>
            <w:r>
              <w:rPr>
                <w:color w:val="000000"/>
                <w:sz w:val="24"/>
              </w:rPr>
              <w:t>dB(A)之间，夜间噪声值在</w:t>
            </w:r>
            <w:r>
              <w:rPr>
                <w:rFonts w:hint="eastAsia"/>
                <w:color w:val="000000"/>
                <w:sz w:val="24"/>
              </w:rPr>
              <w:t>40.6</w:t>
            </w:r>
            <w:r>
              <w:rPr>
                <w:color w:val="000000"/>
                <w:sz w:val="24"/>
              </w:rPr>
              <w:t>～</w:t>
            </w:r>
            <w:r>
              <w:rPr>
                <w:rFonts w:hint="eastAsia"/>
                <w:color w:val="000000"/>
                <w:sz w:val="24"/>
              </w:rPr>
              <w:t>47.9d</w:t>
            </w:r>
            <w:r>
              <w:rPr>
                <w:color w:val="000000"/>
                <w:sz w:val="24"/>
              </w:rPr>
              <w:t>B(A)之间，满足《声环境质量标准》（GB3096-2008）</w:t>
            </w:r>
            <w:r>
              <w:rPr>
                <w:rFonts w:hint="eastAsia"/>
                <w:color w:val="000000"/>
                <w:sz w:val="24"/>
              </w:rPr>
              <w:t>2</w:t>
            </w:r>
            <w:r>
              <w:rPr>
                <w:color w:val="000000"/>
                <w:sz w:val="24"/>
              </w:rPr>
              <w:t>类标准</w:t>
            </w:r>
            <w:r>
              <w:rPr>
                <w:sz w:val="24"/>
              </w:rPr>
              <w:t>（昼间6</w:t>
            </w:r>
            <w:r>
              <w:rPr>
                <w:rFonts w:hint="eastAsia"/>
                <w:sz w:val="24"/>
              </w:rPr>
              <w:t>0</w:t>
            </w:r>
            <w:r>
              <w:rPr>
                <w:sz w:val="24"/>
              </w:rPr>
              <w:t>dB(A)，夜间5</w:t>
            </w:r>
            <w:r>
              <w:rPr>
                <w:rFonts w:hint="eastAsia"/>
                <w:sz w:val="24"/>
              </w:rPr>
              <w:t>0</w:t>
            </w:r>
            <w:r>
              <w:rPr>
                <w:sz w:val="24"/>
              </w:rPr>
              <w:t>dB(A)）。</w:t>
            </w:r>
          </w:p>
          <w:p>
            <w:pPr>
              <w:spacing w:line="500" w:lineRule="exact"/>
              <w:ind w:firstLine="482" w:firstLineChars="200"/>
              <w:rPr>
                <w:rFonts w:hint="eastAsia"/>
                <w:b/>
                <w:bCs/>
                <w:sz w:val="24"/>
              </w:rPr>
            </w:pPr>
            <w:r>
              <w:rPr>
                <w:rFonts w:hint="eastAsia"/>
                <w:b/>
                <w:bCs/>
                <w:sz w:val="24"/>
              </w:rPr>
              <w:t>4、生态环境</w:t>
            </w:r>
          </w:p>
          <w:p>
            <w:pPr>
              <w:spacing w:line="500" w:lineRule="exact"/>
              <w:ind w:firstLine="480" w:firstLineChars="200"/>
              <w:rPr>
                <w:color w:val="000000"/>
                <w:sz w:val="24"/>
              </w:rPr>
            </w:pPr>
            <w:r>
              <w:rPr>
                <w:rFonts w:hint="eastAsia"/>
                <w:sz w:val="24"/>
              </w:rPr>
              <w:t>由于长期人为活动和自然条件的影响，区域天然植被几乎无残存，区域内无珍稀动物存在，附近无自然生态保护区。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9468" w:type="dxa"/>
            <w:vAlign w:val="top"/>
          </w:tcPr>
          <w:p>
            <w:pPr>
              <w:spacing w:line="360" w:lineRule="auto"/>
              <w:rPr>
                <w:rFonts w:hint="eastAsia"/>
                <w:sz w:val="24"/>
              </w:rPr>
            </w:pPr>
            <w:r>
              <w:rPr>
                <w:rFonts w:hint="eastAsia"/>
                <w:sz w:val="24"/>
              </w:rPr>
              <w:t>主要环境保护目标(列出名单及保护级别)：</w:t>
            </w:r>
          </w:p>
          <w:p>
            <w:pPr>
              <w:spacing w:line="360" w:lineRule="auto"/>
              <w:ind w:firstLine="480" w:firstLineChars="200"/>
              <w:rPr>
                <w:rFonts w:hint="eastAsia"/>
                <w:sz w:val="24"/>
              </w:rPr>
            </w:pPr>
            <w:r>
              <w:rPr>
                <w:rFonts w:hint="eastAsia"/>
                <w:sz w:val="24"/>
              </w:rPr>
              <w:t>根据现场调查，评价范围内未发现自然保护区、水源保护区、珍稀动植物保护物种，噪声评价范围为建设项目边界向外200m范围内，噪声评价范围内</w:t>
            </w:r>
            <w:r>
              <w:rPr>
                <w:sz w:val="24"/>
              </w:rPr>
              <w:t>无环境敏感点</w:t>
            </w:r>
            <w:r>
              <w:rPr>
                <w:rFonts w:hint="eastAsia"/>
                <w:sz w:val="24"/>
              </w:rPr>
              <w:t>，大气评价范围为建设项目周边2.5km范围内。项目主要环境保护目标见下表。</w:t>
            </w:r>
          </w:p>
          <w:p>
            <w:pPr>
              <w:spacing w:line="600" w:lineRule="exact"/>
              <w:jc w:val="center"/>
              <w:rPr>
                <w:b/>
                <w:bCs/>
              </w:rPr>
            </w:pPr>
            <w:r>
              <w:rPr>
                <w:b/>
                <w:bCs/>
              </w:rPr>
              <w:t>表1</w:t>
            </w:r>
            <w:r>
              <w:rPr>
                <w:rFonts w:hint="eastAsia"/>
                <w:b/>
                <w:bCs/>
              </w:rPr>
              <w:t>2</w:t>
            </w:r>
            <w:r>
              <w:rPr>
                <w:b/>
                <w:bCs/>
              </w:rPr>
              <w:t xml:space="preserve">   主要环境保护目标一览表</w:t>
            </w:r>
          </w:p>
          <w:tbl>
            <w:tblPr>
              <w:tblStyle w:val="28"/>
              <w:tblW w:w="88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2267"/>
              <w:gridCol w:w="1283"/>
              <w:gridCol w:w="1285"/>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32" w:type="dxa"/>
                  <w:vAlign w:val="center"/>
                </w:tcPr>
                <w:p>
                  <w:pPr>
                    <w:jc w:val="center"/>
                  </w:pPr>
                  <w:r>
                    <w:t>环境介质</w:t>
                  </w:r>
                </w:p>
              </w:tc>
              <w:tc>
                <w:tcPr>
                  <w:tcW w:w="2267" w:type="dxa"/>
                  <w:vAlign w:val="center"/>
                </w:tcPr>
                <w:p>
                  <w:pPr>
                    <w:jc w:val="center"/>
                  </w:pPr>
                  <w:r>
                    <w:t>保护目标</w:t>
                  </w:r>
                </w:p>
              </w:tc>
              <w:tc>
                <w:tcPr>
                  <w:tcW w:w="1283" w:type="dxa"/>
                  <w:vAlign w:val="center"/>
                </w:tcPr>
                <w:p>
                  <w:pPr>
                    <w:jc w:val="center"/>
                  </w:pPr>
                  <w:r>
                    <w:t>相对方位</w:t>
                  </w:r>
                </w:p>
              </w:tc>
              <w:tc>
                <w:tcPr>
                  <w:tcW w:w="1285" w:type="dxa"/>
                  <w:vAlign w:val="center"/>
                </w:tcPr>
                <w:p>
                  <w:pPr>
                    <w:jc w:val="center"/>
                  </w:pPr>
                  <w:r>
                    <w:t>相对距离</w:t>
                  </w:r>
                </w:p>
              </w:tc>
              <w:tc>
                <w:tcPr>
                  <w:tcW w:w="2550" w:type="dxa"/>
                  <w:vAlign w:val="center"/>
                </w:tcPr>
                <w:p>
                  <w:pPr>
                    <w:jc w:val="center"/>
                  </w:pPr>
                  <w: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vMerge w:val="restart"/>
                  <w:vAlign w:val="center"/>
                </w:tcPr>
                <w:p>
                  <w:pPr>
                    <w:jc w:val="center"/>
                  </w:pPr>
                  <w:r>
                    <w:t>环境空气</w:t>
                  </w:r>
                </w:p>
              </w:tc>
              <w:tc>
                <w:tcPr>
                  <w:tcW w:w="2267" w:type="dxa"/>
                  <w:vAlign w:val="center"/>
                </w:tcPr>
                <w:p>
                  <w:pPr>
                    <w:jc w:val="center"/>
                    <w:rPr>
                      <w:rFonts w:hint="eastAsia"/>
                    </w:rPr>
                  </w:pPr>
                  <w:r>
                    <w:rPr>
                      <w:rFonts w:hint="eastAsia"/>
                    </w:rPr>
                    <w:t>后赵村</w:t>
                  </w:r>
                </w:p>
              </w:tc>
              <w:tc>
                <w:tcPr>
                  <w:tcW w:w="1283" w:type="dxa"/>
                  <w:vAlign w:val="center"/>
                </w:tcPr>
                <w:p>
                  <w:pPr>
                    <w:jc w:val="center"/>
                  </w:pPr>
                  <w:r>
                    <w:t>N</w:t>
                  </w:r>
                </w:p>
              </w:tc>
              <w:tc>
                <w:tcPr>
                  <w:tcW w:w="1285" w:type="dxa"/>
                  <w:vAlign w:val="center"/>
                </w:tcPr>
                <w:p>
                  <w:pPr>
                    <w:jc w:val="center"/>
                  </w:pPr>
                  <w:r>
                    <w:rPr>
                      <w:rFonts w:hint="eastAsia"/>
                    </w:rPr>
                    <w:t>1169</w:t>
                  </w:r>
                  <w:r>
                    <w:t>m</w:t>
                  </w:r>
                </w:p>
              </w:tc>
              <w:tc>
                <w:tcPr>
                  <w:tcW w:w="2550" w:type="dxa"/>
                  <w:vMerge w:val="restart"/>
                  <w:vAlign w:val="center"/>
                </w:tcPr>
                <w:p>
                  <w:pPr>
                    <w:jc w:val="center"/>
                  </w:pPr>
                  <w:r>
                    <w:t>《环境空气质量标准》</w:t>
                  </w:r>
                </w:p>
                <w:p>
                  <w:pPr>
                    <w:jc w:val="center"/>
                  </w:pPr>
                  <w:r>
                    <w:t>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vMerge w:val="continue"/>
                  <w:vAlign w:val="center"/>
                </w:tcPr>
                <w:p>
                  <w:pPr>
                    <w:jc w:val="center"/>
                  </w:pPr>
                </w:p>
              </w:tc>
              <w:tc>
                <w:tcPr>
                  <w:tcW w:w="2267" w:type="dxa"/>
                  <w:vAlign w:val="center"/>
                </w:tcPr>
                <w:p>
                  <w:pPr>
                    <w:jc w:val="center"/>
                    <w:rPr>
                      <w:rFonts w:hint="eastAsia"/>
                    </w:rPr>
                  </w:pPr>
                  <w:r>
                    <w:rPr>
                      <w:rFonts w:hint="eastAsia"/>
                    </w:rPr>
                    <w:t>高家庄村</w:t>
                  </w:r>
                </w:p>
              </w:tc>
              <w:tc>
                <w:tcPr>
                  <w:tcW w:w="1283" w:type="dxa"/>
                  <w:vAlign w:val="center"/>
                </w:tcPr>
                <w:p>
                  <w:pPr>
                    <w:jc w:val="center"/>
                  </w:pPr>
                  <w:r>
                    <w:t>N</w:t>
                  </w:r>
                </w:p>
              </w:tc>
              <w:tc>
                <w:tcPr>
                  <w:tcW w:w="1285" w:type="dxa"/>
                  <w:vAlign w:val="center"/>
                </w:tcPr>
                <w:p>
                  <w:pPr>
                    <w:jc w:val="center"/>
                  </w:pPr>
                  <w:r>
                    <w:rPr>
                      <w:rFonts w:hint="eastAsia"/>
                    </w:rPr>
                    <w:t>2111</w:t>
                  </w:r>
                  <w:r>
                    <w:t>m</w:t>
                  </w:r>
                </w:p>
              </w:tc>
              <w:tc>
                <w:tcPr>
                  <w:tcW w:w="2550"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vMerge w:val="continue"/>
                  <w:vAlign w:val="center"/>
                </w:tcPr>
                <w:p>
                  <w:pPr>
                    <w:jc w:val="center"/>
                  </w:pPr>
                </w:p>
              </w:tc>
              <w:tc>
                <w:tcPr>
                  <w:tcW w:w="2267" w:type="dxa"/>
                  <w:vAlign w:val="center"/>
                </w:tcPr>
                <w:p>
                  <w:pPr>
                    <w:jc w:val="center"/>
                  </w:pPr>
                  <w:r>
                    <w:rPr>
                      <w:rFonts w:hint="eastAsia"/>
                    </w:rPr>
                    <w:t>小果园村</w:t>
                  </w:r>
                </w:p>
              </w:tc>
              <w:tc>
                <w:tcPr>
                  <w:tcW w:w="1283" w:type="dxa"/>
                  <w:vAlign w:val="center"/>
                </w:tcPr>
                <w:p>
                  <w:pPr>
                    <w:jc w:val="center"/>
                  </w:pPr>
                  <w:r>
                    <w:t>N</w:t>
                  </w:r>
                </w:p>
              </w:tc>
              <w:tc>
                <w:tcPr>
                  <w:tcW w:w="1285" w:type="dxa"/>
                  <w:vAlign w:val="center"/>
                </w:tcPr>
                <w:p>
                  <w:pPr>
                    <w:jc w:val="center"/>
                  </w:pPr>
                  <w:r>
                    <w:rPr>
                      <w:rFonts w:hint="eastAsia"/>
                    </w:rPr>
                    <w:t>800</w:t>
                  </w:r>
                  <w:r>
                    <w:t>m</w:t>
                  </w:r>
                </w:p>
              </w:tc>
              <w:tc>
                <w:tcPr>
                  <w:tcW w:w="2550"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vMerge w:val="continue"/>
                  <w:vAlign w:val="center"/>
                </w:tcPr>
                <w:p>
                  <w:pPr>
                    <w:jc w:val="center"/>
                  </w:pPr>
                </w:p>
              </w:tc>
              <w:tc>
                <w:tcPr>
                  <w:tcW w:w="2267" w:type="dxa"/>
                  <w:vAlign w:val="center"/>
                </w:tcPr>
                <w:p>
                  <w:pPr>
                    <w:jc w:val="center"/>
                    <w:rPr>
                      <w:rFonts w:hint="eastAsia"/>
                    </w:rPr>
                  </w:pPr>
                  <w:r>
                    <w:rPr>
                      <w:rFonts w:hint="eastAsia"/>
                    </w:rPr>
                    <w:t>慈周寨乡慈二村</w:t>
                  </w:r>
                </w:p>
              </w:tc>
              <w:tc>
                <w:tcPr>
                  <w:tcW w:w="1283" w:type="dxa"/>
                  <w:vAlign w:val="center"/>
                </w:tcPr>
                <w:p>
                  <w:pPr>
                    <w:jc w:val="center"/>
                  </w:pPr>
                  <w:r>
                    <w:t>N</w:t>
                  </w:r>
                  <w:r>
                    <w:rPr>
                      <w:rFonts w:hint="eastAsia"/>
                    </w:rPr>
                    <w:t>W</w:t>
                  </w:r>
                </w:p>
              </w:tc>
              <w:tc>
                <w:tcPr>
                  <w:tcW w:w="1285" w:type="dxa"/>
                  <w:vAlign w:val="center"/>
                </w:tcPr>
                <w:p>
                  <w:pPr>
                    <w:jc w:val="center"/>
                  </w:pPr>
                  <w:r>
                    <w:rPr>
                      <w:rFonts w:hint="eastAsia"/>
                    </w:rPr>
                    <w:t>1136</w:t>
                  </w:r>
                  <w:r>
                    <w:t>m</w:t>
                  </w:r>
                </w:p>
              </w:tc>
              <w:tc>
                <w:tcPr>
                  <w:tcW w:w="2550"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vMerge w:val="continue"/>
                  <w:vAlign w:val="center"/>
                </w:tcPr>
                <w:p>
                  <w:pPr>
                    <w:jc w:val="center"/>
                  </w:pPr>
                </w:p>
              </w:tc>
              <w:tc>
                <w:tcPr>
                  <w:tcW w:w="2267" w:type="dxa"/>
                  <w:vAlign w:val="center"/>
                </w:tcPr>
                <w:p>
                  <w:pPr>
                    <w:jc w:val="center"/>
                  </w:pPr>
                  <w:r>
                    <w:rPr>
                      <w:rFonts w:hint="eastAsia"/>
                    </w:rPr>
                    <w:t>慈周寨乡慈一村</w:t>
                  </w:r>
                </w:p>
              </w:tc>
              <w:tc>
                <w:tcPr>
                  <w:tcW w:w="1283" w:type="dxa"/>
                  <w:vAlign w:val="center"/>
                </w:tcPr>
                <w:p>
                  <w:pPr>
                    <w:jc w:val="center"/>
                  </w:pPr>
                  <w:r>
                    <w:t>N</w:t>
                  </w:r>
                  <w:r>
                    <w:rPr>
                      <w:rFonts w:hint="eastAsia"/>
                    </w:rPr>
                    <w:t>W</w:t>
                  </w:r>
                </w:p>
              </w:tc>
              <w:tc>
                <w:tcPr>
                  <w:tcW w:w="1285" w:type="dxa"/>
                  <w:vAlign w:val="center"/>
                </w:tcPr>
                <w:p>
                  <w:pPr>
                    <w:jc w:val="center"/>
                  </w:pPr>
                  <w:r>
                    <w:rPr>
                      <w:rFonts w:hint="eastAsia"/>
                    </w:rPr>
                    <w:t>437</w:t>
                  </w:r>
                  <w:r>
                    <w:t>m</w:t>
                  </w:r>
                </w:p>
              </w:tc>
              <w:tc>
                <w:tcPr>
                  <w:tcW w:w="2550"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vMerge w:val="continue"/>
                  <w:vAlign w:val="center"/>
                </w:tcPr>
                <w:p>
                  <w:pPr>
                    <w:jc w:val="center"/>
                  </w:pPr>
                </w:p>
              </w:tc>
              <w:tc>
                <w:tcPr>
                  <w:tcW w:w="2267" w:type="dxa"/>
                  <w:vAlign w:val="center"/>
                </w:tcPr>
                <w:p>
                  <w:pPr>
                    <w:jc w:val="center"/>
                    <w:rPr>
                      <w:rFonts w:hint="eastAsia"/>
                    </w:rPr>
                  </w:pPr>
                  <w:r>
                    <w:rPr>
                      <w:rFonts w:hint="eastAsia"/>
                    </w:rPr>
                    <w:t>方易寨村</w:t>
                  </w:r>
                </w:p>
              </w:tc>
              <w:tc>
                <w:tcPr>
                  <w:tcW w:w="1283" w:type="dxa"/>
                  <w:vAlign w:val="center"/>
                </w:tcPr>
                <w:p>
                  <w:pPr>
                    <w:jc w:val="center"/>
                  </w:pPr>
                  <w:r>
                    <w:t>E</w:t>
                  </w:r>
                </w:p>
              </w:tc>
              <w:tc>
                <w:tcPr>
                  <w:tcW w:w="1285" w:type="dxa"/>
                  <w:vAlign w:val="center"/>
                </w:tcPr>
                <w:p>
                  <w:pPr>
                    <w:jc w:val="center"/>
                  </w:pPr>
                  <w:r>
                    <w:t>17</w:t>
                  </w:r>
                  <w:r>
                    <w:rPr>
                      <w:rFonts w:hint="eastAsia"/>
                    </w:rPr>
                    <w:t>79</w:t>
                  </w:r>
                  <w:r>
                    <w:t>m</w:t>
                  </w:r>
                </w:p>
              </w:tc>
              <w:tc>
                <w:tcPr>
                  <w:tcW w:w="2550"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432" w:type="dxa"/>
                  <w:vMerge w:val="continue"/>
                  <w:vAlign w:val="center"/>
                </w:tcPr>
                <w:p>
                  <w:pPr>
                    <w:jc w:val="center"/>
                  </w:pPr>
                </w:p>
              </w:tc>
              <w:tc>
                <w:tcPr>
                  <w:tcW w:w="2267" w:type="dxa"/>
                  <w:vAlign w:val="center"/>
                </w:tcPr>
                <w:p>
                  <w:pPr>
                    <w:jc w:val="center"/>
                  </w:pPr>
                  <w:r>
                    <w:rPr>
                      <w:rFonts w:hint="eastAsia"/>
                    </w:rPr>
                    <w:t>林头第一村</w:t>
                  </w:r>
                </w:p>
              </w:tc>
              <w:tc>
                <w:tcPr>
                  <w:tcW w:w="1283" w:type="dxa"/>
                  <w:vAlign w:val="center"/>
                </w:tcPr>
                <w:p>
                  <w:pPr>
                    <w:jc w:val="center"/>
                  </w:pPr>
                  <w:r>
                    <w:rPr>
                      <w:rFonts w:hint="eastAsia"/>
                    </w:rPr>
                    <w:t>E</w:t>
                  </w:r>
                </w:p>
              </w:tc>
              <w:tc>
                <w:tcPr>
                  <w:tcW w:w="1285" w:type="dxa"/>
                  <w:vAlign w:val="center"/>
                </w:tcPr>
                <w:p>
                  <w:pPr>
                    <w:jc w:val="center"/>
                  </w:pPr>
                  <w:r>
                    <w:rPr>
                      <w:rFonts w:hint="eastAsia"/>
                    </w:rPr>
                    <w:t>1613</w:t>
                  </w:r>
                  <w:r>
                    <w:t>m</w:t>
                  </w:r>
                </w:p>
              </w:tc>
              <w:tc>
                <w:tcPr>
                  <w:tcW w:w="2550"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432" w:type="dxa"/>
                  <w:vMerge w:val="continue"/>
                  <w:vAlign w:val="center"/>
                </w:tcPr>
                <w:p>
                  <w:pPr>
                    <w:jc w:val="center"/>
                  </w:pPr>
                </w:p>
              </w:tc>
              <w:tc>
                <w:tcPr>
                  <w:tcW w:w="2267" w:type="dxa"/>
                  <w:vAlign w:val="center"/>
                </w:tcPr>
                <w:p>
                  <w:pPr>
                    <w:jc w:val="center"/>
                    <w:rPr>
                      <w:rFonts w:hint="eastAsia"/>
                    </w:rPr>
                  </w:pPr>
                  <w:r>
                    <w:rPr>
                      <w:rFonts w:hint="eastAsia"/>
                    </w:rPr>
                    <w:t>朱关娘寨村</w:t>
                  </w:r>
                </w:p>
              </w:tc>
              <w:tc>
                <w:tcPr>
                  <w:tcW w:w="1283" w:type="dxa"/>
                  <w:vAlign w:val="center"/>
                </w:tcPr>
                <w:p>
                  <w:pPr>
                    <w:jc w:val="center"/>
                    <w:rPr>
                      <w:rFonts w:hint="eastAsia"/>
                    </w:rPr>
                  </w:pPr>
                  <w:r>
                    <w:rPr>
                      <w:rFonts w:hint="eastAsia"/>
                    </w:rPr>
                    <w:t>SE</w:t>
                  </w:r>
                </w:p>
              </w:tc>
              <w:tc>
                <w:tcPr>
                  <w:tcW w:w="1285" w:type="dxa"/>
                  <w:vAlign w:val="center"/>
                </w:tcPr>
                <w:p>
                  <w:pPr>
                    <w:jc w:val="center"/>
                    <w:rPr>
                      <w:rFonts w:hint="eastAsia"/>
                    </w:rPr>
                  </w:pPr>
                  <w:r>
                    <w:rPr>
                      <w:rFonts w:hint="eastAsia"/>
                    </w:rPr>
                    <w:t>1210m</w:t>
                  </w:r>
                </w:p>
              </w:tc>
              <w:tc>
                <w:tcPr>
                  <w:tcW w:w="2550" w:type="dxa"/>
                  <w:vMerge w:val="continue"/>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1432" w:type="dxa"/>
                  <w:vMerge w:val="continue"/>
                  <w:vAlign w:val="center"/>
                </w:tcPr>
                <w:p>
                  <w:pPr>
                    <w:jc w:val="center"/>
                    <w:rPr>
                      <w:rFonts w:hint="eastAsia"/>
                    </w:rPr>
                  </w:pPr>
                </w:p>
              </w:tc>
              <w:tc>
                <w:tcPr>
                  <w:tcW w:w="2267" w:type="dxa"/>
                  <w:vAlign w:val="center"/>
                </w:tcPr>
                <w:p>
                  <w:pPr>
                    <w:jc w:val="center"/>
                    <w:rPr>
                      <w:rFonts w:hint="eastAsia"/>
                    </w:rPr>
                  </w:pPr>
                  <w:r>
                    <w:rPr>
                      <w:rFonts w:hint="eastAsia"/>
                    </w:rPr>
                    <w:t>吴娘寨村</w:t>
                  </w:r>
                </w:p>
              </w:tc>
              <w:tc>
                <w:tcPr>
                  <w:tcW w:w="1283" w:type="dxa"/>
                  <w:vAlign w:val="center"/>
                </w:tcPr>
                <w:p>
                  <w:pPr>
                    <w:jc w:val="center"/>
                    <w:rPr>
                      <w:rFonts w:hint="eastAsia"/>
                    </w:rPr>
                  </w:pPr>
                  <w:r>
                    <w:rPr>
                      <w:rFonts w:hint="eastAsia"/>
                    </w:rPr>
                    <w:t>SE</w:t>
                  </w:r>
                </w:p>
              </w:tc>
              <w:tc>
                <w:tcPr>
                  <w:tcW w:w="1285" w:type="dxa"/>
                  <w:vAlign w:val="center"/>
                </w:tcPr>
                <w:p>
                  <w:pPr>
                    <w:rPr>
                      <w:rFonts w:hint="eastAsia"/>
                    </w:rPr>
                  </w:pPr>
                  <w:r>
                    <w:rPr>
                      <w:rFonts w:hint="eastAsia"/>
                    </w:rPr>
                    <w:t xml:space="preserve">   673m</w:t>
                  </w:r>
                </w:p>
              </w:tc>
              <w:tc>
                <w:tcPr>
                  <w:tcW w:w="2550" w:type="dxa"/>
                  <w:vMerge w:val="continue"/>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432" w:type="dxa"/>
                  <w:vMerge w:val="continue"/>
                  <w:vAlign w:val="center"/>
                </w:tcPr>
                <w:p>
                  <w:pPr>
                    <w:jc w:val="center"/>
                    <w:rPr>
                      <w:rFonts w:hint="eastAsia"/>
                    </w:rPr>
                  </w:pPr>
                </w:p>
              </w:tc>
              <w:tc>
                <w:tcPr>
                  <w:tcW w:w="2267" w:type="dxa"/>
                  <w:vAlign w:val="center"/>
                </w:tcPr>
                <w:p>
                  <w:pPr>
                    <w:jc w:val="center"/>
                    <w:rPr>
                      <w:rFonts w:hint="eastAsia"/>
                    </w:rPr>
                  </w:pPr>
                  <w:r>
                    <w:rPr>
                      <w:rFonts w:hint="eastAsia"/>
                    </w:rPr>
                    <w:t>尚寨村</w:t>
                  </w:r>
                </w:p>
              </w:tc>
              <w:tc>
                <w:tcPr>
                  <w:tcW w:w="1283" w:type="dxa"/>
                  <w:vAlign w:val="center"/>
                </w:tcPr>
                <w:p>
                  <w:pPr>
                    <w:jc w:val="center"/>
                    <w:rPr>
                      <w:rFonts w:hint="eastAsia"/>
                    </w:rPr>
                  </w:pPr>
                  <w:r>
                    <w:rPr>
                      <w:rFonts w:hint="eastAsia"/>
                    </w:rPr>
                    <w:t>SW</w:t>
                  </w:r>
                </w:p>
              </w:tc>
              <w:tc>
                <w:tcPr>
                  <w:tcW w:w="1285" w:type="dxa"/>
                  <w:vAlign w:val="center"/>
                </w:tcPr>
                <w:p>
                  <w:pPr>
                    <w:jc w:val="center"/>
                    <w:rPr>
                      <w:rFonts w:hint="eastAsia"/>
                    </w:rPr>
                  </w:pPr>
                  <w:r>
                    <w:rPr>
                      <w:rFonts w:hint="eastAsia"/>
                    </w:rPr>
                    <w:t>1392m</w:t>
                  </w:r>
                </w:p>
              </w:tc>
              <w:tc>
                <w:tcPr>
                  <w:tcW w:w="2550" w:type="dxa"/>
                  <w:vMerge w:val="continue"/>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432" w:type="dxa"/>
                  <w:vMerge w:val="continue"/>
                  <w:vAlign w:val="center"/>
                </w:tcPr>
                <w:p>
                  <w:pPr>
                    <w:jc w:val="center"/>
                    <w:rPr>
                      <w:rFonts w:hint="eastAsia"/>
                    </w:rPr>
                  </w:pPr>
                </w:p>
              </w:tc>
              <w:tc>
                <w:tcPr>
                  <w:tcW w:w="2267" w:type="dxa"/>
                  <w:vAlign w:val="center"/>
                </w:tcPr>
                <w:p>
                  <w:pPr>
                    <w:jc w:val="center"/>
                    <w:rPr>
                      <w:rFonts w:hint="eastAsia"/>
                    </w:rPr>
                  </w:pPr>
                  <w:r>
                    <w:rPr>
                      <w:rFonts w:hint="eastAsia"/>
                    </w:rPr>
                    <w:t>郭屯村</w:t>
                  </w:r>
                </w:p>
              </w:tc>
              <w:tc>
                <w:tcPr>
                  <w:tcW w:w="1283" w:type="dxa"/>
                  <w:vAlign w:val="center"/>
                </w:tcPr>
                <w:p>
                  <w:pPr>
                    <w:jc w:val="center"/>
                    <w:rPr>
                      <w:rFonts w:hint="eastAsia"/>
                    </w:rPr>
                  </w:pPr>
                  <w:r>
                    <w:rPr>
                      <w:rFonts w:hint="eastAsia"/>
                    </w:rPr>
                    <w:t>SW</w:t>
                  </w:r>
                </w:p>
              </w:tc>
              <w:tc>
                <w:tcPr>
                  <w:tcW w:w="1285" w:type="dxa"/>
                  <w:vAlign w:val="center"/>
                </w:tcPr>
                <w:p>
                  <w:pPr>
                    <w:jc w:val="center"/>
                    <w:rPr>
                      <w:rFonts w:hint="eastAsia"/>
                    </w:rPr>
                  </w:pPr>
                  <w:r>
                    <w:rPr>
                      <w:rFonts w:hint="eastAsia"/>
                    </w:rPr>
                    <w:t>2197m</w:t>
                  </w:r>
                </w:p>
              </w:tc>
              <w:tc>
                <w:tcPr>
                  <w:tcW w:w="2550" w:type="dxa"/>
                  <w:vMerge w:val="continue"/>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vAlign w:val="center"/>
                </w:tcPr>
                <w:p>
                  <w:pPr>
                    <w:jc w:val="center"/>
                  </w:pPr>
                  <w:r>
                    <w:t>地表水环境</w:t>
                  </w:r>
                </w:p>
              </w:tc>
              <w:tc>
                <w:tcPr>
                  <w:tcW w:w="2267" w:type="dxa"/>
                  <w:vAlign w:val="center"/>
                </w:tcPr>
                <w:p>
                  <w:pPr>
                    <w:jc w:val="center"/>
                  </w:pPr>
                  <w:r>
                    <w:rPr>
                      <w:rFonts w:hint="eastAsia"/>
                    </w:rPr>
                    <w:t>柳青</w:t>
                  </w:r>
                  <w:r>
                    <w:t>河</w:t>
                  </w:r>
                </w:p>
              </w:tc>
              <w:tc>
                <w:tcPr>
                  <w:tcW w:w="1283" w:type="dxa"/>
                  <w:vAlign w:val="center"/>
                </w:tcPr>
                <w:p>
                  <w:pPr>
                    <w:jc w:val="center"/>
                  </w:pPr>
                  <w:r>
                    <w:t>E</w:t>
                  </w:r>
                </w:p>
              </w:tc>
              <w:tc>
                <w:tcPr>
                  <w:tcW w:w="1285" w:type="dxa"/>
                  <w:vAlign w:val="center"/>
                </w:tcPr>
                <w:p>
                  <w:pPr>
                    <w:jc w:val="center"/>
                  </w:pPr>
                  <w:r>
                    <w:rPr>
                      <w:rFonts w:hint="eastAsia"/>
                    </w:rPr>
                    <w:t>278</w:t>
                  </w:r>
                  <w:r>
                    <w:t>m</w:t>
                  </w:r>
                </w:p>
              </w:tc>
              <w:tc>
                <w:tcPr>
                  <w:tcW w:w="2550" w:type="dxa"/>
                  <w:vAlign w:val="center"/>
                </w:tcPr>
                <w:p>
                  <w:pPr>
                    <w:jc w:val="center"/>
                  </w:pPr>
                  <w:r>
                    <w:t>《地表水环境质量标准》</w:t>
                  </w:r>
                </w:p>
                <w:p>
                  <w:pPr>
                    <w:jc w:val="center"/>
                  </w:pPr>
                  <w:r>
                    <w:t>GB3838-2002Ⅴ类</w:t>
                  </w:r>
                </w:p>
              </w:tc>
            </w:tr>
          </w:tbl>
          <w:p/>
          <w:p/>
          <w:p>
            <w:pPr>
              <w:pStyle w:val="2"/>
              <w:rPr>
                <w:rFonts w:hint="eastAsia"/>
              </w:rPr>
            </w:pPr>
          </w:p>
        </w:tc>
      </w:tr>
    </w:tbl>
    <w:p>
      <w:pPr>
        <w:spacing w:line="360" w:lineRule="auto"/>
        <w:outlineLvl w:val="0"/>
        <w:rPr>
          <w:b/>
          <w:sz w:val="28"/>
          <w:szCs w:val="28"/>
        </w:rPr>
      </w:pPr>
      <w:r>
        <w:rPr>
          <w:b/>
          <w:sz w:val="30"/>
        </w:rPr>
        <w:br w:type="page"/>
      </w:r>
      <w:r>
        <w:rPr>
          <w:b/>
          <w:sz w:val="24"/>
        </w:rPr>
        <w:t>评价适用标准</w:t>
      </w:r>
    </w:p>
    <w:tbl>
      <w:tblPr>
        <w:tblStyle w:val="28"/>
        <w:tblW w:w="928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3"/>
        <w:gridCol w:w="84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43" w:hRule="atLeast"/>
          <w:jc w:val="center"/>
        </w:trPr>
        <w:tc>
          <w:tcPr>
            <w:tcW w:w="843" w:type="dxa"/>
            <w:vAlign w:val="center"/>
          </w:tcPr>
          <w:p>
            <w:pPr>
              <w:spacing w:line="360" w:lineRule="auto"/>
              <w:jc w:val="center"/>
              <w:rPr>
                <w:sz w:val="24"/>
              </w:rPr>
            </w:pPr>
            <w:r>
              <w:rPr>
                <w:sz w:val="24"/>
              </w:rPr>
              <w:t>环</w:t>
            </w:r>
          </w:p>
          <w:p>
            <w:pPr>
              <w:spacing w:line="360" w:lineRule="auto"/>
              <w:jc w:val="center"/>
              <w:rPr>
                <w:sz w:val="24"/>
              </w:rPr>
            </w:pPr>
            <w:r>
              <w:rPr>
                <w:sz w:val="24"/>
              </w:rPr>
              <w:t>境</w:t>
            </w:r>
          </w:p>
          <w:p>
            <w:pPr>
              <w:spacing w:line="360" w:lineRule="auto"/>
              <w:jc w:val="center"/>
              <w:rPr>
                <w:sz w:val="24"/>
              </w:rPr>
            </w:pPr>
            <w:r>
              <w:rPr>
                <w:sz w:val="24"/>
              </w:rPr>
              <w:t>质</w:t>
            </w:r>
          </w:p>
          <w:p>
            <w:pPr>
              <w:spacing w:line="360" w:lineRule="auto"/>
              <w:jc w:val="center"/>
              <w:rPr>
                <w:sz w:val="24"/>
              </w:rPr>
            </w:pPr>
            <w:r>
              <w:rPr>
                <w:sz w:val="24"/>
              </w:rPr>
              <w:t>量</w:t>
            </w:r>
          </w:p>
          <w:p>
            <w:pPr>
              <w:spacing w:line="360" w:lineRule="auto"/>
              <w:jc w:val="center"/>
              <w:rPr>
                <w:sz w:val="24"/>
              </w:rPr>
            </w:pPr>
            <w:r>
              <w:rPr>
                <w:sz w:val="24"/>
              </w:rPr>
              <w:t>标</w:t>
            </w:r>
          </w:p>
          <w:p>
            <w:pPr>
              <w:spacing w:line="360" w:lineRule="auto"/>
              <w:jc w:val="center"/>
              <w:rPr>
                <w:sz w:val="24"/>
              </w:rPr>
            </w:pPr>
            <w:r>
              <w:rPr>
                <w:sz w:val="24"/>
              </w:rPr>
              <w:t>准</w:t>
            </w:r>
          </w:p>
        </w:tc>
        <w:tc>
          <w:tcPr>
            <w:tcW w:w="8443" w:type="dxa"/>
            <w:vAlign w:val="top"/>
          </w:tcPr>
          <w:p>
            <w:pPr>
              <w:spacing w:line="360" w:lineRule="auto"/>
              <w:ind w:right="105" w:rightChars="50"/>
              <w:jc w:val="center"/>
              <w:textAlignment w:val="baseline"/>
              <w:rPr>
                <w:rFonts w:ascii="宋体" w:hAnsi="宋体"/>
                <w:sz w:val="24"/>
              </w:rPr>
            </w:pPr>
            <w:r>
              <w:rPr>
                <w:rFonts w:ascii="宋体" w:hAnsi="宋体"/>
                <w:sz w:val="24"/>
              </w:rPr>
              <w:t>环境空气：《环境空气质量标准》</w:t>
            </w:r>
            <w:r>
              <w:rPr>
                <w:sz w:val="24"/>
              </w:rPr>
              <w:t>(GB3095-2012)</w:t>
            </w:r>
            <w:r>
              <w:rPr>
                <w:rFonts w:ascii="宋体" w:hAnsi="宋体"/>
                <w:sz w:val="24"/>
              </w:rPr>
              <w:t>中二级标准</w:t>
            </w:r>
            <w:r>
              <w:rPr>
                <w:rFonts w:hint="eastAsia" w:ascii="宋体" w:hAnsi="宋体"/>
                <w:sz w:val="24"/>
              </w:rPr>
              <w:t>及修改单</w:t>
            </w:r>
            <w:r>
              <w:rPr>
                <w:rFonts w:ascii="宋体" w:hAnsi="宋体"/>
                <w:sz w:val="24"/>
              </w:rPr>
              <w:t>。</w:t>
            </w:r>
          </w:p>
          <w:p>
            <w:pPr>
              <w:spacing w:line="360" w:lineRule="auto"/>
              <w:ind w:right="105" w:rightChars="50"/>
              <w:jc w:val="center"/>
              <w:textAlignment w:val="baseline"/>
              <w:rPr>
                <w:b/>
                <w:bCs/>
                <w:szCs w:val="21"/>
              </w:rPr>
            </w:pPr>
            <w:r>
              <w:rPr>
                <w:b/>
                <w:bCs/>
                <w:szCs w:val="21"/>
              </w:rPr>
              <w:t>表13  环境空气质量二级标准    单位：ug/m</w:t>
            </w:r>
            <w:r>
              <w:rPr>
                <w:b/>
                <w:bCs/>
                <w:szCs w:val="21"/>
                <w:vertAlign w:val="superscript"/>
              </w:rPr>
              <w:t>3</w:t>
            </w:r>
          </w:p>
          <w:tbl>
            <w:tblPr>
              <w:tblStyle w:val="28"/>
              <w:tblW w:w="821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77"/>
              <w:gridCol w:w="1211"/>
              <w:gridCol w:w="1440"/>
              <w:gridCol w:w="1365"/>
              <w:gridCol w:w="1302"/>
              <w:gridCol w:w="17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 w:hRule="atLeast"/>
                <w:jc w:val="center"/>
              </w:trPr>
              <w:tc>
                <w:tcPr>
                  <w:tcW w:w="1177" w:type="dxa"/>
                  <w:vMerge w:val="restart"/>
                  <w:tcBorders>
                    <w:bottom w:val="single" w:color="auto" w:sz="6" w:space="0"/>
                  </w:tcBorders>
                  <w:shd w:val="clear" w:color="auto" w:fill="F1F1F1"/>
                  <w:tcMar>
                    <w:left w:w="0" w:type="dxa"/>
                    <w:right w:w="0" w:type="dxa"/>
                  </w:tcMar>
                  <w:vAlign w:val="center"/>
                </w:tcPr>
                <w:p>
                  <w:pPr>
                    <w:pStyle w:val="42"/>
                    <w:adjustRightInd w:val="0"/>
                    <w:ind w:left="0" w:firstLine="0"/>
                    <w:jc w:val="center"/>
                    <w:textAlignment w:val="baseline"/>
                  </w:pPr>
                  <w:r>
                    <w:t>污染物名称</w:t>
                  </w:r>
                </w:p>
              </w:tc>
              <w:tc>
                <w:tcPr>
                  <w:tcW w:w="5318" w:type="dxa"/>
                  <w:gridSpan w:val="4"/>
                  <w:tcBorders>
                    <w:bottom w:val="single" w:color="auto" w:sz="6" w:space="0"/>
                  </w:tcBorders>
                  <w:shd w:val="clear" w:color="auto" w:fill="F1F1F1"/>
                  <w:tcMar>
                    <w:left w:w="0" w:type="dxa"/>
                    <w:right w:w="0" w:type="dxa"/>
                  </w:tcMar>
                  <w:vAlign w:val="center"/>
                </w:tcPr>
                <w:p>
                  <w:pPr>
                    <w:pStyle w:val="42"/>
                    <w:adjustRightInd w:val="0"/>
                    <w:ind w:left="0" w:firstLine="0"/>
                    <w:jc w:val="center"/>
                    <w:textAlignment w:val="baseline"/>
                  </w:pPr>
                  <w:r>
                    <w:t>二级标准浓度限值</w:t>
                  </w:r>
                </w:p>
              </w:tc>
              <w:tc>
                <w:tcPr>
                  <w:tcW w:w="1724" w:type="dxa"/>
                  <w:vMerge w:val="restart"/>
                  <w:tcBorders>
                    <w:left w:val="single" w:color="auto" w:sz="4" w:space="0"/>
                    <w:bottom w:val="single" w:color="auto" w:sz="6" w:space="0"/>
                  </w:tcBorders>
                  <w:shd w:val="clear" w:color="auto" w:fill="F1F1F1"/>
                  <w:vAlign w:val="center"/>
                </w:tcPr>
                <w:p>
                  <w:pPr>
                    <w:pStyle w:val="42"/>
                    <w:adjustRightInd w:val="0"/>
                    <w:ind w:left="0" w:firstLine="0"/>
                    <w:jc w:val="center"/>
                    <w:textAlignment w:val="baseline"/>
                  </w:pPr>
                  <w: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 w:hRule="atLeast"/>
                <w:jc w:val="center"/>
              </w:trPr>
              <w:tc>
                <w:tcPr>
                  <w:tcW w:w="1177" w:type="dxa"/>
                  <w:vMerge w:val="continue"/>
                  <w:tcBorders>
                    <w:top w:val="single" w:color="auto" w:sz="6" w:space="0"/>
                    <w:bottom w:val="single" w:color="auto" w:sz="6" w:space="0"/>
                  </w:tcBorders>
                  <w:shd w:val="clear" w:color="auto" w:fill="F1F1F1"/>
                  <w:tcMar>
                    <w:left w:w="0" w:type="dxa"/>
                    <w:right w:w="0" w:type="dxa"/>
                  </w:tcMar>
                  <w:vAlign w:val="center"/>
                </w:tcPr>
                <w:p>
                  <w:pPr>
                    <w:pStyle w:val="42"/>
                    <w:adjustRightInd w:val="0"/>
                    <w:ind w:left="0" w:firstLine="0"/>
                    <w:jc w:val="center"/>
                    <w:textAlignment w:val="baseline"/>
                  </w:pPr>
                </w:p>
              </w:tc>
              <w:tc>
                <w:tcPr>
                  <w:tcW w:w="1211" w:type="dxa"/>
                  <w:tcBorders>
                    <w:top w:val="single" w:color="auto" w:sz="6" w:space="0"/>
                    <w:bottom w:val="single" w:color="auto" w:sz="6" w:space="0"/>
                  </w:tcBorders>
                  <w:shd w:val="clear" w:color="auto" w:fill="F1F1F1"/>
                  <w:tcMar>
                    <w:left w:w="0" w:type="dxa"/>
                    <w:right w:w="0" w:type="dxa"/>
                  </w:tcMar>
                  <w:vAlign w:val="center"/>
                </w:tcPr>
                <w:p>
                  <w:pPr>
                    <w:pStyle w:val="42"/>
                    <w:adjustRightInd w:val="0"/>
                    <w:ind w:left="0" w:firstLine="0"/>
                    <w:jc w:val="center"/>
                    <w:textAlignment w:val="baseline"/>
                  </w:pPr>
                  <w:r>
                    <w:t>1小时平均</w:t>
                  </w:r>
                </w:p>
              </w:tc>
              <w:tc>
                <w:tcPr>
                  <w:tcW w:w="1440" w:type="dxa"/>
                  <w:tcBorders>
                    <w:top w:val="single" w:color="auto" w:sz="6" w:space="0"/>
                    <w:bottom w:val="single" w:color="auto" w:sz="6" w:space="0"/>
                  </w:tcBorders>
                  <w:shd w:val="clear" w:color="auto" w:fill="F1F1F1"/>
                  <w:tcMar>
                    <w:left w:w="0" w:type="dxa"/>
                    <w:right w:w="0" w:type="dxa"/>
                  </w:tcMar>
                  <w:vAlign w:val="center"/>
                </w:tcPr>
                <w:p>
                  <w:pPr>
                    <w:pStyle w:val="42"/>
                    <w:adjustRightInd w:val="0"/>
                    <w:ind w:left="0" w:firstLine="0"/>
                    <w:jc w:val="center"/>
                    <w:textAlignment w:val="baseline"/>
                  </w:pPr>
                  <w:r>
                    <w:t>日均值</w:t>
                  </w:r>
                </w:p>
              </w:tc>
              <w:tc>
                <w:tcPr>
                  <w:tcW w:w="1365" w:type="dxa"/>
                  <w:tcBorders>
                    <w:top w:val="single" w:color="auto" w:sz="6" w:space="0"/>
                    <w:bottom w:val="single" w:color="auto" w:sz="6" w:space="0"/>
                    <w:right w:val="single" w:color="auto" w:sz="4" w:space="0"/>
                  </w:tcBorders>
                  <w:shd w:val="clear" w:color="auto" w:fill="F1F1F1"/>
                  <w:tcMar>
                    <w:left w:w="0" w:type="dxa"/>
                    <w:right w:w="0" w:type="dxa"/>
                  </w:tcMar>
                  <w:vAlign w:val="center"/>
                </w:tcPr>
                <w:p>
                  <w:pPr>
                    <w:pStyle w:val="42"/>
                    <w:adjustRightInd w:val="0"/>
                    <w:ind w:left="0" w:firstLine="0"/>
                    <w:jc w:val="center"/>
                    <w:textAlignment w:val="baseline"/>
                  </w:pPr>
                  <w:r>
                    <w:t>年均值</w:t>
                  </w:r>
                </w:p>
              </w:tc>
              <w:tc>
                <w:tcPr>
                  <w:tcW w:w="1302" w:type="dxa"/>
                  <w:tcBorders>
                    <w:top w:val="single" w:color="auto" w:sz="6" w:space="0"/>
                    <w:left w:val="single" w:color="auto" w:sz="4" w:space="0"/>
                  </w:tcBorders>
                  <w:shd w:val="clear" w:color="auto" w:fill="F1F1F1"/>
                  <w:vAlign w:val="center"/>
                </w:tcPr>
                <w:p>
                  <w:pPr>
                    <w:pStyle w:val="42"/>
                    <w:adjustRightInd w:val="0"/>
                    <w:ind w:left="0" w:firstLine="0"/>
                    <w:jc w:val="center"/>
                    <w:textAlignment w:val="baseline"/>
                    <w:rPr>
                      <w:rFonts w:hint="eastAsia"/>
                    </w:rPr>
                  </w:pPr>
                  <w:r>
                    <w:rPr>
                      <w:rFonts w:hint="eastAsia"/>
                    </w:rPr>
                    <w:t>单位</w:t>
                  </w:r>
                </w:p>
              </w:tc>
              <w:tc>
                <w:tcPr>
                  <w:tcW w:w="1724" w:type="dxa"/>
                  <w:vMerge w:val="continue"/>
                  <w:tcBorders>
                    <w:top w:val="single" w:color="auto" w:sz="6" w:space="0"/>
                    <w:left w:val="single" w:color="auto" w:sz="4" w:space="0"/>
                  </w:tcBorders>
                  <w:shd w:val="clear" w:color="auto" w:fill="F1F1F1"/>
                  <w:vAlign w:val="center"/>
                </w:tcPr>
                <w:p>
                  <w:pPr>
                    <w:pStyle w:val="42"/>
                    <w:adjustRightInd w:val="0"/>
                    <w:ind w:left="0" w:firstLine="0"/>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 w:hRule="atLeast"/>
                <w:jc w:val="center"/>
              </w:trPr>
              <w:tc>
                <w:tcPr>
                  <w:tcW w:w="1177" w:type="dxa"/>
                  <w:tcMar>
                    <w:left w:w="0" w:type="dxa"/>
                    <w:right w:w="0" w:type="dxa"/>
                  </w:tcMar>
                  <w:vAlign w:val="center"/>
                </w:tcPr>
                <w:p>
                  <w:pPr>
                    <w:pStyle w:val="42"/>
                    <w:adjustRightInd w:val="0"/>
                    <w:ind w:left="0" w:firstLine="0"/>
                    <w:jc w:val="center"/>
                    <w:textAlignment w:val="baseline"/>
                  </w:pPr>
                  <w:r>
                    <w:t>SO</w:t>
                  </w:r>
                  <w:r>
                    <w:rPr>
                      <w:vertAlign w:val="subscript"/>
                    </w:rPr>
                    <w:t>2</w:t>
                  </w:r>
                </w:p>
              </w:tc>
              <w:tc>
                <w:tcPr>
                  <w:tcW w:w="1211" w:type="dxa"/>
                  <w:tcMar>
                    <w:left w:w="0" w:type="dxa"/>
                    <w:right w:w="0" w:type="dxa"/>
                  </w:tcMar>
                  <w:vAlign w:val="center"/>
                </w:tcPr>
                <w:p>
                  <w:pPr>
                    <w:pStyle w:val="42"/>
                    <w:adjustRightInd w:val="0"/>
                    <w:ind w:left="0" w:firstLine="0"/>
                    <w:jc w:val="center"/>
                    <w:textAlignment w:val="baseline"/>
                  </w:pPr>
                  <w:r>
                    <w:rPr>
                      <w:rFonts w:hint="eastAsia"/>
                    </w:rPr>
                    <w:t>500</w:t>
                  </w:r>
                </w:p>
              </w:tc>
              <w:tc>
                <w:tcPr>
                  <w:tcW w:w="1440" w:type="dxa"/>
                  <w:tcMar>
                    <w:left w:w="0" w:type="dxa"/>
                    <w:right w:w="0" w:type="dxa"/>
                  </w:tcMar>
                  <w:vAlign w:val="center"/>
                </w:tcPr>
                <w:p>
                  <w:pPr>
                    <w:pStyle w:val="42"/>
                    <w:adjustRightInd w:val="0"/>
                    <w:ind w:left="0" w:firstLine="0"/>
                    <w:jc w:val="center"/>
                    <w:textAlignment w:val="baseline"/>
                  </w:pPr>
                  <w:r>
                    <w:rPr>
                      <w:rFonts w:hint="eastAsia"/>
                    </w:rPr>
                    <w:t>150</w:t>
                  </w:r>
                </w:p>
              </w:tc>
              <w:tc>
                <w:tcPr>
                  <w:tcW w:w="1365" w:type="dxa"/>
                  <w:tcBorders>
                    <w:right w:val="single" w:color="auto" w:sz="4" w:space="0"/>
                  </w:tcBorders>
                  <w:tcMar>
                    <w:left w:w="0" w:type="dxa"/>
                    <w:right w:w="0" w:type="dxa"/>
                  </w:tcMar>
                  <w:vAlign w:val="center"/>
                </w:tcPr>
                <w:p>
                  <w:pPr>
                    <w:pStyle w:val="42"/>
                    <w:adjustRightInd w:val="0"/>
                    <w:ind w:left="0" w:firstLine="0"/>
                    <w:jc w:val="center"/>
                    <w:textAlignment w:val="baseline"/>
                  </w:pPr>
                  <w:r>
                    <w:rPr>
                      <w:rFonts w:hint="eastAsia"/>
                    </w:rPr>
                    <w:t>60</w:t>
                  </w:r>
                </w:p>
              </w:tc>
              <w:tc>
                <w:tcPr>
                  <w:tcW w:w="1302" w:type="dxa"/>
                  <w:tcBorders>
                    <w:left w:val="single" w:color="auto" w:sz="4" w:space="0"/>
                  </w:tcBorders>
                  <w:vAlign w:val="center"/>
                </w:tcPr>
                <w:p>
                  <w:pPr>
                    <w:pStyle w:val="42"/>
                    <w:adjustRightInd w:val="0"/>
                    <w:ind w:left="0" w:firstLine="0"/>
                    <w:jc w:val="center"/>
                    <w:textAlignment w:val="baseline"/>
                    <w:rPr>
                      <w:rFonts w:hint="eastAsia"/>
                    </w:rPr>
                  </w:pPr>
                  <w:r>
                    <w:rPr>
                      <w:szCs w:val="21"/>
                    </w:rPr>
                    <w:t>μg/m</w:t>
                  </w:r>
                  <w:r>
                    <w:rPr>
                      <w:szCs w:val="21"/>
                      <w:vertAlign w:val="superscript"/>
                    </w:rPr>
                    <w:t>3</w:t>
                  </w:r>
                </w:p>
              </w:tc>
              <w:tc>
                <w:tcPr>
                  <w:tcW w:w="1724" w:type="dxa"/>
                  <w:vMerge w:val="restart"/>
                  <w:tcBorders>
                    <w:left w:val="single" w:color="auto" w:sz="4" w:space="0"/>
                  </w:tcBorders>
                  <w:vAlign w:val="center"/>
                </w:tcPr>
                <w:p>
                  <w:pPr>
                    <w:pStyle w:val="42"/>
                    <w:adjustRightInd w:val="0"/>
                    <w:ind w:left="0" w:firstLine="0"/>
                    <w:jc w:val="center"/>
                    <w:textAlignment w:val="baseline"/>
                  </w:pPr>
                  <w:r>
                    <w:t>GB3095-2012</w:t>
                  </w:r>
                </w:p>
                <w:p>
                  <w:pPr>
                    <w:pStyle w:val="42"/>
                    <w:adjustRightInd w:val="0"/>
                    <w:ind w:left="0" w:firstLine="0"/>
                    <w:jc w:val="center"/>
                    <w:textAlignment w:val="baseline"/>
                  </w:pPr>
                  <w:r>
                    <w:t>二级标准</w:t>
                  </w:r>
                  <w:r>
                    <w:rPr>
                      <w:rFonts w:hint="eastAsia"/>
                    </w:rPr>
                    <w:t>及修改单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 w:hRule="atLeast"/>
                <w:jc w:val="center"/>
              </w:trPr>
              <w:tc>
                <w:tcPr>
                  <w:tcW w:w="1177" w:type="dxa"/>
                  <w:tcMar>
                    <w:left w:w="0" w:type="dxa"/>
                    <w:right w:w="0" w:type="dxa"/>
                  </w:tcMar>
                  <w:vAlign w:val="center"/>
                </w:tcPr>
                <w:p>
                  <w:pPr>
                    <w:pStyle w:val="42"/>
                    <w:adjustRightInd w:val="0"/>
                    <w:ind w:left="0" w:firstLine="0"/>
                    <w:jc w:val="center"/>
                    <w:textAlignment w:val="baseline"/>
                  </w:pPr>
                  <w:r>
                    <w:t>NO</w:t>
                  </w:r>
                  <w:r>
                    <w:rPr>
                      <w:vertAlign w:val="subscript"/>
                    </w:rPr>
                    <w:t>2</w:t>
                  </w:r>
                </w:p>
              </w:tc>
              <w:tc>
                <w:tcPr>
                  <w:tcW w:w="1211" w:type="dxa"/>
                  <w:tcMar>
                    <w:left w:w="0" w:type="dxa"/>
                    <w:right w:w="0" w:type="dxa"/>
                  </w:tcMar>
                  <w:vAlign w:val="center"/>
                </w:tcPr>
                <w:p>
                  <w:pPr>
                    <w:pStyle w:val="42"/>
                    <w:adjustRightInd w:val="0"/>
                    <w:ind w:left="0" w:firstLine="0"/>
                    <w:jc w:val="center"/>
                    <w:textAlignment w:val="baseline"/>
                  </w:pPr>
                  <w:r>
                    <w:rPr>
                      <w:rFonts w:hint="eastAsia"/>
                    </w:rPr>
                    <w:t>200</w:t>
                  </w:r>
                </w:p>
              </w:tc>
              <w:tc>
                <w:tcPr>
                  <w:tcW w:w="1440" w:type="dxa"/>
                  <w:tcMar>
                    <w:left w:w="0" w:type="dxa"/>
                    <w:right w:w="0" w:type="dxa"/>
                  </w:tcMar>
                  <w:vAlign w:val="center"/>
                </w:tcPr>
                <w:p>
                  <w:pPr>
                    <w:pStyle w:val="42"/>
                    <w:adjustRightInd w:val="0"/>
                    <w:ind w:left="0" w:firstLine="0"/>
                    <w:jc w:val="center"/>
                    <w:textAlignment w:val="baseline"/>
                  </w:pPr>
                  <w:r>
                    <w:rPr>
                      <w:rFonts w:hint="eastAsia"/>
                    </w:rPr>
                    <w:t>80</w:t>
                  </w:r>
                </w:p>
              </w:tc>
              <w:tc>
                <w:tcPr>
                  <w:tcW w:w="1365" w:type="dxa"/>
                  <w:tcBorders>
                    <w:right w:val="single" w:color="auto" w:sz="4" w:space="0"/>
                  </w:tcBorders>
                  <w:tcMar>
                    <w:left w:w="0" w:type="dxa"/>
                    <w:right w:w="0" w:type="dxa"/>
                  </w:tcMar>
                  <w:vAlign w:val="center"/>
                </w:tcPr>
                <w:p>
                  <w:pPr>
                    <w:pStyle w:val="42"/>
                    <w:adjustRightInd w:val="0"/>
                    <w:ind w:left="0" w:firstLine="0"/>
                    <w:jc w:val="center"/>
                    <w:textAlignment w:val="baseline"/>
                  </w:pPr>
                  <w:r>
                    <w:rPr>
                      <w:rFonts w:hint="eastAsia"/>
                    </w:rPr>
                    <w:t>40</w:t>
                  </w:r>
                </w:p>
              </w:tc>
              <w:tc>
                <w:tcPr>
                  <w:tcW w:w="1302" w:type="dxa"/>
                  <w:tcBorders>
                    <w:left w:val="single" w:color="auto" w:sz="4" w:space="0"/>
                  </w:tcBorders>
                  <w:vAlign w:val="center"/>
                </w:tcPr>
                <w:p>
                  <w:pPr>
                    <w:pStyle w:val="42"/>
                    <w:adjustRightInd w:val="0"/>
                    <w:ind w:left="0" w:firstLine="0"/>
                    <w:jc w:val="center"/>
                    <w:textAlignment w:val="baseline"/>
                    <w:rPr>
                      <w:rFonts w:hint="eastAsia"/>
                    </w:rPr>
                  </w:pPr>
                  <w:r>
                    <w:rPr>
                      <w:szCs w:val="21"/>
                    </w:rPr>
                    <w:t>μg/m</w:t>
                  </w:r>
                  <w:r>
                    <w:rPr>
                      <w:szCs w:val="21"/>
                      <w:vertAlign w:val="superscript"/>
                    </w:rPr>
                    <w:t>3</w:t>
                  </w:r>
                </w:p>
              </w:tc>
              <w:tc>
                <w:tcPr>
                  <w:tcW w:w="1724" w:type="dxa"/>
                  <w:vMerge w:val="continue"/>
                  <w:tcBorders>
                    <w:left w:val="single" w:color="auto" w:sz="4" w:space="0"/>
                  </w:tcBorders>
                  <w:vAlign w:val="center"/>
                </w:tcPr>
                <w:p>
                  <w:pPr>
                    <w:pStyle w:val="42"/>
                    <w:adjustRightInd w:val="0"/>
                    <w:ind w:left="0" w:firstLine="0"/>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 w:hRule="atLeast"/>
                <w:jc w:val="center"/>
              </w:trPr>
              <w:tc>
                <w:tcPr>
                  <w:tcW w:w="1177" w:type="dxa"/>
                  <w:tcMar>
                    <w:left w:w="0" w:type="dxa"/>
                    <w:right w:w="0" w:type="dxa"/>
                  </w:tcMar>
                  <w:vAlign w:val="center"/>
                </w:tcPr>
                <w:p>
                  <w:pPr>
                    <w:pStyle w:val="42"/>
                    <w:adjustRightInd w:val="0"/>
                    <w:ind w:left="0" w:firstLine="0"/>
                    <w:jc w:val="center"/>
                    <w:textAlignment w:val="baseline"/>
                  </w:pPr>
                  <w:r>
                    <w:t>PM</w:t>
                  </w:r>
                  <w:r>
                    <w:rPr>
                      <w:vertAlign w:val="subscript"/>
                    </w:rPr>
                    <w:t>10</w:t>
                  </w:r>
                </w:p>
              </w:tc>
              <w:tc>
                <w:tcPr>
                  <w:tcW w:w="1211" w:type="dxa"/>
                  <w:tcMar>
                    <w:left w:w="0" w:type="dxa"/>
                    <w:right w:w="0" w:type="dxa"/>
                  </w:tcMar>
                  <w:vAlign w:val="center"/>
                </w:tcPr>
                <w:p>
                  <w:pPr>
                    <w:pStyle w:val="42"/>
                    <w:adjustRightInd w:val="0"/>
                    <w:ind w:left="0" w:firstLine="0"/>
                    <w:jc w:val="center"/>
                    <w:textAlignment w:val="baseline"/>
                  </w:pPr>
                  <w:r>
                    <w:rPr>
                      <w:rFonts w:hint="eastAsia"/>
                    </w:rPr>
                    <w:t>--</w:t>
                  </w:r>
                </w:p>
              </w:tc>
              <w:tc>
                <w:tcPr>
                  <w:tcW w:w="1440" w:type="dxa"/>
                  <w:tcMar>
                    <w:left w:w="0" w:type="dxa"/>
                    <w:right w:w="0" w:type="dxa"/>
                  </w:tcMar>
                  <w:vAlign w:val="center"/>
                </w:tcPr>
                <w:p>
                  <w:pPr>
                    <w:pStyle w:val="42"/>
                    <w:adjustRightInd w:val="0"/>
                    <w:ind w:left="0" w:firstLine="0"/>
                    <w:jc w:val="center"/>
                    <w:textAlignment w:val="baseline"/>
                  </w:pPr>
                  <w:r>
                    <w:rPr>
                      <w:rFonts w:hint="eastAsia"/>
                    </w:rPr>
                    <w:t>150</w:t>
                  </w:r>
                </w:p>
              </w:tc>
              <w:tc>
                <w:tcPr>
                  <w:tcW w:w="1365" w:type="dxa"/>
                  <w:tcBorders>
                    <w:right w:val="single" w:color="auto" w:sz="4" w:space="0"/>
                  </w:tcBorders>
                  <w:tcMar>
                    <w:left w:w="0" w:type="dxa"/>
                    <w:right w:w="0" w:type="dxa"/>
                  </w:tcMar>
                  <w:vAlign w:val="center"/>
                </w:tcPr>
                <w:p>
                  <w:pPr>
                    <w:pStyle w:val="42"/>
                    <w:adjustRightInd w:val="0"/>
                    <w:ind w:left="0" w:firstLine="0"/>
                    <w:jc w:val="center"/>
                    <w:textAlignment w:val="baseline"/>
                  </w:pPr>
                  <w:r>
                    <w:rPr>
                      <w:rFonts w:hint="eastAsia"/>
                    </w:rPr>
                    <w:t>70</w:t>
                  </w:r>
                </w:p>
              </w:tc>
              <w:tc>
                <w:tcPr>
                  <w:tcW w:w="1302" w:type="dxa"/>
                  <w:tcBorders>
                    <w:left w:val="single" w:color="auto" w:sz="4" w:space="0"/>
                  </w:tcBorders>
                  <w:vAlign w:val="center"/>
                </w:tcPr>
                <w:p>
                  <w:pPr>
                    <w:pStyle w:val="42"/>
                    <w:adjustRightInd w:val="0"/>
                    <w:ind w:left="0" w:firstLine="0"/>
                    <w:jc w:val="center"/>
                    <w:textAlignment w:val="baseline"/>
                    <w:rPr>
                      <w:rFonts w:hint="eastAsia"/>
                    </w:rPr>
                  </w:pPr>
                  <w:r>
                    <w:rPr>
                      <w:szCs w:val="21"/>
                    </w:rPr>
                    <w:t>μg/m</w:t>
                  </w:r>
                  <w:r>
                    <w:rPr>
                      <w:szCs w:val="21"/>
                      <w:vertAlign w:val="superscript"/>
                    </w:rPr>
                    <w:t>3</w:t>
                  </w:r>
                </w:p>
              </w:tc>
              <w:tc>
                <w:tcPr>
                  <w:tcW w:w="1724" w:type="dxa"/>
                  <w:vMerge w:val="continue"/>
                  <w:tcBorders>
                    <w:left w:val="single" w:color="auto" w:sz="4" w:space="0"/>
                  </w:tcBorders>
                  <w:vAlign w:val="center"/>
                </w:tcPr>
                <w:p>
                  <w:pPr>
                    <w:pStyle w:val="42"/>
                    <w:adjustRightInd w:val="0"/>
                    <w:ind w:left="0" w:firstLine="0"/>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177" w:type="dxa"/>
                  <w:tcMar>
                    <w:left w:w="0" w:type="dxa"/>
                    <w:right w:w="0" w:type="dxa"/>
                  </w:tcMar>
                  <w:vAlign w:val="center"/>
                </w:tcPr>
                <w:p>
                  <w:pPr>
                    <w:pStyle w:val="42"/>
                    <w:adjustRightInd w:val="0"/>
                    <w:ind w:left="0" w:firstLine="0"/>
                    <w:jc w:val="center"/>
                    <w:textAlignment w:val="baseline"/>
                  </w:pPr>
                  <w:r>
                    <w:rPr>
                      <w:rFonts w:hint="eastAsia"/>
                    </w:rPr>
                    <w:t>PM</w:t>
                  </w:r>
                  <w:r>
                    <w:rPr>
                      <w:rFonts w:hint="eastAsia"/>
                      <w:vertAlign w:val="subscript"/>
                    </w:rPr>
                    <w:t>2.5</w:t>
                  </w:r>
                </w:p>
              </w:tc>
              <w:tc>
                <w:tcPr>
                  <w:tcW w:w="1211" w:type="dxa"/>
                  <w:tcMar>
                    <w:left w:w="0" w:type="dxa"/>
                    <w:right w:w="0" w:type="dxa"/>
                  </w:tcMar>
                  <w:vAlign w:val="center"/>
                </w:tcPr>
                <w:p>
                  <w:pPr>
                    <w:pStyle w:val="42"/>
                    <w:adjustRightInd w:val="0"/>
                    <w:ind w:left="0" w:firstLine="0"/>
                    <w:jc w:val="center"/>
                    <w:textAlignment w:val="baseline"/>
                  </w:pPr>
                  <w:r>
                    <w:rPr>
                      <w:rFonts w:hint="eastAsia"/>
                    </w:rPr>
                    <w:t>--</w:t>
                  </w:r>
                </w:p>
              </w:tc>
              <w:tc>
                <w:tcPr>
                  <w:tcW w:w="1440" w:type="dxa"/>
                  <w:tcMar>
                    <w:left w:w="0" w:type="dxa"/>
                    <w:right w:w="0" w:type="dxa"/>
                  </w:tcMar>
                  <w:vAlign w:val="center"/>
                </w:tcPr>
                <w:p>
                  <w:pPr>
                    <w:pStyle w:val="42"/>
                    <w:adjustRightInd w:val="0"/>
                    <w:ind w:left="0" w:firstLine="0"/>
                    <w:jc w:val="center"/>
                    <w:textAlignment w:val="baseline"/>
                    <w:rPr>
                      <w:rFonts w:hint="eastAsia"/>
                    </w:rPr>
                  </w:pPr>
                  <w:r>
                    <w:rPr>
                      <w:rFonts w:hint="eastAsia"/>
                    </w:rPr>
                    <w:t>75</w:t>
                  </w:r>
                </w:p>
              </w:tc>
              <w:tc>
                <w:tcPr>
                  <w:tcW w:w="1365" w:type="dxa"/>
                  <w:tcBorders>
                    <w:right w:val="single" w:color="auto" w:sz="4" w:space="0"/>
                  </w:tcBorders>
                  <w:tcMar>
                    <w:left w:w="0" w:type="dxa"/>
                    <w:right w:w="0" w:type="dxa"/>
                  </w:tcMar>
                  <w:vAlign w:val="center"/>
                </w:tcPr>
                <w:p>
                  <w:pPr>
                    <w:pStyle w:val="42"/>
                    <w:adjustRightInd w:val="0"/>
                    <w:ind w:left="0" w:firstLine="0"/>
                    <w:jc w:val="center"/>
                    <w:textAlignment w:val="baseline"/>
                    <w:rPr>
                      <w:rFonts w:hint="eastAsia"/>
                    </w:rPr>
                  </w:pPr>
                  <w:r>
                    <w:rPr>
                      <w:rFonts w:hint="eastAsia"/>
                    </w:rPr>
                    <w:t>35</w:t>
                  </w:r>
                </w:p>
              </w:tc>
              <w:tc>
                <w:tcPr>
                  <w:tcW w:w="1302" w:type="dxa"/>
                  <w:tcBorders>
                    <w:left w:val="single" w:color="auto" w:sz="4" w:space="0"/>
                  </w:tcBorders>
                  <w:vAlign w:val="center"/>
                </w:tcPr>
                <w:p>
                  <w:pPr>
                    <w:pStyle w:val="42"/>
                    <w:adjustRightInd w:val="0"/>
                    <w:ind w:left="0" w:firstLine="0"/>
                    <w:jc w:val="center"/>
                    <w:textAlignment w:val="baseline"/>
                    <w:rPr>
                      <w:rFonts w:hint="eastAsia"/>
                    </w:rPr>
                  </w:pPr>
                  <w:r>
                    <w:rPr>
                      <w:szCs w:val="21"/>
                    </w:rPr>
                    <w:t>μg/m</w:t>
                  </w:r>
                  <w:r>
                    <w:rPr>
                      <w:szCs w:val="21"/>
                      <w:vertAlign w:val="superscript"/>
                    </w:rPr>
                    <w:t>3</w:t>
                  </w:r>
                </w:p>
              </w:tc>
              <w:tc>
                <w:tcPr>
                  <w:tcW w:w="1724" w:type="dxa"/>
                  <w:vMerge w:val="continue"/>
                  <w:tcBorders>
                    <w:left w:val="single" w:color="auto" w:sz="4" w:space="0"/>
                  </w:tcBorders>
                  <w:vAlign w:val="center"/>
                </w:tcPr>
                <w:p>
                  <w:pPr>
                    <w:pStyle w:val="42"/>
                    <w:adjustRightInd w:val="0"/>
                    <w:ind w:left="0" w:firstLine="0"/>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177" w:type="dxa"/>
                  <w:tcMar>
                    <w:left w:w="0" w:type="dxa"/>
                    <w:right w:w="0" w:type="dxa"/>
                  </w:tcMar>
                  <w:vAlign w:val="center"/>
                </w:tcPr>
                <w:p>
                  <w:pPr>
                    <w:pStyle w:val="42"/>
                    <w:adjustRightInd w:val="0"/>
                    <w:ind w:left="0" w:firstLine="0"/>
                    <w:jc w:val="center"/>
                    <w:textAlignment w:val="baseline"/>
                    <w:rPr>
                      <w:rFonts w:hint="eastAsia"/>
                    </w:rPr>
                  </w:pPr>
                  <w:r>
                    <w:rPr>
                      <w:rFonts w:hint="eastAsia"/>
                    </w:rPr>
                    <w:t>CO</w:t>
                  </w:r>
                </w:p>
              </w:tc>
              <w:tc>
                <w:tcPr>
                  <w:tcW w:w="1211" w:type="dxa"/>
                  <w:tcMar>
                    <w:left w:w="0" w:type="dxa"/>
                    <w:right w:w="0" w:type="dxa"/>
                  </w:tcMar>
                  <w:vAlign w:val="center"/>
                </w:tcPr>
                <w:p>
                  <w:pPr>
                    <w:pStyle w:val="42"/>
                    <w:adjustRightInd w:val="0"/>
                    <w:ind w:left="0" w:firstLine="0"/>
                    <w:jc w:val="center"/>
                    <w:textAlignment w:val="baseline"/>
                    <w:rPr>
                      <w:rFonts w:hint="eastAsia"/>
                    </w:rPr>
                  </w:pPr>
                  <w:r>
                    <w:rPr>
                      <w:rFonts w:hint="eastAsia"/>
                    </w:rPr>
                    <w:t>10</w:t>
                  </w:r>
                </w:p>
              </w:tc>
              <w:tc>
                <w:tcPr>
                  <w:tcW w:w="1440" w:type="dxa"/>
                  <w:tcMar>
                    <w:left w:w="0" w:type="dxa"/>
                    <w:right w:w="0" w:type="dxa"/>
                  </w:tcMar>
                  <w:vAlign w:val="center"/>
                </w:tcPr>
                <w:p>
                  <w:pPr>
                    <w:pStyle w:val="42"/>
                    <w:adjustRightInd w:val="0"/>
                    <w:ind w:left="0" w:firstLine="0"/>
                    <w:jc w:val="center"/>
                    <w:textAlignment w:val="baseline"/>
                    <w:rPr>
                      <w:rFonts w:hint="eastAsia"/>
                    </w:rPr>
                  </w:pPr>
                  <w:r>
                    <w:rPr>
                      <w:rFonts w:hint="eastAsia"/>
                    </w:rPr>
                    <w:t>4</w:t>
                  </w:r>
                </w:p>
              </w:tc>
              <w:tc>
                <w:tcPr>
                  <w:tcW w:w="1365" w:type="dxa"/>
                  <w:tcBorders>
                    <w:right w:val="single" w:color="auto" w:sz="4" w:space="0"/>
                  </w:tcBorders>
                  <w:tcMar>
                    <w:left w:w="0" w:type="dxa"/>
                    <w:right w:w="0" w:type="dxa"/>
                  </w:tcMar>
                  <w:vAlign w:val="center"/>
                </w:tcPr>
                <w:p>
                  <w:pPr>
                    <w:pStyle w:val="42"/>
                    <w:adjustRightInd w:val="0"/>
                    <w:ind w:left="0" w:firstLine="0"/>
                    <w:jc w:val="center"/>
                    <w:textAlignment w:val="baseline"/>
                    <w:rPr>
                      <w:rFonts w:hint="eastAsia"/>
                    </w:rPr>
                  </w:pPr>
                  <w:r>
                    <w:rPr>
                      <w:rFonts w:hint="eastAsia"/>
                    </w:rPr>
                    <w:t>--</w:t>
                  </w:r>
                </w:p>
              </w:tc>
              <w:tc>
                <w:tcPr>
                  <w:tcW w:w="1302" w:type="dxa"/>
                  <w:tcBorders>
                    <w:left w:val="single" w:color="auto" w:sz="4" w:space="0"/>
                  </w:tcBorders>
                  <w:vAlign w:val="center"/>
                </w:tcPr>
                <w:p>
                  <w:pPr>
                    <w:pStyle w:val="42"/>
                    <w:adjustRightInd w:val="0"/>
                    <w:ind w:left="0" w:firstLine="0"/>
                    <w:jc w:val="center"/>
                    <w:textAlignment w:val="baseline"/>
                    <w:rPr>
                      <w:rFonts w:hint="eastAsia"/>
                    </w:rPr>
                  </w:pPr>
                  <w:r>
                    <w:t>mg/m</w:t>
                  </w:r>
                  <w:r>
                    <w:rPr>
                      <w:vertAlign w:val="superscript"/>
                    </w:rPr>
                    <w:t>3</w:t>
                  </w:r>
                </w:p>
              </w:tc>
              <w:tc>
                <w:tcPr>
                  <w:tcW w:w="1724" w:type="dxa"/>
                  <w:vMerge w:val="continue"/>
                  <w:tcBorders>
                    <w:left w:val="single" w:color="auto" w:sz="4" w:space="0"/>
                  </w:tcBorders>
                  <w:vAlign w:val="center"/>
                </w:tcPr>
                <w:p>
                  <w:pPr>
                    <w:pStyle w:val="42"/>
                    <w:adjustRightInd w:val="0"/>
                    <w:ind w:left="0" w:firstLine="0"/>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177" w:type="dxa"/>
                  <w:tcMar>
                    <w:left w:w="0" w:type="dxa"/>
                    <w:right w:w="0" w:type="dxa"/>
                  </w:tcMar>
                  <w:vAlign w:val="center"/>
                </w:tcPr>
                <w:p>
                  <w:pPr>
                    <w:pStyle w:val="42"/>
                    <w:adjustRightInd w:val="0"/>
                    <w:ind w:left="0" w:firstLine="0"/>
                    <w:jc w:val="center"/>
                    <w:textAlignment w:val="baseline"/>
                    <w:rPr>
                      <w:rFonts w:hint="eastAsia"/>
                    </w:rPr>
                  </w:pPr>
                  <w:r>
                    <w:rPr>
                      <w:rFonts w:hint="eastAsia"/>
                    </w:rPr>
                    <w:t>O</w:t>
                  </w:r>
                  <w:r>
                    <w:rPr>
                      <w:rFonts w:hint="eastAsia"/>
                      <w:vertAlign w:val="subscript"/>
                    </w:rPr>
                    <w:t>3</w:t>
                  </w:r>
                </w:p>
              </w:tc>
              <w:tc>
                <w:tcPr>
                  <w:tcW w:w="1211" w:type="dxa"/>
                  <w:tcMar>
                    <w:left w:w="0" w:type="dxa"/>
                    <w:right w:w="0" w:type="dxa"/>
                  </w:tcMar>
                  <w:vAlign w:val="center"/>
                </w:tcPr>
                <w:p>
                  <w:pPr>
                    <w:pStyle w:val="42"/>
                    <w:adjustRightInd w:val="0"/>
                    <w:ind w:left="0" w:firstLine="0"/>
                    <w:jc w:val="center"/>
                    <w:textAlignment w:val="baseline"/>
                    <w:rPr>
                      <w:rFonts w:hint="eastAsia"/>
                    </w:rPr>
                  </w:pPr>
                  <w:r>
                    <w:rPr>
                      <w:rFonts w:hint="eastAsia"/>
                    </w:rPr>
                    <w:t>200</w:t>
                  </w:r>
                </w:p>
              </w:tc>
              <w:tc>
                <w:tcPr>
                  <w:tcW w:w="1440" w:type="dxa"/>
                  <w:tcMar>
                    <w:left w:w="0" w:type="dxa"/>
                    <w:right w:w="0" w:type="dxa"/>
                  </w:tcMar>
                  <w:vAlign w:val="center"/>
                </w:tcPr>
                <w:p>
                  <w:pPr>
                    <w:pStyle w:val="42"/>
                    <w:adjustRightInd w:val="0"/>
                    <w:ind w:left="0" w:firstLine="0"/>
                    <w:jc w:val="center"/>
                    <w:textAlignment w:val="baseline"/>
                    <w:rPr>
                      <w:rFonts w:hint="eastAsia"/>
                    </w:rPr>
                  </w:pPr>
                  <w:r>
                    <w:rPr>
                      <w:rFonts w:hint="eastAsia"/>
                    </w:rPr>
                    <w:t>160（日最大8小时平均）</w:t>
                  </w:r>
                </w:p>
              </w:tc>
              <w:tc>
                <w:tcPr>
                  <w:tcW w:w="1365" w:type="dxa"/>
                  <w:tcBorders>
                    <w:right w:val="single" w:color="auto" w:sz="4" w:space="0"/>
                  </w:tcBorders>
                  <w:tcMar>
                    <w:left w:w="0" w:type="dxa"/>
                    <w:right w:w="0" w:type="dxa"/>
                  </w:tcMar>
                  <w:vAlign w:val="center"/>
                </w:tcPr>
                <w:p>
                  <w:pPr>
                    <w:pStyle w:val="42"/>
                    <w:adjustRightInd w:val="0"/>
                    <w:ind w:left="0" w:firstLine="0"/>
                    <w:jc w:val="center"/>
                    <w:textAlignment w:val="baseline"/>
                    <w:rPr>
                      <w:rFonts w:hint="eastAsia"/>
                    </w:rPr>
                  </w:pPr>
                  <w:r>
                    <w:rPr>
                      <w:rFonts w:hint="eastAsia"/>
                    </w:rPr>
                    <w:t>--</w:t>
                  </w:r>
                </w:p>
              </w:tc>
              <w:tc>
                <w:tcPr>
                  <w:tcW w:w="1302" w:type="dxa"/>
                  <w:tcBorders>
                    <w:left w:val="single" w:color="auto" w:sz="4" w:space="0"/>
                  </w:tcBorders>
                  <w:vAlign w:val="center"/>
                </w:tcPr>
                <w:p>
                  <w:pPr>
                    <w:pStyle w:val="42"/>
                    <w:adjustRightInd w:val="0"/>
                    <w:ind w:left="0" w:firstLine="0"/>
                    <w:jc w:val="center"/>
                    <w:textAlignment w:val="baseline"/>
                    <w:rPr>
                      <w:rFonts w:hint="eastAsia"/>
                    </w:rPr>
                  </w:pPr>
                  <w:r>
                    <w:rPr>
                      <w:szCs w:val="21"/>
                    </w:rPr>
                    <w:t>μg/m</w:t>
                  </w:r>
                  <w:r>
                    <w:rPr>
                      <w:szCs w:val="21"/>
                      <w:vertAlign w:val="superscript"/>
                    </w:rPr>
                    <w:t>3</w:t>
                  </w:r>
                </w:p>
              </w:tc>
              <w:tc>
                <w:tcPr>
                  <w:tcW w:w="1724" w:type="dxa"/>
                  <w:vMerge w:val="continue"/>
                  <w:tcBorders>
                    <w:left w:val="single" w:color="auto" w:sz="4" w:space="0"/>
                  </w:tcBorders>
                  <w:vAlign w:val="center"/>
                </w:tcPr>
                <w:p>
                  <w:pPr>
                    <w:pStyle w:val="42"/>
                    <w:adjustRightInd w:val="0"/>
                    <w:ind w:left="0" w:firstLine="0"/>
                    <w:jc w:val="center"/>
                    <w:textAlignment w:val="baseline"/>
                  </w:pPr>
                </w:p>
              </w:tc>
            </w:tr>
          </w:tbl>
          <w:p>
            <w:pPr>
              <w:spacing w:line="360" w:lineRule="auto"/>
              <w:ind w:left="165" w:leftChars="-150" w:hanging="480" w:hangingChars="200"/>
              <w:jc w:val="left"/>
              <w:rPr>
                <w:sz w:val="24"/>
              </w:rPr>
            </w:pPr>
            <w:r>
              <w:rPr>
                <w:sz w:val="24"/>
              </w:rPr>
              <w:t>2、2、《地表水环境质量标准》（GB3838-2002）Ⅴ类标准，具体限值</w:t>
            </w:r>
            <w:r>
              <w:rPr>
                <w:spacing w:val="-6"/>
                <w:sz w:val="24"/>
              </w:rPr>
              <w:t>见下表。</w:t>
            </w:r>
          </w:p>
          <w:p>
            <w:pPr>
              <w:spacing w:line="360" w:lineRule="auto"/>
              <w:ind w:right="105" w:rightChars="50"/>
              <w:jc w:val="center"/>
              <w:textAlignment w:val="baseline"/>
              <w:rPr>
                <w:sz w:val="24"/>
              </w:rPr>
            </w:pPr>
            <w:r>
              <w:rPr>
                <w:b/>
                <w:bCs/>
                <w:szCs w:val="21"/>
              </w:rPr>
              <w:t>表14  地表水环境质量（GB3838-2002）</w:t>
            </w:r>
            <w:r>
              <w:rPr>
                <w:rFonts w:hint="eastAsia"/>
                <w:b/>
                <w:bCs/>
                <w:szCs w:val="21"/>
              </w:rPr>
              <w:t xml:space="preserve">  </w:t>
            </w:r>
            <w:r>
              <w:rPr>
                <w:b/>
                <w:bCs/>
                <w:szCs w:val="21"/>
              </w:rPr>
              <w:t>Ⅴ类标准</w:t>
            </w:r>
            <w:r>
              <w:rPr>
                <w:b/>
                <w:bCs/>
                <w:spacing w:val="-6"/>
                <w:szCs w:val="21"/>
              </w:rPr>
              <w:t xml:space="preserve">    单位：</w:t>
            </w:r>
            <w:r>
              <w:rPr>
                <w:b/>
                <w:bCs/>
                <w:szCs w:val="21"/>
                <w:lang w:bidi="ar"/>
              </w:rPr>
              <w:t>mg/L</w:t>
            </w:r>
            <w:r>
              <w:rPr>
                <w:b/>
                <w:bCs/>
                <w:spacing w:val="-6"/>
                <w:szCs w:val="21"/>
              </w:rPr>
              <w:t xml:space="preserve"> </w:t>
            </w:r>
          </w:p>
          <w:tbl>
            <w:tblPr>
              <w:tblStyle w:val="2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089"/>
              <w:gridCol w:w="2087"/>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1957" w:type="dxa"/>
                  <w:vMerge w:val="restart"/>
                  <w:vAlign w:val="center"/>
                </w:tcPr>
                <w:p>
                  <w:pPr>
                    <w:jc w:val="center"/>
                    <w:rPr>
                      <w:bCs/>
                      <w:szCs w:val="21"/>
                    </w:rPr>
                  </w:pPr>
                  <w:r>
                    <w:rPr>
                      <w:bCs/>
                      <w:szCs w:val="21"/>
                    </w:rPr>
                    <w:t>类别</w:t>
                  </w:r>
                </w:p>
              </w:tc>
              <w:tc>
                <w:tcPr>
                  <w:tcW w:w="2089" w:type="dxa"/>
                  <w:vAlign w:val="center"/>
                </w:tcPr>
                <w:p>
                  <w:pPr>
                    <w:jc w:val="center"/>
                    <w:rPr>
                      <w:bCs/>
                      <w:szCs w:val="21"/>
                    </w:rPr>
                  </w:pPr>
                  <w:r>
                    <w:rPr>
                      <w:bCs/>
                      <w:szCs w:val="21"/>
                    </w:rPr>
                    <w:t>COD</w:t>
                  </w:r>
                </w:p>
              </w:tc>
              <w:tc>
                <w:tcPr>
                  <w:tcW w:w="2087" w:type="dxa"/>
                  <w:vAlign w:val="center"/>
                </w:tcPr>
                <w:p>
                  <w:pPr>
                    <w:jc w:val="center"/>
                    <w:rPr>
                      <w:bCs/>
                      <w:szCs w:val="21"/>
                    </w:rPr>
                  </w:pPr>
                  <w:r>
                    <w:rPr>
                      <w:bCs/>
                      <w:szCs w:val="21"/>
                    </w:rPr>
                    <w:t>NH</w:t>
                  </w:r>
                  <w:r>
                    <w:rPr>
                      <w:bCs/>
                      <w:szCs w:val="21"/>
                      <w:vertAlign w:val="subscript"/>
                    </w:rPr>
                    <w:t>3</w:t>
                  </w:r>
                  <w:r>
                    <w:rPr>
                      <w:bCs/>
                      <w:szCs w:val="21"/>
                    </w:rPr>
                    <w:t>-N</w:t>
                  </w:r>
                </w:p>
              </w:tc>
              <w:tc>
                <w:tcPr>
                  <w:tcW w:w="2084" w:type="dxa"/>
                  <w:vAlign w:val="center"/>
                </w:tcPr>
                <w:p>
                  <w:pPr>
                    <w:widowControl/>
                    <w:jc w:val="center"/>
                    <w:rPr>
                      <w:bCs/>
                      <w:szCs w:val="21"/>
                    </w:rPr>
                  </w:pPr>
                  <w:r>
                    <w:rPr>
                      <w:bCs/>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1957" w:type="dxa"/>
                  <w:vAlign w:val="center"/>
                </w:tcPr>
                <w:p>
                  <w:pPr>
                    <w:jc w:val="center"/>
                    <w:rPr>
                      <w:bCs/>
                      <w:szCs w:val="21"/>
                    </w:rPr>
                  </w:pPr>
                  <w:r>
                    <w:rPr>
                      <w:bCs/>
                      <w:szCs w:val="21"/>
                    </w:rPr>
                    <w:t>标准值</w:t>
                  </w:r>
                </w:p>
              </w:tc>
              <w:tc>
                <w:tcPr>
                  <w:tcW w:w="2089" w:type="dxa"/>
                  <w:tcBorders>
                    <w:top w:val="nil"/>
                  </w:tcBorders>
                  <w:vAlign w:val="center"/>
                </w:tcPr>
                <w:p>
                  <w:pPr>
                    <w:jc w:val="center"/>
                    <w:rPr>
                      <w:bCs/>
                      <w:szCs w:val="21"/>
                    </w:rPr>
                  </w:pPr>
                  <w:r>
                    <w:rPr>
                      <w:bCs/>
                      <w:szCs w:val="21"/>
                      <w:lang w:bidi="ar"/>
                    </w:rPr>
                    <w:t>≤40mg/L</w:t>
                  </w:r>
                </w:p>
              </w:tc>
              <w:tc>
                <w:tcPr>
                  <w:tcW w:w="2087" w:type="dxa"/>
                  <w:tcBorders>
                    <w:top w:val="nil"/>
                  </w:tcBorders>
                  <w:vAlign w:val="center"/>
                </w:tcPr>
                <w:p>
                  <w:pPr>
                    <w:jc w:val="center"/>
                    <w:rPr>
                      <w:bCs/>
                      <w:szCs w:val="21"/>
                    </w:rPr>
                  </w:pPr>
                  <w:r>
                    <w:rPr>
                      <w:bCs/>
                      <w:szCs w:val="21"/>
                      <w:lang w:bidi="ar"/>
                    </w:rPr>
                    <w:t>≤2.0mg/L</w:t>
                  </w:r>
                </w:p>
              </w:tc>
              <w:tc>
                <w:tcPr>
                  <w:tcW w:w="2084" w:type="dxa"/>
                  <w:tcBorders>
                    <w:top w:val="nil"/>
                  </w:tcBorders>
                  <w:vAlign w:val="center"/>
                </w:tcPr>
                <w:p>
                  <w:pPr>
                    <w:jc w:val="center"/>
                    <w:rPr>
                      <w:bCs/>
                      <w:szCs w:val="21"/>
                    </w:rPr>
                  </w:pPr>
                  <w:r>
                    <w:rPr>
                      <w:bCs/>
                      <w:szCs w:val="21"/>
                      <w:lang w:bidi="ar"/>
                    </w:rPr>
                    <w:t>≤0.4mg/L</w:t>
                  </w:r>
                </w:p>
              </w:tc>
            </w:tr>
          </w:tbl>
          <w:p>
            <w:pPr>
              <w:spacing w:line="360" w:lineRule="auto"/>
              <w:ind w:right="105" w:rightChars="50"/>
              <w:jc w:val="left"/>
              <w:textAlignment w:val="baseline"/>
              <w:rPr>
                <w:spacing w:val="-6"/>
                <w:sz w:val="24"/>
              </w:rPr>
            </w:pPr>
            <w:r>
              <w:rPr>
                <w:sz w:val="24"/>
              </w:rPr>
              <w:t>3、</w:t>
            </w:r>
            <w:r>
              <w:rPr>
                <w:spacing w:val="-6"/>
                <w:sz w:val="24"/>
              </w:rPr>
              <w:t>《声环境质量标准》（GB3096-2008）2类标准，</w:t>
            </w:r>
            <w:r>
              <w:rPr>
                <w:sz w:val="24"/>
              </w:rPr>
              <w:t>具体限值</w:t>
            </w:r>
            <w:r>
              <w:rPr>
                <w:spacing w:val="-6"/>
                <w:sz w:val="24"/>
              </w:rPr>
              <w:t>见下表。</w:t>
            </w:r>
          </w:p>
          <w:p>
            <w:pPr>
              <w:spacing w:line="360" w:lineRule="auto"/>
              <w:ind w:right="105" w:rightChars="50"/>
              <w:jc w:val="center"/>
              <w:textAlignment w:val="baseline"/>
              <w:rPr>
                <w:b/>
                <w:bCs/>
                <w:spacing w:val="-6"/>
                <w:szCs w:val="21"/>
              </w:rPr>
            </w:pPr>
            <w:r>
              <w:rPr>
                <w:b/>
                <w:bCs/>
                <w:spacing w:val="-6"/>
                <w:szCs w:val="21"/>
              </w:rPr>
              <w:t>表15  声环境质量标准       单位：dB(A)</w:t>
            </w:r>
          </w:p>
          <w:tbl>
            <w:tblPr>
              <w:tblStyle w:val="28"/>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564"/>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116" w:type="dxa"/>
                  <w:vMerge w:val="restart"/>
                  <w:vAlign w:val="center"/>
                </w:tcPr>
                <w:p>
                  <w:pPr>
                    <w:adjustRightInd w:val="0"/>
                    <w:jc w:val="center"/>
                    <w:textAlignment w:val="baseline"/>
                    <w:rPr>
                      <w:spacing w:val="-6"/>
                    </w:rPr>
                  </w:pPr>
                  <w:r>
                    <w:rPr>
                      <w:spacing w:val="-6"/>
                    </w:rPr>
                    <w:t>标准类别</w:t>
                  </w:r>
                </w:p>
              </w:tc>
              <w:tc>
                <w:tcPr>
                  <w:tcW w:w="5101" w:type="dxa"/>
                  <w:gridSpan w:val="2"/>
                  <w:vAlign w:val="center"/>
                </w:tcPr>
                <w:p>
                  <w:pPr>
                    <w:adjustRightInd w:val="0"/>
                    <w:jc w:val="center"/>
                    <w:textAlignment w:val="baseline"/>
                    <w:rPr>
                      <w:spacing w:val="-6"/>
                    </w:rPr>
                  </w:pPr>
                  <w:r>
                    <w:rPr>
                      <w:spacing w:val="-6"/>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116" w:type="dxa"/>
                  <w:vMerge w:val="continue"/>
                  <w:vAlign w:val="center"/>
                </w:tcPr>
                <w:p>
                  <w:pPr>
                    <w:adjustRightInd w:val="0"/>
                    <w:jc w:val="center"/>
                    <w:textAlignment w:val="baseline"/>
                    <w:rPr>
                      <w:spacing w:val="-6"/>
                    </w:rPr>
                  </w:pPr>
                </w:p>
              </w:tc>
              <w:tc>
                <w:tcPr>
                  <w:tcW w:w="2564" w:type="dxa"/>
                  <w:vAlign w:val="center"/>
                </w:tcPr>
                <w:p>
                  <w:pPr>
                    <w:adjustRightInd w:val="0"/>
                    <w:jc w:val="center"/>
                    <w:textAlignment w:val="baseline"/>
                    <w:rPr>
                      <w:spacing w:val="-6"/>
                    </w:rPr>
                  </w:pPr>
                  <w:r>
                    <w:rPr>
                      <w:spacing w:val="-6"/>
                    </w:rPr>
                    <w:t>昼间</w:t>
                  </w:r>
                </w:p>
              </w:tc>
              <w:tc>
                <w:tcPr>
                  <w:tcW w:w="2537" w:type="dxa"/>
                  <w:vAlign w:val="center"/>
                </w:tcPr>
                <w:p>
                  <w:pPr>
                    <w:adjustRightInd w:val="0"/>
                    <w:jc w:val="center"/>
                    <w:textAlignment w:val="baseline"/>
                    <w:rPr>
                      <w:spacing w:val="-6"/>
                    </w:rPr>
                  </w:pPr>
                  <w:r>
                    <w:rPr>
                      <w:spacing w:val="-6"/>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exact"/>
                <w:jc w:val="center"/>
              </w:trPr>
              <w:tc>
                <w:tcPr>
                  <w:tcW w:w="3116" w:type="dxa"/>
                  <w:vAlign w:val="center"/>
                </w:tcPr>
                <w:p>
                  <w:pPr>
                    <w:adjustRightInd w:val="0"/>
                    <w:jc w:val="center"/>
                    <w:textAlignment w:val="baseline"/>
                    <w:rPr>
                      <w:spacing w:val="-6"/>
                    </w:rPr>
                  </w:pPr>
                  <w:r>
                    <w:rPr>
                      <w:spacing w:val="-6"/>
                    </w:rPr>
                    <w:t>2类标准</w:t>
                  </w:r>
                </w:p>
              </w:tc>
              <w:tc>
                <w:tcPr>
                  <w:tcW w:w="2564" w:type="dxa"/>
                  <w:vAlign w:val="center"/>
                </w:tcPr>
                <w:p>
                  <w:pPr>
                    <w:adjustRightInd w:val="0"/>
                    <w:jc w:val="center"/>
                    <w:textAlignment w:val="baseline"/>
                    <w:rPr>
                      <w:spacing w:val="-6"/>
                    </w:rPr>
                  </w:pPr>
                  <w:r>
                    <w:rPr>
                      <w:spacing w:val="-6"/>
                    </w:rPr>
                    <w:t>60</w:t>
                  </w:r>
                </w:p>
              </w:tc>
              <w:tc>
                <w:tcPr>
                  <w:tcW w:w="2537" w:type="dxa"/>
                  <w:vAlign w:val="center"/>
                </w:tcPr>
                <w:p>
                  <w:pPr>
                    <w:adjustRightInd w:val="0"/>
                    <w:jc w:val="center"/>
                    <w:textAlignment w:val="baseline"/>
                    <w:rPr>
                      <w:spacing w:val="-6"/>
                    </w:rPr>
                  </w:pPr>
                  <w:r>
                    <w:rPr>
                      <w:spacing w:val="-6"/>
                    </w:rPr>
                    <w:t>50</w:t>
                  </w:r>
                </w:p>
              </w:tc>
            </w:tr>
          </w:tbl>
          <w:p>
            <w:pPr>
              <w:spacing w:line="360" w:lineRule="auto"/>
              <w:rPr>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1" w:hRule="atLeast"/>
          <w:jc w:val="center"/>
        </w:trPr>
        <w:tc>
          <w:tcPr>
            <w:tcW w:w="843" w:type="dxa"/>
            <w:vAlign w:val="center"/>
          </w:tcPr>
          <w:p>
            <w:pPr>
              <w:spacing w:line="520" w:lineRule="exact"/>
              <w:jc w:val="center"/>
              <w:rPr>
                <w:sz w:val="24"/>
              </w:rPr>
            </w:pPr>
            <w:r>
              <w:rPr>
                <w:sz w:val="24"/>
              </w:rPr>
              <w:t>污</w:t>
            </w:r>
          </w:p>
          <w:p>
            <w:pPr>
              <w:spacing w:line="520" w:lineRule="exact"/>
              <w:jc w:val="center"/>
              <w:rPr>
                <w:sz w:val="24"/>
              </w:rPr>
            </w:pPr>
            <w:r>
              <w:rPr>
                <w:sz w:val="24"/>
              </w:rPr>
              <w:t>染</w:t>
            </w:r>
          </w:p>
          <w:p>
            <w:pPr>
              <w:spacing w:line="520" w:lineRule="exact"/>
              <w:jc w:val="center"/>
              <w:rPr>
                <w:sz w:val="24"/>
              </w:rPr>
            </w:pPr>
            <w:r>
              <w:rPr>
                <w:sz w:val="24"/>
              </w:rPr>
              <w:t>物</w:t>
            </w:r>
          </w:p>
          <w:p>
            <w:pPr>
              <w:spacing w:line="520" w:lineRule="exact"/>
              <w:jc w:val="center"/>
              <w:rPr>
                <w:sz w:val="24"/>
              </w:rPr>
            </w:pPr>
            <w:r>
              <w:rPr>
                <w:sz w:val="24"/>
              </w:rPr>
              <w:t>排</w:t>
            </w:r>
          </w:p>
          <w:p>
            <w:pPr>
              <w:spacing w:line="520" w:lineRule="exact"/>
              <w:jc w:val="center"/>
              <w:rPr>
                <w:sz w:val="24"/>
              </w:rPr>
            </w:pPr>
            <w:r>
              <w:rPr>
                <w:sz w:val="24"/>
              </w:rPr>
              <w:t>放</w:t>
            </w:r>
          </w:p>
          <w:p>
            <w:pPr>
              <w:spacing w:line="520" w:lineRule="exact"/>
              <w:jc w:val="center"/>
              <w:rPr>
                <w:sz w:val="24"/>
              </w:rPr>
            </w:pPr>
            <w:r>
              <w:rPr>
                <w:sz w:val="24"/>
              </w:rPr>
              <w:t>标</w:t>
            </w:r>
          </w:p>
          <w:p>
            <w:pPr>
              <w:spacing w:line="520" w:lineRule="exact"/>
              <w:jc w:val="center"/>
              <w:rPr>
                <w:sz w:val="24"/>
              </w:rPr>
            </w:pPr>
            <w:r>
              <w:rPr>
                <w:sz w:val="24"/>
              </w:rPr>
              <w:t>准</w:t>
            </w:r>
          </w:p>
        </w:tc>
        <w:tc>
          <w:tcPr>
            <w:tcW w:w="8443" w:type="dxa"/>
            <w:vAlign w:val="top"/>
          </w:tcPr>
          <w:p>
            <w:pPr>
              <w:spacing w:line="520" w:lineRule="exact"/>
              <w:jc w:val="left"/>
              <w:rPr>
                <w:sz w:val="24"/>
              </w:rPr>
            </w:pPr>
            <w:r>
              <w:rPr>
                <w:sz w:val="24"/>
              </w:rPr>
              <w:t>1、废气：</w:t>
            </w:r>
          </w:p>
          <w:p>
            <w:pPr>
              <w:spacing w:line="520" w:lineRule="exact"/>
              <w:ind w:left="-10" w:leftChars="-5" w:firstLine="480" w:firstLineChars="200"/>
              <w:jc w:val="left"/>
              <w:rPr>
                <w:sz w:val="24"/>
                <w:highlight w:val="none"/>
              </w:rPr>
            </w:pPr>
            <w:r>
              <w:rPr>
                <w:rFonts w:hint="eastAsia"/>
                <w:sz w:val="24"/>
                <w:highlight w:val="none"/>
              </w:rPr>
              <w:t>1.1</w:t>
            </w:r>
            <w:r>
              <w:rPr>
                <w:sz w:val="24"/>
                <w:highlight w:val="none"/>
              </w:rPr>
              <w:t>粉尘排放执行《大气污染物综合排放标准》（GB16297-1996）中表2</w:t>
            </w:r>
            <w:r>
              <w:rPr>
                <w:rFonts w:hint="eastAsia"/>
                <w:sz w:val="24"/>
                <w:highlight w:val="none"/>
              </w:rPr>
              <w:t>二级标准</w:t>
            </w:r>
            <w:r>
              <w:rPr>
                <w:sz w:val="24"/>
                <w:highlight w:val="none"/>
              </w:rPr>
              <w:t>。</w:t>
            </w:r>
          </w:p>
          <w:p>
            <w:pPr>
              <w:ind w:right="105" w:rightChars="50"/>
              <w:jc w:val="center"/>
              <w:textAlignment w:val="baseline"/>
              <w:rPr>
                <w:b/>
                <w:bCs/>
                <w:spacing w:val="-6"/>
                <w:szCs w:val="21"/>
                <w:highlight w:val="none"/>
              </w:rPr>
            </w:pPr>
            <w:r>
              <w:rPr>
                <w:b/>
                <w:bCs/>
                <w:spacing w:val="-6"/>
                <w:szCs w:val="21"/>
                <w:highlight w:val="none"/>
              </w:rPr>
              <w:t>表16  污染源大气污染物排放标准</w:t>
            </w:r>
          </w:p>
          <w:tbl>
            <w:tblPr>
              <w:tblStyle w:val="28"/>
              <w:tblW w:w="8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873"/>
              <w:gridCol w:w="1708"/>
              <w:gridCol w:w="1194"/>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1205" w:type="dxa"/>
                  <w:vMerge w:val="restart"/>
                  <w:vAlign w:val="center"/>
                </w:tcPr>
                <w:p>
                  <w:pPr>
                    <w:pStyle w:val="39"/>
                    <w:spacing w:before="31" w:beforeLines="10" w:after="31" w:afterLines="10" w:line="240" w:lineRule="auto"/>
                    <w:rPr>
                      <w:szCs w:val="21"/>
                      <w:highlight w:val="none"/>
                    </w:rPr>
                  </w:pPr>
                  <w:r>
                    <w:rPr>
                      <w:szCs w:val="21"/>
                      <w:highlight w:val="none"/>
                    </w:rPr>
                    <w:t>污染物</w:t>
                  </w:r>
                </w:p>
              </w:tc>
              <w:tc>
                <w:tcPr>
                  <w:tcW w:w="1873" w:type="dxa"/>
                  <w:vMerge w:val="restart"/>
                  <w:vAlign w:val="center"/>
                </w:tcPr>
                <w:p>
                  <w:pPr>
                    <w:pStyle w:val="39"/>
                    <w:spacing w:before="31" w:beforeLines="10" w:after="31" w:afterLines="10" w:line="240" w:lineRule="auto"/>
                    <w:rPr>
                      <w:szCs w:val="21"/>
                      <w:highlight w:val="none"/>
                    </w:rPr>
                  </w:pPr>
                  <w:r>
                    <w:rPr>
                      <w:szCs w:val="21"/>
                      <w:highlight w:val="none"/>
                    </w:rPr>
                    <w:t>最高允许排放</w:t>
                  </w:r>
                </w:p>
                <w:p>
                  <w:pPr>
                    <w:pStyle w:val="39"/>
                    <w:spacing w:before="31" w:beforeLines="10" w:after="31" w:afterLines="10" w:line="240" w:lineRule="auto"/>
                    <w:rPr>
                      <w:szCs w:val="21"/>
                      <w:highlight w:val="none"/>
                    </w:rPr>
                  </w:pPr>
                  <w:r>
                    <w:rPr>
                      <w:szCs w:val="21"/>
                      <w:highlight w:val="none"/>
                    </w:rPr>
                    <w:t>浓度，mg/m</w:t>
                  </w:r>
                  <w:r>
                    <w:rPr>
                      <w:szCs w:val="21"/>
                      <w:highlight w:val="none"/>
                      <w:vertAlign w:val="superscript"/>
                    </w:rPr>
                    <w:t>3</w:t>
                  </w:r>
                </w:p>
              </w:tc>
              <w:tc>
                <w:tcPr>
                  <w:tcW w:w="2902" w:type="dxa"/>
                  <w:gridSpan w:val="2"/>
                  <w:vAlign w:val="center"/>
                </w:tcPr>
                <w:p>
                  <w:pPr>
                    <w:pStyle w:val="39"/>
                    <w:spacing w:before="31" w:beforeLines="10" w:after="31" w:afterLines="10" w:line="240" w:lineRule="auto"/>
                    <w:jc w:val="both"/>
                    <w:rPr>
                      <w:szCs w:val="21"/>
                      <w:highlight w:val="none"/>
                    </w:rPr>
                  </w:pPr>
                  <w:r>
                    <w:rPr>
                      <w:szCs w:val="21"/>
                      <w:highlight w:val="none"/>
                    </w:rPr>
                    <w:t>最高允许排放速率，kg/h</w:t>
                  </w:r>
                </w:p>
              </w:tc>
              <w:tc>
                <w:tcPr>
                  <w:tcW w:w="2243" w:type="dxa"/>
                  <w:vMerge w:val="restart"/>
                  <w:vAlign w:val="center"/>
                </w:tcPr>
                <w:p>
                  <w:pPr>
                    <w:pStyle w:val="39"/>
                    <w:spacing w:before="31" w:beforeLines="10" w:after="31" w:afterLines="10" w:line="240" w:lineRule="auto"/>
                    <w:rPr>
                      <w:szCs w:val="21"/>
                      <w:highlight w:val="none"/>
                    </w:rPr>
                  </w:pPr>
                  <w:r>
                    <w:rPr>
                      <w:szCs w:val="21"/>
                      <w:highlight w:val="none"/>
                    </w:rPr>
                    <w:t>无组织排放监控浓度限值，mg/m</w:t>
                  </w:r>
                  <w:r>
                    <w:rPr>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89" w:hRule="atLeast"/>
                <w:jc w:val="center"/>
              </w:trPr>
              <w:tc>
                <w:tcPr>
                  <w:tcW w:w="1205" w:type="dxa"/>
                  <w:vMerge w:val="continue"/>
                  <w:vAlign w:val="center"/>
                </w:tcPr>
                <w:p>
                  <w:pPr>
                    <w:pStyle w:val="39"/>
                    <w:spacing w:before="31" w:beforeLines="10" w:after="31" w:afterLines="10" w:line="240" w:lineRule="auto"/>
                    <w:rPr>
                      <w:szCs w:val="21"/>
                      <w:highlight w:val="none"/>
                    </w:rPr>
                  </w:pPr>
                </w:p>
              </w:tc>
              <w:tc>
                <w:tcPr>
                  <w:tcW w:w="1873" w:type="dxa"/>
                  <w:vMerge w:val="continue"/>
                  <w:vAlign w:val="center"/>
                </w:tcPr>
                <w:p>
                  <w:pPr>
                    <w:pStyle w:val="39"/>
                    <w:spacing w:before="31" w:beforeLines="10" w:after="31" w:afterLines="10" w:line="240" w:lineRule="auto"/>
                    <w:rPr>
                      <w:szCs w:val="21"/>
                      <w:highlight w:val="none"/>
                    </w:rPr>
                  </w:pPr>
                </w:p>
              </w:tc>
              <w:tc>
                <w:tcPr>
                  <w:tcW w:w="1708" w:type="dxa"/>
                  <w:vAlign w:val="center"/>
                </w:tcPr>
                <w:p>
                  <w:pPr>
                    <w:pStyle w:val="39"/>
                    <w:spacing w:before="31" w:beforeLines="10" w:after="31" w:afterLines="10" w:line="240" w:lineRule="auto"/>
                    <w:rPr>
                      <w:szCs w:val="21"/>
                      <w:highlight w:val="none"/>
                    </w:rPr>
                  </w:pPr>
                  <w:r>
                    <w:rPr>
                      <w:szCs w:val="21"/>
                      <w:highlight w:val="none"/>
                    </w:rPr>
                    <w:t>排气筒高度m</w:t>
                  </w:r>
                </w:p>
              </w:tc>
              <w:tc>
                <w:tcPr>
                  <w:tcW w:w="1194" w:type="dxa"/>
                  <w:vAlign w:val="center"/>
                </w:tcPr>
                <w:p>
                  <w:pPr>
                    <w:pStyle w:val="39"/>
                    <w:spacing w:before="31" w:beforeLines="10" w:after="31" w:afterLines="10" w:line="240" w:lineRule="auto"/>
                    <w:rPr>
                      <w:szCs w:val="21"/>
                      <w:highlight w:val="none"/>
                    </w:rPr>
                  </w:pPr>
                  <w:r>
                    <w:rPr>
                      <w:szCs w:val="21"/>
                      <w:highlight w:val="none"/>
                    </w:rPr>
                    <w:t>二级</w:t>
                  </w:r>
                </w:p>
              </w:tc>
              <w:tc>
                <w:tcPr>
                  <w:tcW w:w="2243" w:type="dxa"/>
                  <w:vMerge w:val="continue"/>
                  <w:vAlign w:val="center"/>
                </w:tcPr>
                <w:p>
                  <w:pPr>
                    <w:pStyle w:val="39"/>
                    <w:spacing w:before="31" w:beforeLines="10" w:after="31" w:afterLines="10" w:line="240" w:lineRule="auto"/>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1205" w:type="dxa"/>
                  <w:vAlign w:val="center"/>
                </w:tcPr>
                <w:p>
                  <w:pPr>
                    <w:pStyle w:val="39"/>
                    <w:spacing w:before="31" w:beforeLines="10" w:after="31" w:afterLines="10" w:line="240" w:lineRule="auto"/>
                    <w:rPr>
                      <w:szCs w:val="21"/>
                      <w:highlight w:val="none"/>
                    </w:rPr>
                  </w:pPr>
                  <w:r>
                    <w:rPr>
                      <w:szCs w:val="21"/>
                      <w:highlight w:val="none"/>
                    </w:rPr>
                    <w:t>颗粒物</w:t>
                  </w:r>
                </w:p>
              </w:tc>
              <w:tc>
                <w:tcPr>
                  <w:tcW w:w="1873" w:type="dxa"/>
                  <w:vAlign w:val="center"/>
                </w:tcPr>
                <w:p>
                  <w:pPr>
                    <w:pStyle w:val="39"/>
                    <w:spacing w:before="31" w:beforeLines="10" w:after="31" w:afterLines="10" w:line="240" w:lineRule="auto"/>
                    <w:rPr>
                      <w:szCs w:val="21"/>
                      <w:highlight w:val="none"/>
                    </w:rPr>
                  </w:pPr>
                  <w:r>
                    <w:rPr>
                      <w:szCs w:val="21"/>
                      <w:highlight w:val="none"/>
                    </w:rPr>
                    <w:t>120</w:t>
                  </w:r>
                </w:p>
              </w:tc>
              <w:tc>
                <w:tcPr>
                  <w:tcW w:w="1708" w:type="dxa"/>
                  <w:vAlign w:val="center"/>
                </w:tcPr>
                <w:p>
                  <w:pPr>
                    <w:pStyle w:val="39"/>
                    <w:spacing w:before="31" w:beforeLines="10" w:after="31" w:afterLines="10" w:line="240" w:lineRule="auto"/>
                    <w:rPr>
                      <w:szCs w:val="21"/>
                      <w:highlight w:val="none"/>
                    </w:rPr>
                  </w:pPr>
                  <w:r>
                    <w:rPr>
                      <w:szCs w:val="21"/>
                      <w:highlight w:val="none"/>
                    </w:rPr>
                    <w:t>15</w:t>
                  </w:r>
                </w:p>
              </w:tc>
              <w:tc>
                <w:tcPr>
                  <w:tcW w:w="1194" w:type="dxa"/>
                  <w:vAlign w:val="center"/>
                </w:tcPr>
                <w:p>
                  <w:pPr>
                    <w:pStyle w:val="39"/>
                    <w:spacing w:before="31" w:beforeLines="10" w:after="31" w:afterLines="10" w:line="240" w:lineRule="auto"/>
                    <w:rPr>
                      <w:szCs w:val="21"/>
                      <w:highlight w:val="none"/>
                    </w:rPr>
                  </w:pPr>
                  <w:r>
                    <w:rPr>
                      <w:szCs w:val="21"/>
                      <w:highlight w:val="none"/>
                    </w:rPr>
                    <w:t>3.5</w:t>
                  </w:r>
                </w:p>
              </w:tc>
              <w:tc>
                <w:tcPr>
                  <w:tcW w:w="2243" w:type="dxa"/>
                  <w:vAlign w:val="center"/>
                </w:tcPr>
                <w:p>
                  <w:pPr>
                    <w:pStyle w:val="39"/>
                    <w:spacing w:before="31" w:beforeLines="10" w:after="31" w:afterLines="10" w:line="240" w:lineRule="auto"/>
                    <w:rPr>
                      <w:szCs w:val="21"/>
                      <w:highlight w:val="none"/>
                    </w:rPr>
                  </w:pPr>
                  <w:r>
                    <w:rPr>
                      <w:szCs w:val="21"/>
                      <w:highlight w:val="none"/>
                    </w:rPr>
                    <w:t>周界外浓度</w:t>
                  </w:r>
                </w:p>
                <w:p>
                  <w:pPr>
                    <w:pStyle w:val="39"/>
                    <w:spacing w:before="31" w:beforeLines="10" w:after="31" w:afterLines="10" w:line="240" w:lineRule="auto"/>
                    <w:rPr>
                      <w:szCs w:val="21"/>
                      <w:highlight w:val="none"/>
                    </w:rPr>
                  </w:pPr>
                  <w:r>
                    <w:rPr>
                      <w:szCs w:val="21"/>
                      <w:highlight w:val="none"/>
                    </w:rPr>
                    <w:t>最高点：1.0</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line="520" w:lineRule="exact"/>
              <w:ind w:left="0" w:leftChars="0" w:right="0" w:rightChars="0" w:firstLine="480" w:firstLineChars="200"/>
              <w:jc w:val="both"/>
              <w:textAlignment w:val="auto"/>
              <w:outlineLvl w:val="9"/>
              <w:rPr>
                <w:sz w:val="24"/>
                <w:highlight w:val="none"/>
                <w:lang w:val="zh-CN"/>
              </w:rPr>
            </w:pPr>
            <w:r>
              <w:rPr>
                <w:rFonts w:hint="eastAsia"/>
                <w:sz w:val="24"/>
                <w:highlight w:val="none"/>
              </w:rPr>
              <w:t>1.2</w:t>
            </w:r>
            <w:r>
              <w:rPr>
                <w:rFonts w:hint="eastAsia"/>
                <w:sz w:val="24"/>
                <w:highlight w:val="none"/>
                <w:lang w:val="zh-CN"/>
              </w:rPr>
              <w:t>本项目餐厅仅为员工提供简单的工作餐，共设置</w:t>
            </w:r>
            <w:r>
              <w:rPr>
                <w:rFonts w:hint="eastAsia"/>
                <w:sz w:val="24"/>
                <w:highlight w:val="none"/>
                <w:lang w:val="en-US" w:eastAsia="zh-CN"/>
              </w:rPr>
              <w:t>2</w:t>
            </w:r>
            <w:r>
              <w:rPr>
                <w:rFonts w:hint="eastAsia"/>
                <w:sz w:val="24"/>
                <w:highlight w:val="none"/>
              </w:rPr>
              <w:t>个灶头，小于3个灶头，</w:t>
            </w:r>
            <w:r>
              <w:rPr>
                <w:rFonts w:hint="eastAsia"/>
                <w:sz w:val="24"/>
                <w:highlight w:val="none"/>
                <w:lang w:eastAsia="zh-CN"/>
              </w:rPr>
              <w:t>参照</w:t>
            </w:r>
            <w:r>
              <w:rPr>
                <w:rFonts w:hint="eastAsia"/>
                <w:sz w:val="24"/>
                <w:highlight w:val="none"/>
              </w:rPr>
              <w:t>小型餐饮服务单位，</w:t>
            </w:r>
            <w:r>
              <w:rPr>
                <w:rFonts w:hint="eastAsia"/>
                <w:sz w:val="24"/>
                <w:highlight w:val="none"/>
                <w:lang w:val="zh-CN"/>
              </w:rPr>
              <w:t>食堂油烟执行《餐饮业油烟污染物排放标准》（DB41/1604-2018）</w:t>
            </w:r>
          </w:p>
          <w:p>
            <w:pPr>
              <w:autoSpaceDE w:val="0"/>
              <w:autoSpaceDN w:val="0"/>
              <w:adjustRightInd w:val="0"/>
              <w:spacing w:line="520" w:lineRule="exact"/>
              <w:jc w:val="center"/>
              <w:rPr>
                <w:rFonts w:hint="eastAsia"/>
                <w:b w:val="0"/>
                <w:bCs w:val="0"/>
                <w:sz w:val="21"/>
                <w:szCs w:val="21"/>
                <w:highlight w:val="green"/>
                <w:lang w:val="zh-CN"/>
              </w:rPr>
            </w:pPr>
          </w:p>
          <w:p>
            <w:pPr>
              <w:autoSpaceDE w:val="0"/>
              <w:autoSpaceDN w:val="0"/>
              <w:adjustRightInd w:val="0"/>
              <w:spacing w:line="520" w:lineRule="exact"/>
              <w:jc w:val="center"/>
              <w:rPr>
                <w:b w:val="0"/>
                <w:bCs w:val="0"/>
                <w:sz w:val="21"/>
                <w:szCs w:val="21"/>
                <w:highlight w:val="none"/>
              </w:rPr>
            </w:pPr>
            <w:r>
              <w:rPr>
                <w:rFonts w:hint="eastAsia"/>
                <w:b w:val="0"/>
                <w:bCs w:val="0"/>
                <w:sz w:val="21"/>
                <w:szCs w:val="21"/>
                <w:highlight w:val="none"/>
                <w:lang w:val="zh-CN"/>
              </w:rPr>
              <w:t>表</w:t>
            </w:r>
            <w:r>
              <w:rPr>
                <w:rFonts w:hint="eastAsia"/>
                <w:b w:val="0"/>
                <w:bCs w:val="0"/>
                <w:sz w:val="21"/>
                <w:szCs w:val="21"/>
                <w:highlight w:val="none"/>
                <w:lang w:val="en-US" w:eastAsia="zh-CN"/>
              </w:rPr>
              <w:t>17</w:t>
            </w:r>
            <w:r>
              <w:rPr>
                <w:rFonts w:hint="eastAsia"/>
                <w:b w:val="0"/>
                <w:bCs w:val="0"/>
                <w:sz w:val="21"/>
                <w:szCs w:val="21"/>
                <w:highlight w:val="none"/>
              </w:rPr>
              <w:t xml:space="preserve"> 小型餐饮服务单位油烟浓度排放限值和油烟去除效率  单位：mg/m</w:t>
            </w:r>
            <w:r>
              <w:rPr>
                <w:rFonts w:hint="eastAsia"/>
                <w:b w:val="0"/>
                <w:bCs w:val="0"/>
                <w:sz w:val="21"/>
                <w:szCs w:val="21"/>
                <w:highlight w:val="none"/>
                <w:vertAlign w:val="superscript"/>
              </w:rPr>
              <w:t>3</w:t>
            </w:r>
          </w:p>
          <w:tbl>
            <w:tblPr>
              <w:tblStyle w:val="29"/>
              <w:tblW w:w="82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2"/>
              <w:gridCol w:w="2742"/>
              <w:gridCol w:w="2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742" w:type="dxa"/>
                  <w:vMerge w:val="restart"/>
                  <w:shd w:val="clear" w:color="auto" w:fill="F1F1F1"/>
                  <w:vAlign w:val="center"/>
                </w:tcPr>
                <w:p>
                  <w:pPr>
                    <w:autoSpaceDE w:val="0"/>
                    <w:autoSpaceDN w:val="0"/>
                    <w:adjustRightInd w:val="0"/>
                    <w:spacing w:line="360" w:lineRule="exact"/>
                    <w:jc w:val="center"/>
                    <w:rPr>
                      <w:sz w:val="21"/>
                      <w:szCs w:val="21"/>
                      <w:highlight w:val="none"/>
                    </w:rPr>
                  </w:pPr>
                  <w:r>
                    <w:rPr>
                      <w:rFonts w:hint="eastAsia"/>
                      <w:sz w:val="21"/>
                      <w:szCs w:val="21"/>
                      <w:highlight w:val="none"/>
                    </w:rPr>
                    <w:t>污染物项目</w:t>
                  </w:r>
                </w:p>
              </w:tc>
              <w:tc>
                <w:tcPr>
                  <w:tcW w:w="2742" w:type="dxa"/>
                  <w:shd w:val="clear" w:color="auto" w:fill="F1F1F1"/>
                  <w:vAlign w:val="center"/>
                </w:tcPr>
                <w:p>
                  <w:pPr>
                    <w:autoSpaceDE w:val="0"/>
                    <w:autoSpaceDN w:val="0"/>
                    <w:adjustRightInd w:val="0"/>
                    <w:spacing w:line="360" w:lineRule="exact"/>
                    <w:jc w:val="center"/>
                    <w:rPr>
                      <w:rFonts w:hint="eastAsia" w:eastAsia="宋体"/>
                      <w:sz w:val="21"/>
                      <w:szCs w:val="21"/>
                      <w:highlight w:val="none"/>
                      <w:lang w:eastAsia="zh-CN"/>
                    </w:rPr>
                  </w:pPr>
                  <w:r>
                    <w:rPr>
                      <w:rFonts w:hint="eastAsia"/>
                      <w:sz w:val="21"/>
                      <w:szCs w:val="21"/>
                      <w:highlight w:val="none"/>
                      <w:lang w:eastAsia="zh-CN"/>
                    </w:rPr>
                    <w:t>排放限值</w:t>
                  </w:r>
                </w:p>
              </w:tc>
              <w:tc>
                <w:tcPr>
                  <w:tcW w:w="2743" w:type="dxa"/>
                  <w:vMerge w:val="restart"/>
                  <w:shd w:val="clear" w:color="auto" w:fill="F1F1F1"/>
                  <w:vAlign w:val="center"/>
                </w:tcPr>
                <w:p>
                  <w:pPr>
                    <w:autoSpaceDE w:val="0"/>
                    <w:autoSpaceDN w:val="0"/>
                    <w:adjustRightInd w:val="0"/>
                    <w:spacing w:line="360" w:lineRule="exact"/>
                    <w:jc w:val="center"/>
                    <w:rPr>
                      <w:sz w:val="21"/>
                      <w:szCs w:val="21"/>
                      <w:highlight w:val="none"/>
                    </w:rPr>
                  </w:pPr>
                  <w:r>
                    <w:rPr>
                      <w:rFonts w:hint="eastAsia"/>
                      <w:sz w:val="21"/>
                      <w:szCs w:val="21"/>
                      <w:highlight w:val="none"/>
                    </w:rPr>
                    <w:t>污染物排放位置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742" w:type="dxa"/>
                  <w:vMerge w:val="continue"/>
                  <w:shd w:val="clear" w:color="auto" w:fill="F1F1F1"/>
                  <w:vAlign w:val="center"/>
                </w:tcPr>
                <w:p>
                  <w:pPr>
                    <w:autoSpaceDE w:val="0"/>
                    <w:autoSpaceDN w:val="0"/>
                    <w:adjustRightInd w:val="0"/>
                    <w:spacing w:line="360" w:lineRule="exact"/>
                    <w:jc w:val="center"/>
                    <w:rPr>
                      <w:sz w:val="21"/>
                      <w:szCs w:val="21"/>
                      <w:highlight w:val="none"/>
                    </w:rPr>
                  </w:pPr>
                </w:p>
              </w:tc>
              <w:tc>
                <w:tcPr>
                  <w:tcW w:w="2742" w:type="dxa"/>
                  <w:shd w:val="clear" w:color="auto" w:fill="F1F1F1"/>
                  <w:vAlign w:val="center"/>
                </w:tcPr>
                <w:p>
                  <w:pPr>
                    <w:autoSpaceDE w:val="0"/>
                    <w:autoSpaceDN w:val="0"/>
                    <w:adjustRightInd w:val="0"/>
                    <w:spacing w:line="360" w:lineRule="exact"/>
                    <w:jc w:val="center"/>
                    <w:rPr>
                      <w:sz w:val="21"/>
                      <w:szCs w:val="21"/>
                      <w:highlight w:val="none"/>
                    </w:rPr>
                  </w:pPr>
                  <w:r>
                    <w:rPr>
                      <w:rFonts w:hint="eastAsia"/>
                      <w:sz w:val="21"/>
                      <w:szCs w:val="21"/>
                      <w:highlight w:val="none"/>
                    </w:rPr>
                    <w:t>小型</w:t>
                  </w:r>
                </w:p>
              </w:tc>
              <w:tc>
                <w:tcPr>
                  <w:tcW w:w="2743" w:type="dxa"/>
                  <w:vMerge w:val="continue"/>
                  <w:shd w:val="clear" w:color="auto" w:fill="F1F1F1"/>
                  <w:vAlign w:val="center"/>
                </w:tcPr>
                <w:p>
                  <w:pPr>
                    <w:autoSpaceDE w:val="0"/>
                    <w:autoSpaceDN w:val="0"/>
                    <w:adjustRightInd w:val="0"/>
                    <w:spacing w:line="360" w:lineRule="exact"/>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742" w:type="dxa"/>
                  <w:vAlign w:val="center"/>
                </w:tcPr>
                <w:p>
                  <w:pPr>
                    <w:autoSpaceDE w:val="0"/>
                    <w:autoSpaceDN w:val="0"/>
                    <w:adjustRightInd w:val="0"/>
                    <w:spacing w:line="360" w:lineRule="exact"/>
                    <w:jc w:val="center"/>
                    <w:rPr>
                      <w:sz w:val="21"/>
                      <w:szCs w:val="21"/>
                      <w:highlight w:val="none"/>
                    </w:rPr>
                  </w:pPr>
                  <w:r>
                    <w:rPr>
                      <w:rFonts w:hint="eastAsia"/>
                      <w:sz w:val="21"/>
                      <w:szCs w:val="21"/>
                      <w:highlight w:val="none"/>
                    </w:rPr>
                    <w:t>油烟</w:t>
                  </w:r>
                </w:p>
              </w:tc>
              <w:tc>
                <w:tcPr>
                  <w:tcW w:w="2742" w:type="dxa"/>
                  <w:vAlign w:val="center"/>
                </w:tcPr>
                <w:p>
                  <w:pPr>
                    <w:autoSpaceDE w:val="0"/>
                    <w:autoSpaceDN w:val="0"/>
                    <w:adjustRightInd w:val="0"/>
                    <w:spacing w:line="360" w:lineRule="exact"/>
                    <w:jc w:val="center"/>
                    <w:rPr>
                      <w:sz w:val="21"/>
                      <w:szCs w:val="21"/>
                      <w:highlight w:val="none"/>
                    </w:rPr>
                  </w:pPr>
                  <w:r>
                    <w:rPr>
                      <w:rFonts w:hint="eastAsia"/>
                      <w:sz w:val="21"/>
                      <w:szCs w:val="21"/>
                      <w:highlight w:val="none"/>
                    </w:rPr>
                    <w:t>1.5</w:t>
                  </w:r>
                </w:p>
              </w:tc>
              <w:tc>
                <w:tcPr>
                  <w:tcW w:w="2743" w:type="dxa"/>
                  <w:vAlign w:val="center"/>
                </w:tcPr>
                <w:p>
                  <w:pPr>
                    <w:autoSpaceDE w:val="0"/>
                    <w:autoSpaceDN w:val="0"/>
                    <w:adjustRightInd w:val="0"/>
                    <w:spacing w:line="360" w:lineRule="exact"/>
                    <w:jc w:val="center"/>
                    <w:rPr>
                      <w:sz w:val="21"/>
                      <w:szCs w:val="21"/>
                      <w:highlight w:val="none"/>
                    </w:rPr>
                  </w:pPr>
                  <w:r>
                    <w:rPr>
                      <w:rFonts w:hint="eastAsia"/>
                      <w:sz w:val="21"/>
                      <w:szCs w:val="21"/>
                      <w:highlight w:val="none"/>
                    </w:rPr>
                    <w:t>排风管或排气筒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742" w:type="dxa"/>
                  <w:vAlign w:val="center"/>
                </w:tcPr>
                <w:p>
                  <w:pPr>
                    <w:autoSpaceDE w:val="0"/>
                    <w:autoSpaceDN w:val="0"/>
                    <w:adjustRightInd w:val="0"/>
                    <w:spacing w:line="360" w:lineRule="exact"/>
                    <w:jc w:val="center"/>
                    <w:rPr>
                      <w:sz w:val="21"/>
                      <w:szCs w:val="21"/>
                      <w:highlight w:val="none"/>
                    </w:rPr>
                  </w:pPr>
                  <w:r>
                    <w:rPr>
                      <w:rFonts w:hint="eastAsia"/>
                      <w:sz w:val="21"/>
                      <w:szCs w:val="21"/>
                      <w:highlight w:val="none"/>
                    </w:rPr>
                    <w:t>油烟去除效率（%）</w:t>
                  </w:r>
                </w:p>
              </w:tc>
              <w:tc>
                <w:tcPr>
                  <w:tcW w:w="2742" w:type="dxa"/>
                  <w:vAlign w:val="center"/>
                </w:tcPr>
                <w:p>
                  <w:pPr>
                    <w:autoSpaceDE w:val="0"/>
                    <w:autoSpaceDN w:val="0"/>
                    <w:adjustRightInd w:val="0"/>
                    <w:spacing w:line="360" w:lineRule="exact"/>
                    <w:jc w:val="center"/>
                    <w:rPr>
                      <w:sz w:val="21"/>
                      <w:szCs w:val="21"/>
                      <w:highlight w:val="none"/>
                    </w:rPr>
                  </w:pPr>
                  <w:r>
                    <w:rPr>
                      <w:rFonts w:hint="eastAsia"/>
                      <w:sz w:val="21"/>
                      <w:szCs w:val="21"/>
                      <w:highlight w:val="none"/>
                    </w:rPr>
                    <w:t>≥90</w:t>
                  </w:r>
                </w:p>
              </w:tc>
              <w:tc>
                <w:tcPr>
                  <w:tcW w:w="2743" w:type="dxa"/>
                  <w:vAlign w:val="center"/>
                </w:tcPr>
                <w:p>
                  <w:pPr>
                    <w:autoSpaceDE w:val="0"/>
                    <w:autoSpaceDN w:val="0"/>
                    <w:adjustRightInd w:val="0"/>
                    <w:spacing w:line="360" w:lineRule="exact"/>
                    <w:jc w:val="center"/>
                    <w:rPr>
                      <w:sz w:val="21"/>
                      <w:szCs w:val="21"/>
                      <w:highlight w:val="none"/>
                    </w:rPr>
                  </w:pPr>
                  <w:r>
                    <w:rPr>
                      <w:rFonts w:hint="eastAsia"/>
                      <w:sz w:val="21"/>
                      <w:szCs w:val="21"/>
                      <w:highlight w:val="none"/>
                    </w:rPr>
                    <w:t>--</w:t>
                  </w:r>
                </w:p>
              </w:tc>
            </w:tr>
          </w:tbl>
          <w:p>
            <w:pPr>
              <w:spacing w:line="360" w:lineRule="auto"/>
              <w:rPr>
                <w:snapToGrid w:val="0"/>
                <w:sz w:val="24"/>
              </w:rPr>
            </w:pPr>
            <w:r>
              <w:rPr>
                <w:rFonts w:hint="eastAsia"/>
                <w:sz w:val="24"/>
                <w:highlight w:val="none"/>
              </w:rPr>
              <w:t>1.3</w:t>
            </w:r>
            <w:r>
              <w:rPr>
                <w:snapToGrid w:val="0"/>
                <w:sz w:val="24"/>
                <w:highlight w:val="none"/>
              </w:rPr>
              <w:t>本项目运营后产生的废气为燃气</w:t>
            </w:r>
            <w:r>
              <w:rPr>
                <w:rFonts w:hint="eastAsia"/>
                <w:snapToGrid w:val="0"/>
                <w:sz w:val="24"/>
                <w:highlight w:val="none"/>
                <w:lang w:eastAsia="zh-CN"/>
              </w:rPr>
              <w:t>灶</w:t>
            </w:r>
            <w:r>
              <w:rPr>
                <w:snapToGrid w:val="0"/>
                <w:sz w:val="24"/>
                <w:highlight w:val="none"/>
              </w:rPr>
              <w:t>产生的废气，</w:t>
            </w:r>
            <w:r>
              <w:rPr>
                <w:snapToGrid w:val="0"/>
                <w:sz w:val="24"/>
              </w:rPr>
              <w:t>执行《锅炉大气污染物排放标准》（GB13271-2014）表3大气污染物特别排放限值，标准限值见表1</w:t>
            </w:r>
            <w:r>
              <w:rPr>
                <w:rFonts w:hint="eastAsia"/>
                <w:snapToGrid w:val="0"/>
                <w:sz w:val="24"/>
                <w:lang w:val="en-US" w:eastAsia="zh-CN"/>
              </w:rPr>
              <w:t>8</w:t>
            </w:r>
            <w:r>
              <w:rPr>
                <w:snapToGrid w:val="0"/>
                <w:sz w:val="24"/>
              </w:rPr>
              <w:t>。</w:t>
            </w:r>
          </w:p>
          <w:p>
            <w:pPr>
              <w:pStyle w:val="35"/>
              <w:spacing w:line="360" w:lineRule="auto"/>
              <w:ind w:left="46" w:firstLine="0" w:firstLineChars="0"/>
              <w:jc w:val="center"/>
              <w:rPr>
                <w:snapToGrid w:val="0"/>
                <w:sz w:val="32"/>
              </w:rPr>
            </w:pPr>
            <w:r>
              <w:rPr>
                <w:snapToGrid w:val="0"/>
                <w:sz w:val="22"/>
                <w:szCs w:val="22"/>
              </w:rPr>
              <w:t>表1</w:t>
            </w:r>
            <w:r>
              <w:rPr>
                <w:rFonts w:hint="eastAsia"/>
                <w:snapToGrid w:val="0"/>
                <w:sz w:val="22"/>
                <w:szCs w:val="22"/>
                <w:lang w:val="en-US" w:eastAsia="zh-CN"/>
              </w:rPr>
              <w:t>8</w:t>
            </w:r>
            <w:r>
              <w:rPr>
                <w:snapToGrid w:val="0"/>
                <w:sz w:val="22"/>
                <w:szCs w:val="22"/>
              </w:rPr>
              <w:t xml:space="preserve">  大气污染物</w:t>
            </w:r>
            <w:r>
              <w:rPr>
                <w:rFonts w:hint="eastAsia"/>
                <w:snapToGrid w:val="0"/>
                <w:sz w:val="22"/>
                <w:szCs w:val="22"/>
              </w:rPr>
              <w:t>特别排放限值</w:t>
            </w:r>
          </w:p>
          <w:tbl>
            <w:tblPr>
              <w:tblStyle w:val="28"/>
              <w:tblW w:w="799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241"/>
              <w:gridCol w:w="2112"/>
              <w:gridCol w:w="1605"/>
              <w:gridCol w:w="2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17" w:hRule="atLeast"/>
                <w:jc w:val="center"/>
              </w:trPr>
              <w:tc>
                <w:tcPr>
                  <w:tcW w:w="2241" w:type="dxa"/>
                  <w:vAlign w:val="center"/>
                </w:tcPr>
                <w:p>
                  <w:pPr>
                    <w:pStyle w:val="35"/>
                    <w:spacing w:line="360" w:lineRule="auto"/>
                    <w:ind w:firstLine="0" w:firstLineChars="0"/>
                    <w:jc w:val="center"/>
                    <w:rPr>
                      <w:snapToGrid w:val="0"/>
                      <w:sz w:val="21"/>
                      <w:szCs w:val="21"/>
                    </w:rPr>
                  </w:pPr>
                  <w:r>
                    <w:rPr>
                      <w:rFonts w:hint="eastAsia"/>
                      <w:snapToGrid w:val="0"/>
                      <w:sz w:val="21"/>
                      <w:szCs w:val="21"/>
                    </w:rPr>
                    <w:t>污染物项目</w:t>
                  </w:r>
                </w:p>
              </w:tc>
              <w:tc>
                <w:tcPr>
                  <w:tcW w:w="2112" w:type="dxa"/>
                  <w:vAlign w:val="center"/>
                </w:tcPr>
                <w:p>
                  <w:pPr>
                    <w:pStyle w:val="35"/>
                    <w:spacing w:line="360" w:lineRule="auto"/>
                    <w:ind w:firstLine="420"/>
                    <w:jc w:val="center"/>
                    <w:rPr>
                      <w:snapToGrid w:val="0"/>
                      <w:sz w:val="21"/>
                      <w:szCs w:val="21"/>
                    </w:rPr>
                  </w:pPr>
                  <w:r>
                    <w:rPr>
                      <w:rFonts w:hint="eastAsia"/>
                      <w:snapToGrid w:val="0"/>
                      <w:sz w:val="21"/>
                      <w:szCs w:val="21"/>
                    </w:rPr>
                    <w:t>燃气锅炉排放限值</w:t>
                  </w:r>
                </w:p>
              </w:tc>
              <w:tc>
                <w:tcPr>
                  <w:tcW w:w="1605" w:type="dxa"/>
                  <w:vAlign w:val="center"/>
                </w:tcPr>
                <w:p>
                  <w:pPr>
                    <w:pStyle w:val="35"/>
                    <w:spacing w:line="360" w:lineRule="auto"/>
                    <w:ind w:firstLine="0" w:firstLineChars="0"/>
                    <w:jc w:val="center"/>
                    <w:rPr>
                      <w:snapToGrid w:val="0"/>
                      <w:sz w:val="21"/>
                      <w:szCs w:val="21"/>
                    </w:rPr>
                  </w:pPr>
                  <w:r>
                    <w:rPr>
                      <w:rFonts w:hint="eastAsia"/>
                      <w:snapToGrid w:val="0"/>
                      <w:sz w:val="21"/>
                      <w:szCs w:val="21"/>
                    </w:rPr>
                    <w:t>单位</w:t>
                  </w:r>
                </w:p>
              </w:tc>
              <w:tc>
                <w:tcPr>
                  <w:tcW w:w="2033" w:type="dxa"/>
                  <w:vAlign w:val="center"/>
                </w:tcPr>
                <w:p>
                  <w:pPr>
                    <w:pStyle w:val="35"/>
                    <w:spacing w:line="360" w:lineRule="auto"/>
                    <w:ind w:firstLine="0" w:firstLineChars="0"/>
                    <w:jc w:val="center"/>
                    <w:rPr>
                      <w:snapToGrid w:val="0"/>
                      <w:sz w:val="21"/>
                      <w:szCs w:val="21"/>
                    </w:rPr>
                  </w:pPr>
                  <w:r>
                    <w:rPr>
                      <w:rFonts w:hint="eastAsia"/>
                      <w:snapToGrid w:val="0"/>
                      <w:sz w:val="21"/>
                      <w:szCs w:val="21"/>
                    </w:rPr>
                    <w:t>污染物排放监控位置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exact"/>
                <w:jc w:val="center"/>
              </w:trPr>
              <w:tc>
                <w:tcPr>
                  <w:tcW w:w="2241" w:type="dxa"/>
                  <w:vAlign w:val="center"/>
                </w:tcPr>
                <w:p>
                  <w:pPr>
                    <w:pStyle w:val="35"/>
                    <w:spacing w:line="360" w:lineRule="auto"/>
                    <w:ind w:firstLine="0" w:firstLineChars="0"/>
                    <w:jc w:val="center"/>
                    <w:rPr>
                      <w:snapToGrid w:val="0"/>
                      <w:sz w:val="21"/>
                      <w:szCs w:val="21"/>
                    </w:rPr>
                  </w:pPr>
                  <w:r>
                    <w:rPr>
                      <w:rFonts w:hint="eastAsia"/>
                      <w:snapToGrid w:val="0"/>
                      <w:sz w:val="21"/>
                      <w:szCs w:val="21"/>
                    </w:rPr>
                    <w:t>颗粒物</w:t>
                  </w:r>
                </w:p>
              </w:tc>
              <w:tc>
                <w:tcPr>
                  <w:tcW w:w="2112" w:type="dxa"/>
                  <w:vAlign w:val="center"/>
                </w:tcPr>
                <w:p>
                  <w:pPr>
                    <w:pStyle w:val="35"/>
                    <w:spacing w:line="360" w:lineRule="auto"/>
                    <w:ind w:firstLine="0" w:firstLineChars="0"/>
                    <w:jc w:val="center"/>
                    <w:rPr>
                      <w:snapToGrid w:val="0"/>
                      <w:sz w:val="21"/>
                      <w:szCs w:val="21"/>
                    </w:rPr>
                  </w:pPr>
                  <w:r>
                    <w:rPr>
                      <w:rFonts w:hint="eastAsia"/>
                      <w:snapToGrid w:val="0"/>
                      <w:sz w:val="21"/>
                      <w:szCs w:val="21"/>
                    </w:rPr>
                    <w:t>20</w:t>
                  </w:r>
                </w:p>
              </w:tc>
              <w:tc>
                <w:tcPr>
                  <w:tcW w:w="1605" w:type="dxa"/>
                  <w:vMerge w:val="restart"/>
                  <w:vAlign w:val="center"/>
                </w:tcPr>
                <w:p>
                  <w:pPr>
                    <w:pStyle w:val="35"/>
                    <w:spacing w:line="360" w:lineRule="auto"/>
                    <w:ind w:firstLine="0" w:firstLineChars="0"/>
                    <w:jc w:val="center"/>
                    <w:rPr>
                      <w:snapToGrid w:val="0"/>
                      <w:sz w:val="21"/>
                      <w:szCs w:val="21"/>
                    </w:rPr>
                  </w:pPr>
                  <w:r>
                    <w:rPr>
                      <w:snapToGrid w:val="0"/>
                      <w:sz w:val="21"/>
                      <w:szCs w:val="21"/>
                    </w:rPr>
                    <w:t>mg</w:t>
                  </w:r>
                  <w:r>
                    <w:rPr>
                      <w:rFonts w:hint="eastAsia"/>
                      <w:snapToGrid w:val="0"/>
                      <w:sz w:val="21"/>
                      <w:szCs w:val="21"/>
                    </w:rPr>
                    <w:t>/m</w:t>
                  </w:r>
                  <w:r>
                    <w:rPr>
                      <w:rFonts w:hint="eastAsia"/>
                      <w:snapToGrid w:val="0"/>
                      <w:sz w:val="21"/>
                      <w:szCs w:val="21"/>
                      <w:vertAlign w:val="superscript"/>
                    </w:rPr>
                    <w:t>3</w:t>
                  </w:r>
                </w:p>
              </w:tc>
              <w:tc>
                <w:tcPr>
                  <w:tcW w:w="2033" w:type="dxa"/>
                  <w:vMerge w:val="restart"/>
                  <w:vAlign w:val="center"/>
                </w:tcPr>
                <w:p>
                  <w:pPr>
                    <w:pStyle w:val="35"/>
                    <w:spacing w:line="360" w:lineRule="auto"/>
                    <w:ind w:firstLine="0" w:firstLineChars="0"/>
                    <w:jc w:val="center"/>
                    <w:rPr>
                      <w:snapToGrid w:val="0"/>
                      <w:sz w:val="21"/>
                      <w:szCs w:val="21"/>
                    </w:rPr>
                  </w:pPr>
                  <w:r>
                    <w:rPr>
                      <w:rFonts w:hint="eastAsia"/>
                      <w:snapToGrid w:val="0"/>
                      <w:sz w:val="21"/>
                      <w:szCs w:val="21"/>
                    </w:rPr>
                    <w:t>烟囱或烟道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exact"/>
                <w:jc w:val="center"/>
              </w:trPr>
              <w:tc>
                <w:tcPr>
                  <w:tcW w:w="2241" w:type="dxa"/>
                  <w:vAlign w:val="center"/>
                </w:tcPr>
                <w:p>
                  <w:pPr>
                    <w:pStyle w:val="35"/>
                    <w:spacing w:line="360" w:lineRule="auto"/>
                    <w:ind w:firstLine="0" w:firstLineChars="0"/>
                    <w:jc w:val="center"/>
                    <w:rPr>
                      <w:snapToGrid w:val="0"/>
                      <w:sz w:val="21"/>
                      <w:szCs w:val="21"/>
                    </w:rPr>
                  </w:pPr>
                  <w:r>
                    <w:rPr>
                      <w:rFonts w:hint="eastAsia"/>
                      <w:snapToGrid w:val="0"/>
                      <w:sz w:val="21"/>
                      <w:szCs w:val="21"/>
                    </w:rPr>
                    <w:t>二氧化硫</w:t>
                  </w:r>
                </w:p>
              </w:tc>
              <w:tc>
                <w:tcPr>
                  <w:tcW w:w="2112" w:type="dxa"/>
                  <w:vAlign w:val="center"/>
                </w:tcPr>
                <w:p>
                  <w:pPr>
                    <w:pStyle w:val="35"/>
                    <w:spacing w:line="360" w:lineRule="auto"/>
                    <w:ind w:firstLine="0" w:firstLineChars="0"/>
                    <w:jc w:val="center"/>
                    <w:rPr>
                      <w:snapToGrid w:val="0"/>
                      <w:sz w:val="21"/>
                      <w:szCs w:val="21"/>
                    </w:rPr>
                  </w:pPr>
                  <w:r>
                    <w:rPr>
                      <w:rFonts w:hint="eastAsia"/>
                      <w:snapToGrid w:val="0"/>
                      <w:sz w:val="21"/>
                      <w:szCs w:val="21"/>
                    </w:rPr>
                    <w:t>50</w:t>
                  </w:r>
                </w:p>
              </w:tc>
              <w:tc>
                <w:tcPr>
                  <w:tcW w:w="1605" w:type="dxa"/>
                  <w:vMerge w:val="continue"/>
                  <w:vAlign w:val="center"/>
                </w:tcPr>
                <w:p>
                  <w:pPr>
                    <w:pStyle w:val="35"/>
                    <w:spacing w:line="360" w:lineRule="auto"/>
                    <w:ind w:firstLine="0" w:firstLineChars="0"/>
                    <w:jc w:val="center"/>
                    <w:rPr>
                      <w:snapToGrid w:val="0"/>
                      <w:sz w:val="21"/>
                      <w:szCs w:val="21"/>
                    </w:rPr>
                  </w:pPr>
                </w:p>
              </w:tc>
              <w:tc>
                <w:tcPr>
                  <w:tcW w:w="2033" w:type="dxa"/>
                  <w:vMerge w:val="continue"/>
                  <w:vAlign w:val="center"/>
                </w:tcPr>
                <w:p>
                  <w:pPr>
                    <w:pStyle w:val="35"/>
                    <w:spacing w:line="360" w:lineRule="auto"/>
                    <w:ind w:firstLine="0" w:firstLineChars="0"/>
                    <w:jc w:val="center"/>
                    <w:rPr>
                      <w:snapToGrid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exact"/>
                <w:jc w:val="center"/>
              </w:trPr>
              <w:tc>
                <w:tcPr>
                  <w:tcW w:w="2241" w:type="dxa"/>
                  <w:vAlign w:val="center"/>
                </w:tcPr>
                <w:p>
                  <w:pPr>
                    <w:pStyle w:val="35"/>
                    <w:spacing w:line="360" w:lineRule="auto"/>
                    <w:ind w:firstLine="0" w:firstLineChars="0"/>
                    <w:jc w:val="center"/>
                    <w:rPr>
                      <w:snapToGrid w:val="0"/>
                      <w:sz w:val="21"/>
                      <w:szCs w:val="21"/>
                    </w:rPr>
                  </w:pPr>
                  <w:r>
                    <w:rPr>
                      <w:rFonts w:hint="eastAsia"/>
                      <w:snapToGrid w:val="0"/>
                      <w:sz w:val="21"/>
                      <w:szCs w:val="21"/>
                    </w:rPr>
                    <w:t>氮氧化物</w:t>
                  </w:r>
                </w:p>
              </w:tc>
              <w:tc>
                <w:tcPr>
                  <w:tcW w:w="2112" w:type="dxa"/>
                  <w:vAlign w:val="center"/>
                </w:tcPr>
                <w:p>
                  <w:pPr>
                    <w:pStyle w:val="35"/>
                    <w:spacing w:line="360" w:lineRule="auto"/>
                    <w:ind w:firstLine="0" w:firstLineChars="0"/>
                    <w:jc w:val="center"/>
                    <w:rPr>
                      <w:rFonts w:hint="eastAsia"/>
                      <w:snapToGrid w:val="0"/>
                      <w:sz w:val="21"/>
                      <w:szCs w:val="21"/>
                    </w:rPr>
                  </w:pPr>
                  <w:r>
                    <w:rPr>
                      <w:rFonts w:hint="eastAsia"/>
                      <w:snapToGrid w:val="0"/>
                      <w:sz w:val="21"/>
                      <w:szCs w:val="21"/>
                    </w:rPr>
                    <w:t>150</w:t>
                  </w:r>
                </w:p>
              </w:tc>
              <w:tc>
                <w:tcPr>
                  <w:tcW w:w="1605" w:type="dxa"/>
                  <w:vMerge w:val="continue"/>
                  <w:vAlign w:val="center"/>
                </w:tcPr>
                <w:p>
                  <w:pPr>
                    <w:pStyle w:val="35"/>
                    <w:spacing w:line="360" w:lineRule="auto"/>
                    <w:ind w:firstLine="0" w:firstLineChars="0"/>
                    <w:jc w:val="center"/>
                    <w:rPr>
                      <w:snapToGrid w:val="0"/>
                      <w:sz w:val="21"/>
                      <w:szCs w:val="21"/>
                    </w:rPr>
                  </w:pPr>
                </w:p>
              </w:tc>
              <w:tc>
                <w:tcPr>
                  <w:tcW w:w="2033" w:type="dxa"/>
                  <w:vMerge w:val="continue"/>
                  <w:vAlign w:val="center"/>
                </w:tcPr>
                <w:p>
                  <w:pPr>
                    <w:pStyle w:val="35"/>
                    <w:spacing w:line="360" w:lineRule="auto"/>
                    <w:ind w:firstLine="0" w:firstLineChars="0"/>
                    <w:jc w:val="center"/>
                    <w:rPr>
                      <w:snapToGrid w:val="0"/>
                      <w:sz w:val="21"/>
                      <w:szCs w:val="21"/>
                    </w:rPr>
                  </w:pPr>
                </w:p>
              </w:tc>
            </w:tr>
          </w:tbl>
          <w:p>
            <w:pPr>
              <w:adjustRightInd w:val="0"/>
              <w:snapToGrid w:val="0"/>
              <w:spacing w:before="156" w:beforeLines="50" w:line="520" w:lineRule="exact"/>
              <w:ind w:firstLine="480" w:firstLineChars="200"/>
              <w:rPr>
                <w:rFonts w:hint="eastAsia"/>
                <w:sz w:val="24"/>
                <w:highlight w:val="none"/>
              </w:rPr>
            </w:pPr>
            <w:r>
              <w:rPr>
                <w:rFonts w:hint="eastAsia"/>
                <w:sz w:val="24"/>
                <w:highlight w:val="none"/>
              </w:rPr>
              <w:t>1.4油炸异味排放标准执行《恶臭污染物排放标准》（GB14554-93），具体限值见下表：</w:t>
            </w:r>
          </w:p>
          <w:p>
            <w:pPr>
              <w:spacing w:line="360" w:lineRule="auto"/>
              <w:ind w:left="-10" w:leftChars="-5" w:firstLine="11"/>
              <w:jc w:val="center"/>
              <w:rPr>
                <w:rFonts w:hint="eastAsia"/>
                <w:b/>
                <w:bCs/>
                <w:szCs w:val="21"/>
                <w:highlight w:val="none"/>
              </w:rPr>
            </w:pPr>
            <w:r>
              <w:rPr>
                <w:rFonts w:hint="eastAsia"/>
                <w:b/>
                <w:bCs/>
                <w:szCs w:val="21"/>
                <w:highlight w:val="none"/>
              </w:rPr>
              <w:t>表</w:t>
            </w:r>
            <w:r>
              <w:rPr>
                <w:rFonts w:hint="eastAsia"/>
                <w:b/>
                <w:bCs/>
                <w:szCs w:val="21"/>
                <w:highlight w:val="none"/>
                <w:lang w:val="en-US" w:eastAsia="zh-CN"/>
              </w:rPr>
              <w:t>19</w:t>
            </w:r>
            <w:r>
              <w:rPr>
                <w:rFonts w:hint="eastAsia"/>
                <w:b/>
                <w:bCs/>
                <w:szCs w:val="21"/>
                <w:highlight w:val="none"/>
              </w:rPr>
              <w:t xml:space="preserve">  环境恶臭污染物控制标准值</w:t>
            </w:r>
          </w:p>
          <w:tbl>
            <w:tblPr>
              <w:tblStyle w:val="28"/>
              <w:tblW w:w="81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052"/>
              <w:gridCol w:w="2053"/>
              <w:gridCol w:w="2052"/>
              <w:gridCol w:w="20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052" w:type="dxa"/>
                  <w:tcMar>
                    <w:left w:w="28" w:type="dxa"/>
                    <w:right w:w="28" w:type="dxa"/>
                  </w:tcMar>
                  <w:vAlign w:val="center"/>
                </w:tcPr>
                <w:p>
                  <w:pPr>
                    <w:adjustRightInd w:val="0"/>
                    <w:snapToGrid w:val="0"/>
                    <w:spacing w:line="360" w:lineRule="auto"/>
                    <w:jc w:val="center"/>
                  </w:pPr>
                  <w:r>
                    <w:t>控制项目</w:t>
                  </w:r>
                </w:p>
              </w:tc>
              <w:tc>
                <w:tcPr>
                  <w:tcW w:w="2053" w:type="dxa"/>
                  <w:tcMar>
                    <w:left w:w="28" w:type="dxa"/>
                    <w:right w:w="28" w:type="dxa"/>
                  </w:tcMar>
                  <w:vAlign w:val="center"/>
                </w:tcPr>
                <w:p>
                  <w:pPr>
                    <w:adjustRightInd w:val="0"/>
                    <w:snapToGrid w:val="0"/>
                    <w:spacing w:line="360" w:lineRule="auto"/>
                    <w:jc w:val="center"/>
                  </w:pPr>
                  <w:r>
                    <w:t>排气筒高度</w:t>
                  </w:r>
                </w:p>
              </w:tc>
              <w:tc>
                <w:tcPr>
                  <w:tcW w:w="2052" w:type="dxa"/>
                  <w:tcMar>
                    <w:left w:w="28" w:type="dxa"/>
                    <w:right w:w="28" w:type="dxa"/>
                  </w:tcMar>
                  <w:vAlign w:val="center"/>
                </w:tcPr>
                <w:p>
                  <w:pPr>
                    <w:adjustRightInd w:val="0"/>
                    <w:snapToGrid w:val="0"/>
                    <w:spacing w:line="360" w:lineRule="auto"/>
                    <w:jc w:val="center"/>
                  </w:pPr>
                  <w:r>
                    <w:t>排放量</w:t>
                  </w:r>
                </w:p>
              </w:tc>
              <w:tc>
                <w:tcPr>
                  <w:tcW w:w="2040" w:type="dxa"/>
                  <w:tcMar>
                    <w:left w:w="28" w:type="dxa"/>
                    <w:right w:w="28" w:type="dxa"/>
                  </w:tcMar>
                  <w:vAlign w:val="center"/>
                </w:tcPr>
                <w:p>
                  <w:pPr>
                    <w:adjustRightInd w:val="0"/>
                    <w:snapToGrid w:val="0"/>
                    <w:spacing w:line="360" w:lineRule="auto"/>
                    <w:jc w:val="center"/>
                  </w:pPr>
                  <w:r>
                    <w:t>厂界标准值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052" w:type="dxa"/>
                  <w:tcMar>
                    <w:left w:w="28" w:type="dxa"/>
                    <w:right w:w="28" w:type="dxa"/>
                  </w:tcMar>
                  <w:vAlign w:val="center"/>
                </w:tcPr>
                <w:p>
                  <w:pPr>
                    <w:adjustRightInd w:val="0"/>
                    <w:snapToGrid w:val="0"/>
                    <w:spacing w:line="360" w:lineRule="auto"/>
                    <w:jc w:val="center"/>
                  </w:pPr>
                  <w:r>
                    <w:t>臭气浓度（无量纲）</w:t>
                  </w:r>
                </w:p>
              </w:tc>
              <w:tc>
                <w:tcPr>
                  <w:tcW w:w="2053" w:type="dxa"/>
                  <w:tcMar>
                    <w:left w:w="28" w:type="dxa"/>
                    <w:right w:w="28" w:type="dxa"/>
                  </w:tcMar>
                  <w:vAlign w:val="center"/>
                </w:tcPr>
                <w:p>
                  <w:pPr>
                    <w:adjustRightInd w:val="0"/>
                    <w:snapToGrid w:val="0"/>
                    <w:spacing w:line="360" w:lineRule="auto"/>
                    <w:jc w:val="center"/>
                  </w:pPr>
                  <w:r>
                    <w:t>15</w:t>
                  </w:r>
                </w:p>
              </w:tc>
              <w:tc>
                <w:tcPr>
                  <w:tcW w:w="2052" w:type="dxa"/>
                  <w:tcMar>
                    <w:left w:w="28" w:type="dxa"/>
                    <w:right w:w="28" w:type="dxa"/>
                  </w:tcMar>
                  <w:vAlign w:val="center"/>
                </w:tcPr>
                <w:p>
                  <w:pPr>
                    <w:adjustRightInd w:val="0"/>
                    <w:snapToGrid w:val="0"/>
                    <w:spacing w:line="360" w:lineRule="auto"/>
                    <w:jc w:val="center"/>
                  </w:pPr>
                  <w:r>
                    <w:t>1000</w:t>
                  </w:r>
                </w:p>
              </w:tc>
              <w:tc>
                <w:tcPr>
                  <w:tcW w:w="2040" w:type="dxa"/>
                  <w:tcMar>
                    <w:left w:w="28" w:type="dxa"/>
                    <w:right w:w="28" w:type="dxa"/>
                  </w:tcMar>
                  <w:vAlign w:val="center"/>
                </w:tcPr>
                <w:p>
                  <w:pPr>
                    <w:adjustRightInd w:val="0"/>
                    <w:snapToGrid w:val="0"/>
                    <w:spacing w:line="360" w:lineRule="auto"/>
                    <w:jc w:val="center"/>
                  </w:pPr>
                  <w:r>
                    <w:t>20</w:t>
                  </w:r>
                </w:p>
              </w:tc>
            </w:tr>
          </w:tbl>
          <w:p>
            <w:pPr>
              <w:spacing w:line="360" w:lineRule="auto"/>
              <w:jc w:val="left"/>
              <w:rPr>
                <w:rFonts w:hint="eastAsia"/>
                <w:sz w:val="24"/>
              </w:rPr>
            </w:pPr>
            <w:r>
              <w:rPr>
                <w:rFonts w:hint="eastAsia"/>
                <w:sz w:val="24"/>
              </w:rPr>
              <w:t>2、噪声</w:t>
            </w:r>
          </w:p>
          <w:p>
            <w:pPr>
              <w:autoSpaceDE w:val="0"/>
              <w:autoSpaceDN w:val="0"/>
              <w:adjustRightInd w:val="0"/>
              <w:spacing w:line="360" w:lineRule="auto"/>
              <w:ind w:firstLine="480" w:firstLineChars="200"/>
              <w:jc w:val="left"/>
              <w:rPr>
                <w:sz w:val="24"/>
              </w:rPr>
            </w:pPr>
            <w:r>
              <w:rPr>
                <w:rFonts w:hint="eastAsia"/>
                <w:sz w:val="24"/>
              </w:rPr>
              <w:t>2.1</w:t>
            </w:r>
            <w:r>
              <w:rPr>
                <w:sz w:val="24"/>
              </w:rPr>
              <w:t>施工期执行《建筑施工场界环境噪声排放标准》（GB12523-2011），详见下表。</w:t>
            </w:r>
          </w:p>
          <w:p>
            <w:pPr>
              <w:autoSpaceDE w:val="0"/>
              <w:autoSpaceDN w:val="0"/>
              <w:adjustRightInd w:val="0"/>
              <w:jc w:val="center"/>
              <w:rPr>
                <w:b/>
                <w:szCs w:val="21"/>
                <w:highlight w:val="none"/>
              </w:rPr>
            </w:pPr>
            <w:r>
              <w:rPr>
                <w:rFonts w:hAnsi="宋体"/>
                <w:b/>
                <w:highlight w:val="none"/>
              </w:rPr>
              <w:t>表</w:t>
            </w:r>
            <w:r>
              <w:rPr>
                <w:rFonts w:hint="eastAsia"/>
                <w:b/>
                <w:highlight w:val="none"/>
                <w:lang w:val="en-US" w:eastAsia="zh-CN"/>
              </w:rPr>
              <w:t>20</w:t>
            </w:r>
            <w:r>
              <w:rPr>
                <w:b/>
                <w:highlight w:val="none"/>
              </w:rPr>
              <w:t xml:space="preserve">  </w:t>
            </w:r>
            <w:r>
              <w:rPr>
                <w:rFonts w:hAnsi="宋体"/>
                <w:b/>
                <w:highlight w:val="none"/>
              </w:rPr>
              <w:t>建筑施工场界环境噪声排放限值</w:t>
            </w:r>
            <w:r>
              <w:rPr>
                <w:b/>
                <w:highlight w:val="none"/>
              </w:rPr>
              <w:t xml:space="preserve">   </w:t>
            </w:r>
            <w:r>
              <w:rPr>
                <w:rFonts w:hAnsi="宋体"/>
                <w:b/>
                <w:highlight w:val="none"/>
              </w:rPr>
              <w:t>单位：</w:t>
            </w:r>
            <w:r>
              <w:rPr>
                <w:b/>
                <w:highlight w:val="none"/>
              </w:rPr>
              <w:t>dB(A)</w:t>
            </w:r>
          </w:p>
          <w:tbl>
            <w:tblPr>
              <w:tblStyle w:val="28"/>
              <w:tblW w:w="8197" w:type="dxa"/>
              <w:jc w:val="center"/>
              <w:tblInd w:w="0" w:type="dxa"/>
              <w:tblLayout w:type="fixed"/>
              <w:tblCellMar>
                <w:top w:w="0" w:type="dxa"/>
                <w:left w:w="108" w:type="dxa"/>
                <w:bottom w:w="0" w:type="dxa"/>
                <w:right w:w="108" w:type="dxa"/>
              </w:tblCellMar>
            </w:tblPr>
            <w:tblGrid>
              <w:gridCol w:w="4225"/>
              <w:gridCol w:w="3972"/>
            </w:tblGrid>
            <w:tr>
              <w:tblPrEx>
                <w:tblLayout w:type="fixed"/>
                <w:tblCellMar>
                  <w:top w:w="0" w:type="dxa"/>
                  <w:left w:w="108" w:type="dxa"/>
                  <w:bottom w:w="0" w:type="dxa"/>
                  <w:right w:w="108" w:type="dxa"/>
                </w:tblCellMar>
              </w:tblPrEx>
              <w:trPr>
                <w:trHeight w:val="397" w:hRule="atLeast"/>
                <w:jc w:val="center"/>
              </w:trPr>
              <w:tc>
                <w:tcPr>
                  <w:tcW w:w="4225" w:type="dxa"/>
                  <w:tcBorders>
                    <w:top w:val="single" w:color="auto" w:sz="12" w:space="0"/>
                    <w:left w:val="single" w:color="auto" w:sz="12" w:space="0"/>
                    <w:bottom w:val="single" w:color="auto" w:sz="4" w:space="0"/>
                    <w:right w:val="single" w:color="auto" w:sz="4" w:space="0"/>
                  </w:tcBorders>
                  <w:vAlign w:val="center"/>
                </w:tcPr>
                <w:p>
                  <w:pPr>
                    <w:jc w:val="center"/>
                    <w:rPr>
                      <w:szCs w:val="21"/>
                      <w:highlight w:val="none"/>
                    </w:rPr>
                  </w:pPr>
                  <w:r>
                    <w:rPr>
                      <w:szCs w:val="21"/>
                      <w:highlight w:val="none"/>
                    </w:rPr>
                    <w:t>昼间</w:t>
                  </w:r>
                </w:p>
              </w:tc>
              <w:tc>
                <w:tcPr>
                  <w:tcW w:w="3972" w:type="dxa"/>
                  <w:tcBorders>
                    <w:top w:val="single" w:color="auto" w:sz="12" w:space="0"/>
                    <w:left w:val="single" w:color="auto" w:sz="4" w:space="0"/>
                    <w:bottom w:val="single" w:color="auto" w:sz="4" w:space="0"/>
                    <w:right w:val="single" w:color="auto" w:sz="12" w:space="0"/>
                  </w:tcBorders>
                  <w:vAlign w:val="center"/>
                </w:tcPr>
                <w:p>
                  <w:pPr>
                    <w:jc w:val="center"/>
                    <w:rPr>
                      <w:szCs w:val="21"/>
                      <w:highlight w:val="none"/>
                    </w:rPr>
                  </w:pPr>
                  <w:r>
                    <w:rPr>
                      <w:szCs w:val="21"/>
                      <w:highlight w:val="none"/>
                    </w:rPr>
                    <w:t>夜间</w:t>
                  </w:r>
                </w:p>
              </w:tc>
            </w:tr>
            <w:tr>
              <w:tblPrEx>
                <w:tblLayout w:type="fixed"/>
                <w:tblCellMar>
                  <w:top w:w="0" w:type="dxa"/>
                  <w:left w:w="108" w:type="dxa"/>
                  <w:bottom w:w="0" w:type="dxa"/>
                  <w:right w:w="108" w:type="dxa"/>
                </w:tblCellMar>
              </w:tblPrEx>
              <w:trPr>
                <w:trHeight w:val="397" w:hRule="atLeast"/>
                <w:jc w:val="center"/>
              </w:trPr>
              <w:tc>
                <w:tcPr>
                  <w:tcW w:w="4225" w:type="dxa"/>
                  <w:tcBorders>
                    <w:top w:val="single" w:color="auto" w:sz="4" w:space="0"/>
                    <w:left w:val="single" w:color="auto" w:sz="12" w:space="0"/>
                    <w:bottom w:val="single" w:color="auto" w:sz="12" w:space="0"/>
                    <w:right w:val="single" w:color="auto" w:sz="4" w:space="0"/>
                  </w:tcBorders>
                  <w:vAlign w:val="center"/>
                </w:tcPr>
                <w:p>
                  <w:pPr>
                    <w:jc w:val="center"/>
                    <w:rPr>
                      <w:szCs w:val="21"/>
                      <w:highlight w:val="none"/>
                    </w:rPr>
                  </w:pPr>
                  <w:r>
                    <w:rPr>
                      <w:szCs w:val="21"/>
                      <w:highlight w:val="none"/>
                    </w:rPr>
                    <w:t>70</w:t>
                  </w:r>
                </w:p>
              </w:tc>
              <w:tc>
                <w:tcPr>
                  <w:tcW w:w="3972" w:type="dxa"/>
                  <w:tcBorders>
                    <w:top w:val="single" w:color="auto" w:sz="4" w:space="0"/>
                    <w:left w:val="single" w:color="auto" w:sz="4" w:space="0"/>
                    <w:bottom w:val="single" w:color="auto" w:sz="12" w:space="0"/>
                    <w:right w:val="single" w:color="auto" w:sz="12" w:space="0"/>
                  </w:tcBorders>
                  <w:vAlign w:val="center"/>
                </w:tcPr>
                <w:p>
                  <w:pPr>
                    <w:jc w:val="center"/>
                    <w:rPr>
                      <w:szCs w:val="21"/>
                      <w:highlight w:val="none"/>
                    </w:rPr>
                  </w:pPr>
                  <w:r>
                    <w:rPr>
                      <w:szCs w:val="21"/>
                      <w:highlight w:val="none"/>
                    </w:rPr>
                    <w:t>55</w:t>
                  </w:r>
                </w:p>
              </w:tc>
            </w:tr>
          </w:tbl>
          <w:p>
            <w:pPr>
              <w:spacing w:line="360" w:lineRule="auto"/>
              <w:ind w:firstLine="480" w:firstLineChars="200"/>
              <w:jc w:val="left"/>
              <w:rPr>
                <w:rFonts w:hint="eastAsia"/>
                <w:sz w:val="24"/>
              </w:rPr>
            </w:pPr>
            <w:r>
              <w:rPr>
                <w:rFonts w:hint="eastAsia"/>
                <w:sz w:val="24"/>
              </w:rPr>
              <w:t>2.2</w:t>
            </w:r>
            <w:r>
              <w:rPr>
                <w:sz w:val="24"/>
              </w:rPr>
              <w:t>营运期噪声执行《工业企业厂界环境噪声排放标准》（GB12348－2008）2类标准，具体限值</w:t>
            </w:r>
            <w:r>
              <w:rPr>
                <w:spacing w:val="-6"/>
                <w:sz w:val="24"/>
              </w:rPr>
              <w:t>见下表。</w:t>
            </w:r>
          </w:p>
          <w:p>
            <w:pPr>
              <w:spacing w:line="360" w:lineRule="auto"/>
              <w:jc w:val="center"/>
              <w:rPr>
                <w:b/>
                <w:bCs/>
                <w:szCs w:val="21"/>
              </w:rPr>
            </w:pPr>
            <w:r>
              <w:rPr>
                <w:b/>
                <w:bCs/>
                <w:szCs w:val="21"/>
              </w:rPr>
              <w:t>表</w:t>
            </w:r>
            <w:r>
              <w:rPr>
                <w:rFonts w:hint="eastAsia"/>
                <w:b/>
                <w:bCs/>
                <w:szCs w:val="21"/>
              </w:rPr>
              <w:t>2</w:t>
            </w:r>
            <w:r>
              <w:rPr>
                <w:rFonts w:hint="eastAsia"/>
                <w:b/>
                <w:bCs/>
                <w:szCs w:val="21"/>
                <w:lang w:val="en-US" w:eastAsia="zh-CN"/>
              </w:rPr>
              <w:t>1</w:t>
            </w:r>
            <w:r>
              <w:rPr>
                <w:b/>
                <w:bCs/>
                <w:szCs w:val="21"/>
              </w:rPr>
              <w:t xml:space="preserve"> 工业企业环境噪声排放标准    单位：dB(A)</w:t>
            </w:r>
          </w:p>
          <w:tbl>
            <w:tblPr>
              <w:tblStyle w:val="28"/>
              <w:tblW w:w="79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5"/>
              <w:gridCol w:w="2472"/>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jc w:val="center"/>
              </w:trPr>
              <w:tc>
                <w:tcPr>
                  <w:tcW w:w="2685" w:type="dxa"/>
                  <w:vMerge w:val="restart"/>
                  <w:tcBorders>
                    <w:bottom w:val="single" w:color="auto" w:sz="4" w:space="0"/>
                  </w:tcBorders>
                  <w:vAlign w:val="center"/>
                </w:tcPr>
                <w:p>
                  <w:pPr>
                    <w:adjustRightInd w:val="0"/>
                    <w:jc w:val="center"/>
                    <w:rPr>
                      <w:szCs w:val="21"/>
                    </w:rPr>
                  </w:pPr>
                  <w:r>
                    <w:rPr>
                      <w:szCs w:val="21"/>
                    </w:rPr>
                    <w:t>标准类别</w:t>
                  </w:r>
                </w:p>
              </w:tc>
              <w:tc>
                <w:tcPr>
                  <w:tcW w:w="5220" w:type="dxa"/>
                  <w:gridSpan w:val="2"/>
                  <w:tcBorders>
                    <w:bottom w:val="single" w:color="auto" w:sz="4" w:space="0"/>
                  </w:tcBorders>
                  <w:vAlign w:val="center"/>
                </w:tcPr>
                <w:p>
                  <w:pPr>
                    <w:adjustRightInd w:val="0"/>
                    <w:jc w:val="center"/>
                    <w:rPr>
                      <w:szCs w:val="21"/>
                    </w:rPr>
                  </w:pPr>
                  <w:r>
                    <w:rPr>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0" w:hRule="atLeast"/>
                <w:jc w:val="center"/>
              </w:trPr>
              <w:tc>
                <w:tcPr>
                  <w:tcW w:w="2685" w:type="dxa"/>
                  <w:vMerge w:val="continue"/>
                  <w:tcBorders>
                    <w:top w:val="single" w:color="auto" w:sz="4" w:space="0"/>
                    <w:bottom w:val="single" w:color="auto" w:sz="4" w:space="0"/>
                  </w:tcBorders>
                  <w:vAlign w:val="center"/>
                </w:tcPr>
                <w:p>
                  <w:pPr>
                    <w:adjustRightInd w:val="0"/>
                    <w:jc w:val="center"/>
                    <w:rPr>
                      <w:szCs w:val="21"/>
                    </w:rPr>
                  </w:pPr>
                </w:p>
              </w:tc>
              <w:tc>
                <w:tcPr>
                  <w:tcW w:w="2472" w:type="dxa"/>
                  <w:tcBorders>
                    <w:top w:val="single" w:color="auto" w:sz="4" w:space="0"/>
                    <w:bottom w:val="single" w:color="auto" w:sz="4" w:space="0"/>
                  </w:tcBorders>
                  <w:vAlign w:val="center"/>
                </w:tcPr>
                <w:p>
                  <w:pPr>
                    <w:adjustRightInd w:val="0"/>
                    <w:jc w:val="center"/>
                    <w:rPr>
                      <w:szCs w:val="21"/>
                    </w:rPr>
                  </w:pPr>
                  <w:r>
                    <w:rPr>
                      <w:szCs w:val="21"/>
                    </w:rPr>
                    <w:t>昼间</w:t>
                  </w:r>
                </w:p>
              </w:tc>
              <w:tc>
                <w:tcPr>
                  <w:tcW w:w="2748" w:type="dxa"/>
                  <w:tcBorders>
                    <w:top w:val="single" w:color="auto" w:sz="4" w:space="0"/>
                    <w:bottom w:val="single" w:color="auto" w:sz="4" w:space="0"/>
                  </w:tcBorders>
                  <w:vAlign w:val="center"/>
                </w:tcPr>
                <w:p>
                  <w:pPr>
                    <w:adjustRightInd w:val="0"/>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jc w:val="center"/>
              </w:trPr>
              <w:tc>
                <w:tcPr>
                  <w:tcW w:w="2685" w:type="dxa"/>
                  <w:tcBorders>
                    <w:top w:val="nil"/>
                  </w:tcBorders>
                  <w:vAlign w:val="center"/>
                </w:tcPr>
                <w:p>
                  <w:pPr>
                    <w:adjustRightInd w:val="0"/>
                    <w:jc w:val="center"/>
                    <w:rPr>
                      <w:szCs w:val="21"/>
                    </w:rPr>
                  </w:pPr>
                  <w:r>
                    <w:rPr>
                      <w:szCs w:val="21"/>
                    </w:rPr>
                    <w:t>2类</w:t>
                  </w:r>
                </w:p>
              </w:tc>
              <w:tc>
                <w:tcPr>
                  <w:tcW w:w="2472" w:type="dxa"/>
                  <w:tcBorders>
                    <w:top w:val="nil"/>
                  </w:tcBorders>
                  <w:vAlign w:val="center"/>
                </w:tcPr>
                <w:p>
                  <w:pPr>
                    <w:adjustRightInd w:val="0"/>
                    <w:jc w:val="center"/>
                    <w:rPr>
                      <w:szCs w:val="21"/>
                    </w:rPr>
                  </w:pPr>
                  <w:r>
                    <w:rPr>
                      <w:szCs w:val="21"/>
                    </w:rPr>
                    <w:t>60</w:t>
                  </w:r>
                </w:p>
              </w:tc>
              <w:tc>
                <w:tcPr>
                  <w:tcW w:w="2748" w:type="dxa"/>
                  <w:tcBorders>
                    <w:top w:val="nil"/>
                  </w:tcBorders>
                  <w:vAlign w:val="center"/>
                </w:tcPr>
                <w:p>
                  <w:pPr>
                    <w:adjustRightInd w:val="0"/>
                    <w:jc w:val="center"/>
                    <w:rPr>
                      <w:szCs w:val="21"/>
                    </w:rPr>
                  </w:pPr>
                  <w:r>
                    <w:rPr>
                      <w:szCs w:val="21"/>
                    </w:rPr>
                    <w:t>50</w:t>
                  </w:r>
                </w:p>
              </w:tc>
            </w:tr>
          </w:tbl>
          <w:p>
            <w:pPr>
              <w:autoSpaceDE w:val="0"/>
              <w:autoSpaceDN w:val="0"/>
              <w:adjustRightInd w:val="0"/>
              <w:spacing w:line="520" w:lineRule="exact"/>
              <w:jc w:val="left"/>
              <w:rPr>
                <w:sz w:val="24"/>
                <w:lang w:val="zh-CN"/>
              </w:rPr>
            </w:pPr>
            <w:r>
              <w:rPr>
                <w:sz w:val="24"/>
              </w:rPr>
              <w:t>3、《一般工业固体废物贮存、处置场污染控制标准》（GB18599-2001）及2013年修改单；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45" w:hRule="atLeast"/>
          <w:jc w:val="center"/>
        </w:trPr>
        <w:tc>
          <w:tcPr>
            <w:tcW w:w="843" w:type="dxa"/>
            <w:vAlign w:val="center"/>
          </w:tcPr>
          <w:p>
            <w:pPr>
              <w:spacing w:line="400" w:lineRule="exact"/>
              <w:jc w:val="center"/>
              <w:rPr>
                <w:sz w:val="24"/>
              </w:rPr>
            </w:pPr>
            <w:r>
              <w:rPr>
                <w:sz w:val="24"/>
              </w:rPr>
              <w:t>总</w:t>
            </w:r>
          </w:p>
          <w:p>
            <w:pPr>
              <w:spacing w:line="400" w:lineRule="exact"/>
              <w:jc w:val="center"/>
              <w:rPr>
                <w:sz w:val="24"/>
              </w:rPr>
            </w:pPr>
            <w:r>
              <w:rPr>
                <w:sz w:val="24"/>
              </w:rPr>
              <w:t>量</w:t>
            </w:r>
          </w:p>
          <w:p>
            <w:pPr>
              <w:spacing w:line="400" w:lineRule="exact"/>
              <w:jc w:val="center"/>
              <w:rPr>
                <w:sz w:val="24"/>
              </w:rPr>
            </w:pPr>
            <w:r>
              <w:rPr>
                <w:sz w:val="24"/>
              </w:rPr>
              <w:t>控</w:t>
            </w:r>
          </w:p>
          <w:p>
            <w:pPr>
              <w:spacing w:line="400" w:lineRule="exact"/>
              <w:jc w:val="center"/>
              <w:rPr>
                <w:sz w:val="24"/>
              </w:rPr>
            </w:pPr>
            <w:r>
              <w:rPr>
                <w:sz w:val="24"/>
              </w:rPr>
              <w:t>制</w:t>
            </w:r>
          </w:p>
          <w:p>
            <w:pPr>
              <w:spacing w:line="400" w:lineRule="exact"/>
              <w:jc w:val="center"/>
              <w:rPr>
                <w:sz w:val="24"/>
              </w:rPr>
            </w:pPr>
            <w:r>
              <w:rPr>
                <w:sz w:val="24"/>
              </w:rPr>
              <w:t>指</w:t>
            </w:r>
          </w:p>
          <w:p>
            <w:pPr>
              <w:spacing w:line="400" w:lineRule="exact"/>
              <w:jc w:val="center"/>
              <w:rPr>
                <w:sz w:val="24"/>
              </w:rPr>
            </w:pPr>
            <w:r>
              <w:rPr>
                <w:sz w:val="24"/>
              </w:rPr>
              <w:t>标</w:t>
            </w:r>
          </w:p>
        </w:tc>
        <w:tc>
          <w:tcPr>
            <w:tcW w:w="8443" w:type="dxa"/>
            <w:vAlign w:val="center"/>
          </w:tcPr>
          <w:p>
            <w:pPr>
              <w:adjustRightInd w:val="0"/>
              <w:spacing w:line="560" w:lineRule="exact"/>
              <w:ind w:right="105" w:rightChars="50" w:firstLine="480" w:firstLineChars="200"/>
              <w:jc w:val="left"/>
              <w:rPr>
                <w:sz w:val="24"/>
                <w:highlight w:val="none"/>
              </w:rPr>
            </w:pPr>
            <w:r>
              <w:rPr>
                <w:rFonts w:hint="eastAsia"/>
                <w:sz w:val="24"/>
                <w:highlight w:val="none"/>
              </w:rPr>
              <w:t>本项目油炸锅以天然气为能源，颗粒物排放量为</w:t>
            </w:r>
            <w:r>
              <w:rPr>
                <w:rFonts w:hint="eastAsia"/>
                <w:kern w:val="0"/>
                <w:sz w:val="24"/>
                <w:highlight w:val="none"/>
              </w:rPr>
              <w:t>0.015t/a，</w:t>
            </w:r>
            <w:r>
              <w:rPr>
                <w:rFonts w:hint="eastAsia"/>
                <w:sz w:val="24"/>
                <w:highlight w:val="none"/>
              </w:rPr>
              <w:t>SO</w:t>
            </w:r>
            <w:r>
              <w:rPr>
                <w:rFonts w:hint="eastAsia"/>
                <w:sz w:val="24"/>
                <w:highlight w:val="none"/>
                <w:vertAlign w:val="subscript"/>
              </w:rPr>
              <w:t>2</w:t>
            </w:r>
            <w:r>
              <w:rPr>
                <w:rFonts w:hint="eastAsia"/>
                <w:sz w:val="24"/>
                <w:highlight w:val="none"/>
              </w:rPr>
              <w:t>排放量0.0384t/a，NO</w:t>
            </w:r>
            <w:r>
              <w:rPr>
                <w:rFonts w:hint="eastAsia"/>
                <w:sz w:val="24"/>
                <w:highlight w:val="none"/>
                <w:vertAlign w:val="subscript"/>
              </w:rPr>
              <w:t>X</w:t>
            </w:r>
            <w:r>
              <w:rPr>
                <w:rFonts w:hint="eastAsia"/>
                <w:sz w:val="24"/>
                <w:highlight w:val="none"/>
              </w:rPr>
              <w:t>排放量0.18t/a；</w:t>
            </w:r>
            <w:r>
              <w:rPr>
                <w:sz w:val="24"/>
                <w:highlight w:val="none"/>
              </w:rPr>
              <w:t>生活污水</w:t>
            </w:r>
            <w:r>
              <w:rPr>
                <w:sz w:val="24"/>
                <w:highlight w:val="none"/>
                <w:lang w:val="fr-FR"/>
              </w:rPr>
              <w:t>经厂区化粪池处理后</w:t>
            </w:r>
            <w:r>
              <w:rPr>
                <w:sz w:val="24"/>
                <w:highlight w:val="none"/>
              </w:rPr>
              <w:t>，项目单位定期清运用于沤制农家肥，不外排。因此本项目总量控制指标为</w:t>
            </w:r>
            <w:r>
              <w:rPr>
                <w:rFonts w:hint="eastAsia"/>
                <w:sz w:val="24"/>
                <w:highlight w:val="none"/>
              </w:rPr>
              <w:t>颗粒物：</w:t>
            </w:r>
            <w:r>
              <w:rPr>
                <w:rFonts w:hint="eastAsia"/>
                <w:kern w:val="0"/>
                <w:sz w:val="24"/>
                <w:highlight w:val="none"/>
              </w:rPr>
              <w:t>0.015t/a，</w:t>
            </w:r>
            <w:r>
              <w:rPr>
                <w:rFonts w:hint="eastAsia"/>
                <w:sz w:val="24"/>
                <w:highlight w:val="none"/>
              </w:rPr>
              <w:t>SO</w:t>
            </w:r>
            <w:r>
              <w:rPr>
                <w:rFonts w:hint="eastAsia"/>
                <w:sz w:val="24"/>
                <w:highlight w:val="none"/>
                <w:vertAlign w:val="subscript"/>
              </w:rPr>
              <w:t>2</w:t>
            </w:r>
            <w:r>
              <w:rPr>
                <w:rFonts w:hint="eastAsia"/>
                <w:sz w:val="24"/>
                <w:highlight w:val="none"/>
              </w:rPr>
              <w:t>：0.0384t/a，NO</w:t>
            </w:r>
            <w:r>
              <w:rPr>
                <w:rFonts w:hint="eastAsia"/>
                <w:sz w:val="24"/>
                <w:highlight w:val="none"/>
                <w:vertAlign w:val="subscript"/>
              </w:rPr>
              <w:t>X</w:t>
            </w:r>
            <w:r>
              <w:rPr>
                <w:rFonts w:hint="eastAsia"/>
                <w:sz w:val="24"/>
                <w:highlight w:val="none"/>
              </w:rPr>
              <w:t>：0.18t/a</w:t>
            </w:r>
          </w:p>
          <w:p>
            <w:pPr>
              <w:spacing w:line="520" w:lineRule="exact"/>
              <w:ind w:firstLine="480" w:firstLineChars="200"/>
              <w:rPr>
                <w:color w:val="000000"/>
                <w:sz w:val="24"/>
              </w:rPr>
            </w:pPr>
          </w:p>
        </w:tc>
      </w:tr>
    </w:tbl>
    <w:p>
      <w:pPr>
        <w:spacing w:line="360" w:lineRule="auto"/>
        <w:outlineLvl w:val="0"/>
        <w:rPr>
          <w:b/>
          <w:sz w:val="24"/>
        </w:rPr>
      </w:pPr>
      <w:r>
        <w:rPr>
          <w:sz w:val="28"/>
        </w:rPr>
        <w:br w:type="page"/>
      </w:r>
      <w:r>
        <w:rPr>
          <w:b/>
          <w:sz w:val="24"/>
        </w:rPr>
        <w:t>建设项目工程分析</w:t>
      </w:r>
    </w:p>
    <w:tbl>
      <w:tblPr>
        <w:tblStyle w:val="28"/>
        <w:tblW w:w="928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286" w:type="dxa"/>
            <w:tcBorders>
              <w:bottom w:val="single" w:color="auto" w:sz="4" w:space="0"/>
            </w:tcBorders>
            <w:vAlign w:val="top"/>
          </w:tcPr>
          <w:p>
            <w:pPr>
              <w:pStyle w:val="50"/>
              <w:ind w:firstLine="482"/>
              <w:rPr>
                <w:rFonts w:ascii="Times New Roman" w:hAnsi="Times New Roman"/>
                <w:b/>
                <w:bCs/>
              </w:rPr>
            </w:pPr>
            <w:r>
              <w:rPr>
                <w:rFonts w:ascii="Times New Roman" w:hAnsi="Times New Roman"/>
                <w:b/>
                <w:bCs/>
              </w:rPr>
              <w:t>工艺流程</w:t>
            </w:r>
            <w:r>
              <w:rPr>
                <w:rFonts w:hint="eastAsia" w:ascii="Times New Roman" w:hAnsi="Times New Roman"/>
                <w:b/>
                <w:bCs/>
              </w:rPr>
              <w:t>（</w:t>
            </w:r>
            <w:r>
              <w:rPr>
                <w:rFonts w:ascii="Times New Roman" w:hAnsi="Times New Roman"/>
                <w:b/>
                <w:bCs/>
              </w:rPr>
              <w:t>图示</w:t>
            </w:r>
            <w:r>
              <w:rPr>
                <w:rFonts w:hint="eastAsia" w:ascii="Times New Roman" w:hAnsi="Times New Roman"/>
                <w:b/>
                <w:bCs/>
              </w:rPr>
              <w:t>）</w:t>
            </w:r>
            <w:r>
              <w:rPr>
                <w:rFonts w:ascii="Times New Roman" w:hAnsi="Times New Roman"/>
                <w:b/>
                <w:bCs/>
              </w:rPr>
              <w:t>：</w:t>
            </w:r>
          </w:p>
          <w:p>
            <w:pPr>
              <w:ind w:firstLine="480" w:firstLineChars="200"/>
              <w:jc w:val="left"/>
              <w:rPr>
                <w:bCs/>
                <w:color w:val="000000"/>
                <w:sz w:val="24"/>
              </w:rPr>
            </w:pPr>
            <w:r>
              <w:rPr>
                <w:bCs/>
                <w:color w:val="000000"/>
                <w:sz w:val="24"/>
              </w:rPr>
              <w:t>本项目现状为空地，土建工程为生产</w:t>
            </w:r>
            <w:r>
              <w:rPr>
                <w:rFonts w:hint="eastAsia"/>
                <w:bCs/>
                <w:color w:val="000000"/>
                <w:sz w:val="24"/>
              </w:rPr>
              <w:t>厂房</w:t>
            </w:r>
            <w:r>
              <w:rPr>
                <w:bCs/>
                <w:color w:val="000000"/>
                <w:sz w:val="24"/>
              </w:rPr>
              <w:t>、</w:t>
            </w:r>
            <w:r>
              <w:rPr>
                <w:rFonts w:hint="eastAsia"/>
                <w:sz w:val="24"/>
                <w:lang w:val="zh-CN"/>
              </w:rPr>
              <w:t>办公楼</w:t>
            </w:r>
            <w:r>
              <w:rPr>
                <w:sz w:val="24"/>
                <w:lang w:val="zh-CN"/>
              </w:rPr>
              <w:t>和</w:t>
            </w:r>
            <w:r>
              <w:rPr>
                <w:rFonts w:hint="eastAsia"/>
                <w:sz w:val="24"/>
                <w:lang w:val="zh-CN"/>
              </w:rPr>
              <w:t>厕所等</w:t>
            </w:r>
            <w:r>
              <w:rPr>
                <w:bCs/>
                <w:color w:val="000000"/>
                <w:sz w:val="24"/>
              </w:rPr>
              <w:t>的建设。</w:t>
            </w:r>
          </w:p>
          <w:p>
            <w:pPr>
              <w:spacing w:line="600" w:lineRule="exact"/>
              <w:ind w:firstLine="480" w:firstLineChars="200"/>
              <w:jc w:val="left"/>
              <w:rPr>
                <w:bCs/>
                <w:color w:val="000000"/>
                <w:sz w:val="24"/>
              </w:rPr>
            </w:pPr>
          </w:p>
          <w:p>
            <w:pPr>
              <w:spacing w:line="600" w:lineRule="exact"/>
              <w:ind w:firstLine="480" w:firstLineChars="200"/>
              <w:jc w:val="left"/>
              <w:rPr>
                <w:bCs/>
                <w:color w:val="000000"/>
                <w:sz w:val="24"/>
              </w:rPr>
            </w:pPr>
          </w:p>
          <w:p>
            <w:pPr>
              <w:spacing w:line="600" w:lineRule="exact"/>
              <w:ind w:firstLine="480" w:firstLineChars="200"/>
              <w:jc w:val="left"/>
              <w:rPr>
                <w:bCs/>
                <w:color w:val="000000"/>
                <w:sz w:val="24"/>
              </w:rPr>
            </w:pPr>
          </w:p>
          <w:p>
            <w:pPr>
              <w:spacing w:line="600" w:lineRule="exact"/>
              <w:ind w:firstLine="480" w:firstLineChars="200"/>
              <w:jc w:val="left"/>
              <w:rPr>
                <w:bCs/>
                <w:color w:val="000000"/>
                <w:sz w:val="24"/>
              </w:rPr>
            </w:pPr>
          </w:p>
          <w:p>
            <w:pPr>
              <w:pStyle w:val="50"/>
              <w:ind w:firstLine="482"/>
              <w:rPr>
                <w:rFonts w:ascii="Times New Roman" w:hAnsi="Times New Roman"/>
                <w:b/>
                <w:bCs/>
              </w:rPr>
            </w:pPr>
            <w:r>
              <w:rPr>
                <w:b/>
                <w:color w:val="000000"/>
              </w:rPr>
              <mc:AlternateContent>
                <mc:Choice Requires="wpg">
                  <w:drawing>
                    <wp:inline distT="0" distB="0" distL="114300" distR="114300">
                      <wp:extent cx="5506085" cy="1617980"/>
                      <wp:effectExtent l="0" t="0" r="0" b="0"/>
                      <wp:docPr id="29" name="Group 34"/>
                      <wp:cNvGraphicFramePr/>
                      <a:graphic xmlns:a="http://schemas.openxmlformats.org/drawingml/2006/main">
                        <a:graphicData uri="http://schemas.microsoft.com/office/word/2010/wordprocessingGroup">
                          <wpg:wgp>
                            <wpg:cNvGrpSpPr>
                              <a:grpSpLocks noRot="1"/>
                            </wpg:cNvGrpSpPr>
                            <wpg:grpSpPr>
                              <a:xfrm>
                                <a:off x="0" y="0"/>
                                <a:ext cx="5506085" cy="1617980"/>
                                <a:chOff x="0" y="0"/>
                                <a:chExt cx="9000" cy="2488"/>
                              </a:xfrm>
                            </wpg:grpSpPr>
                            <wps:wsp>
                              <wps:cNvPr id="1" name="Picture 35"/>
                              <wps:cNvSpPr>
                                <a:spLocks noChangeAspect="1" noTextEdit="1"/>
                              </wps:cNvSpPr>
                              <wps:spPr>
                                <a:xfrm>
                                  <a:off x="0" y="0"/>
                                  <a:ext cx="9000" cy="2488"/>
                                </a:xfrm>
                                <a:prstGeom prst="rect">
                                  <a:avLst/>
                                </a:prstGeom>
                                <a:noFill/>
                                <a:ln w="9525">
                                  <a:noFill/>
                                </a:ln>
                              </wps:spPr>
                              <wps:bodyPr wrap="square" upright="1"/>
                            </wps:wsp>
                            <wps:wsp>
                              <wps:cNvPr id="2" name="Line 36"/>
                              <wps:cNvCnPr/>
                              <wps:spPr>
                                <a:xfrm flipV="1">
                                  <a:off x="3960" y="1090"/>
                                  <a:ext cx="0" cy="1092"/>
                                </a:xfrm>
                                <a:prstGeom prst="line">
                                  <a:avLst/>
                                </a:prstGeom>
                                <a:ln w="9525">
                                  <a:noFill/>
                                </a:ln>
                              </wps:spPr>
                              <wps:bodyPr upright="1"/>
                            </wps:wsp>
                            <wps:wsp>
                              <wps:cNvPr id="3" name="Rectangle 37"/>
                              <wps:cNvSpPr/>
                              <wps:spPr>
                                <a:xfrm>
                                  <a:off x="1260" y="2029"/>
                                  <a:ext cx="5580" cy="459"/>
                                </a:xfrm>
                                <a:prstGeom prst="rect">
                                  <a:avLst/>
                                </a:prstGeom>
                                <a:noFill/>
                                <a:ln w="9525">
                                  <a:noFill/>
                                </a:ln>
                              </wps:spPr>
                              <wps:txbx>
                                <w:txbxContent>
                                  <w:p>
                                    <w:pPr>
                                      <w:jc w:val="center"/>
                                      <w:rPr>
                                        <w:rFonts w:hint="eastAsia"/>
                                        <w:b/>
                                        <w:bCs/>
                                        <w:szCs w:val="21"/>
                                      </w:rPr>
                                    </w:pPr>
                                    <w:r>
                                      <w:rPr>
                                        <w:rFonts w:hint="eastAsia"/>
                                        <w:b/>
                                        <w:bCs/>
                                        <w:szCs w:val="21"/>
                                      </w:rPr>
                                      <w:t>图4   施工流程及产污节点示意图</w:t>
                                    </w:r>
                                  </w:p>
                                </w:txbxContent>
                              </wps:txbx>
                              <wps:bodyPr wrap="square" lIns="0" tIns="0" rIns="0" bIns="0" upright="1"/>
                            </wps:wsp>
                            <wps:wsp>
                              <wps:cNvPr id="4" name="Rectangle 38"/>
                              <wps:cNvSpPr/>
                              <wps:spPr>
                                <a:xfrm>
                                  <a:off x="6300" y="624"/>
                                  <a:ext cx="1260"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工程验收</w:t>
                                    </w:r>
                                  </w:p>
                                </w:txbxContent>
                              </wps:txbx>
                              <wps:bodyPr wrap="square" upright="1"/>
                            </wps:wsp>
                            <wps:wsp>
                              <wps:cNvPr id="5" name="Rectangle 39"/>
                              <wps:cNvSpPr/>
                              <wps:spPr>
                                <a:xfrm>
                                  <a:off x="2700" y="623"/>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基础施工</w:t>
                                    </w:r>
                                  </w:p>
                                </w:txbxContent>
                              </wps:txbx>
                              <wps:bodyPr wrap="square" upright="1"/>
                            </wps:wsp>
                            <wps:wsp>
                              <wps:cNvPr id="6" name="Line 40"/>
                              <wps:cNvCnPr/>
                              <wps:spPr>
                                <a:xfrm flipV="1">
                                  <a:off x="3060" y="312"/>
                                  <a:ext cx="1" cy="312"/>
                                </a:xfrm>
                                <a:prstGeom prst="line">
                                  <a:avLst/>
                                </a:prstGeom>
                                <a:ln w="9525" cap="flat" cmpd="sng">
                                  <a:solidFill>
                                    <a:srgbClr val="000000"/>
                                  </a:solidFill>
                                  <a:prstDash val="dash"/>
                                  <a:headEnd type="none" w="med" len="med"/>
                                  <a:tailEnd type="triangle" w="med" len="med"/>
                                </a:ln>
                              </wps:spPr>
                              <wps:bodyPr upright="1"/>
                            </wps:wsp>
                            <wps:wsp>
                              <wps:cNvPr id="7" name="Line 41"/>
                              <wps:cNvCnPr/>
                              <wps:spPr>
                                <a:xfrm>
                                  <a:off x="3960" y="935"/>
                                  <a:ext cx="540" cy="1"/>
                                </a:xfrm>
                                <a:prstGeom prst="line">
                                  <a:avLst/>
                                </a:prstGeom>
                                <a:ln w="9525" cap="flat" cmpd="sng">
                                  <a:solidFill>
                                    <a:srgbClr val="000000"/>
                                  </a:solidFill>
                                  <a:prstDash val="solid"/>
                                  <a:headEnd type="none" w="med" len="med"/>
                                  <a:tailEnd type="triangle" w="med" len="med"/>
                                </a:ln>
                              </wps:spPr>
                              <wps:bodyPr upright="1"/>
                            </wps:wsp>
                            <wps:wsp>
                              <wps:cNvPr id="8" name="Rectangle 42"/>
                              <wps:cNvSpPr/>
                              <wps:spPr>
                                <a:xfrm>
                                  <a:off x="4500" y="623"/>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工程施工</w:t>
                                    </w:r>
                                  </w:p>
                                </w:txbxContent>
                              </wps:txbx>
                              <wps:bodyPr wrap="square" upright="1"/>
                            </wps:wsp>
                            <wps:wsp>
                              <wps:cNvPr id="9" name="Line 43"/>
                              <wps:cNvCnPr/>
                              <wps:spPr>
                                <a:xfrm>
                                  <a:off x="5760" y="935"/>
                                  <a:ext cx="540" cy="1"/>
                                </a:xfrm>
                                <a:prstGeom prst="line">
                                  <a:avLst/>
                                </a:prstGeom>
                                <a:ln w="9525" cap="flat" cmpd="sng">
                                  <a:solidFill>
                                    <a:srgbClr val="000000"/>
                                  </a:solidFill>
                                  <a:prstDash val="solid"/>
                                  <a:headEnd type="none" w="med" len="med"/>
                                  <a:tailEnd type="triangle" w="med" len="med"/>
                                </a:ln>
                              </wps:spPr>
                              <wps:bodyPr upright="1"/>
                            </wps:wsp>
                            <wps:wsp>
                              <wps:cNvPr id="10" name="Rectangle 44"/>
                              <wps:cNvSpPr/>
                              <wps:spPr>
                                <a:xfrm>
                                  <a:off x="4500" y="0"/>
                                  <a:ext cx="720" cy="312"/>
                                </a:xfrm>
                                <a:prstGeom prst="rect">
                                  <a:avLst/>
                                </a:prstGeom>
                                <a:noFill/>
                                <a:ln w="9525">
                                  <a:noFill/>
                                </a:ln>
                              </wps:spPr>
                              <wps:txbx>
                                <w:txbxContent>
                                  <w:p>
                                    <w:pPr>
                                      <w:jc w:val="center"/>
                                      <w:rPr>
                                        <w:rFonts w:hint="eastAsia"/>
                                      </w:rPr>
                                    </w:pPr>
                                    <w:r>
                                      <w:rPr>
                                        <w:rFonts w:hint="eastAsia"/>
                                      </w:rPr>
                                      <w:t>扬尘</w:t>
                                    </w:r>
                                  </w:p>
                                </w:txbxContent>
                              </wps:txbx>
                              <wps:bodyPr wrap="square" lIns="0" tIns="0" rIns="0" bIns="0" upright="1"/>
                            </wps:wsp>
                            <wps:wsp>
                              <wps:cNvPr id="11" name="Rectangle 45"/>
                              <wps:cNvSpPr/>
                              <wps:spPr>
                                <a:xfrm>
                                  <a:off x="2700" y="0"/>
                                  <a:ext cx="720" cy="312"/>
                                </a:xfrm>
                                <a:prstGeom prst="rect">
                                  <a:avLst/>
                                </a:prstGeom>
                                <a:noFill/>
                                <a:ln w="9525">
                                  <a:noFill/>
                                </a:ln>
                              </wps:spPr>
                              <wps:txbx>
                                <w:txbxContent>
                                  <w:p>
                                    <w:pPr>
                                      <w:jc w:val="center"/>
                                      <w:rPr>
                                        <w:rFonts w:hint="eastAsia"/>
                                      </w:rPr>
                                    </w:pPr>
                                    <w:r>
                                      <w:rPr>
                                        <w:rFonts w:hint="eastAsia"/>
                                      </w:rPr>
                                      <w:t>扬尘</w:t>
                                    </w:r>
                                  </w:p>
                                </w:txbxContent>
                              </wps:txbx>
                              <wps:bodyPr wrap="square" lIns="0" tIns="0" rIns="0" bIns="0" upright="1"/>
                            </wps:wsp>
                            <wps:wsp>
                              <wps:cNvPr id="12" name="Line 46"/>
                              <wps:cNvCnPr/>
                              <wps:spPr>
                                <a:xfrm>
                                  <a:off x="5122" y="1093"/>
                                  <a:ext cx="1" cy="312"/>
                                </a:xfrm>
                                <a:prstGeom prst="line">
                                  <a:avLst/>
                                </a:prstGeom>
                                <a:ln w="9525" cap="flat" cmpd="sng">
                                  <a:solidFill>
                                    <a:srgbClr val="000000"/>
                                  </a:solidFill>
                                  <a:prstDash val="dash"/>
                                  <a:headEnd type="none" w="med" len="med"/>
                                  <a:tailEnd type="triangle" w="med" len="med"/>
                                </a:ln>
                              </wps:spPr>
                              <wps:bodyPr upright="1"/>
                            </wps:wsp>
                            <wps:wsp>
                              <wps:cNvPr id="13" name="Line 47"/>
                              <wps:cNvCnPr/>
                              <wps:spPr>
                                <a:xfrm>
                                  <a:off x="3240" y="1093"/>
                                  <a:ext cx="3" cy="310"/>
                                </a:xfrm>
                                <a:prstGeom prst="line">
                                  <a:avLst/>
                                </a:prstGeom>
                                <a:ln w="9525" cap="flat" cmpd="sng">
                                  <a:solidFill>
                                    <a:srgbClr val="000000"/>
                                  </a:solidFill>
                                  <a:prstDash val="dash"/>
                                  <a:headEnd type="none" w="med" len="med"/>
                                  <a:tailEnd type="triangle" w="med" len="med"/>
                                </a:ln>
                              </wps:spPr>
                              <wps:bodyPr upright="1"/>
                            </wps:wsp>
                            <wps:wsp>
                              <wps:cNvPr id="14" name="Rectangle 48"/>
                              <wps:cNvSpPr/>
                              <wps:spPr>
                                <a:xfrm>
                                  <a:off x="2992" y="1404"/>
                                  <a:ext cx="540" cy="312"/>
                                </a:xfrm>
                                <a:prstGeom prst="rect">
                                  <a:avLst/>
                                </a:prstGeom>
                                <a:noFill/>
                                <a:ln w="9525">
                                  <a:noFill/>
                                </a:ln>
                              </wps:spPr>
                              <wps:txbx>
                                <w:txbxContent>
                                  <w:p>
                                    <w:pPr>
                                      <w:jc w:val="center"/>
                                      <w:rPr>
                                        <w:rFonts w:hint="eastAsia"/>
                                      </w:rPr>
                                    </w:pPr>
                                    <w:r>
                                      <w:rPr>
                                        <w:rFonts w:hint="eastAsia"/>
                                      </w:rPr>
                                      <w:t>固废</w:t>
                                    </w:r>
                                  </w:p>
                                </w:txbxContent>
                              </wps:txbx>
                              <wps:bodyPr wrap="square" lIns="0" tIns="0" rIns="0" bIns="0" upright="1"/>
                            </wps:wsp>
                            <wps:wsp>
                              <wps:cNvPr id="15" name="Text Box 49"/>
                              <wps:cNvSpPr txBox="1"/>
                              <wps:spPr>
                                <a:xfrm>
                                  <a:off x="900" y="623"/>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场区平整</w:t>
                                    </w:r>
                                  </w:p>
                                </w:txbxContent>
                              </wps:txbx>
                              <wps:bodyPr wrap="square" upright="1"/>
                            </wps:wsp>
                            <wps:wsp>
                              <wps:cNvPr id="16" name="Line 50"/>
                              <wps:cNvCnPr/>
                              <wps:spPr>
                                <a:xfrm>
                                  <a:off x="2160" y="935"/>
                                  <a:ext cx="540" cy="1"/>
                                </a:xfrm>
                                <a:prstGeom prst="line">
                                  <a:avLst/>
                                </a:prstGeom>
                                <a:ln w="9525" cap="flat" cmpd="sng">
                                  <a:solidFill>
                                    <a:srgbClr val="000000"/>
                                  </a:solidFill>
                                  <a:prstDash val="solid"/>
                                  <a:headEnd type="none" w="med" len="med"/>
                                  <a:tailEnd type="triangle" w="med" len="med"/>
                                </a:ln>
                              </wps:spPr>
                              <wps:bodyPr upright="1"/>
                            </wps:wsp>
                            <wps:wsp>
                              <wps:cNvPr id="17" name="Line 51"/>
                              <wps:cNvCnPr/>
                              <wps:spPr>
                                <a:xfrm flipV="1">
                                  <a:off x="3600" y="312"/>
                                  <a:ext cx="1" cy="312"/>
                                </a:xfrm>
                                <a:prstGeom prst="line">
                                  <a:avLst/>
                                </a:prstGeom>
                                <a:ln w="9525" cap="flat" cmpd="sng">
                                  <a:solidFill>
                                    <a:srgbClr val="000000"/>
                                  </a:solidFill>
                                  <a:prstDash val="dash"/>
                                  <a:headEnd type="none" w="med" len="med"/>
                                  <a:tailEnd type="triangle" w="med" len="med"/>
                                </a:ln>
                              </wps:spPr>
                              <wps:bodyPr upright="1"/>
                            </wps:wsp>
                            <wps:wsp>
                              <wps:cNvPr id="18" name="Rectangle 52"/>
                              <wps:cNvSpPr/>
                              <wps:spPr>
                                <a:xfrm>
                                  <a:off x="3420" y="0"/>
                                  <a:ext cx="540" cy="313"/>
                                </a:xfrm>
                                <a:prstGeom prst="rect">
                                  <a:avLst/>
                                </a:prstGeom>
                                <a:noFill/>
                                <a:ln w="9525">
                                  <a:noFill/>
                                </a:ln>
                              </wps:spPr>
                              <wps:txbx>
                                <w:txbxContent>
                                  <w:p>
                                    <w:pPr>
                                      <w:jc w:val="center"/>
                                      <w:rPr>
                                        <w:rFonts w:hint="eastAsia"/>
                                      </w:rPr>
                                    </w:pPr>
                                    <w:r>
                                      <w:rPr>
                                        <w:rFonts w:hint="eastAsia"/>
                                      </w:rPr>
                                      <w:t>噪声</w:t>
                                    </w:r>
                                  </w:p>
                                </w:txbxContent>
                              </wps:txbx>
                              <wps:bodyPr wrap="square" lIns="0" tIns="0" rIns="0" bIns="0" upright="1"/>
                            </wps:wsp>
                            <wps:wsp>
                              <wps:cNvPr id="19" name="Line 53"/>
                              <wps:cNvCnPr/>
                              <wps:spPr>
                                <a:xfrm flipV="1">
                                  <a:off x="4860" y="312"/>
                                  <a:ext cx="1" cy="313"/>
                                </a:xfrm>
                                <a:prstGeom prst="line">
                                  <a:avLst/>
                                </a:prstGeom>
                                <a:ln w="9525" cap="flat" cmpd="sng">
                                  <a:solidFill>
                                    <a:srgbClr val="000000"/>
                                  </a:solidFill>
                                  <a:prstDash val="dash"/>
                                  <a:headEnd type="none" w="med" len="med"/>
                                  <a:tailEnd type="triangle" w="med" len="med"/>
                                </a:ln>
                              </wps:spPr>
                              <wps:bodyPr upright="1"/>
                            </wps:wsp>
                            <wps:wsp>
                              <wps:cNvPr id="20" name="Line 54"/>
                              <wps:cNvCnPr/>
                              <wps:spPr>
                                <a:xfrm flipV="1">
                                  <a:off x="1080" y="312"/>
                                  <a:ext cx="1" cy="312"/>
                                </a:xfrm>
                                <a:prstGeom prst="line">
                                  <a:avLst/>
                                </a:prstGeom>
                                <a:ln w="9525" cap="flat" cmpd="sng">
                                  <a:solidFill>
                                    <a:srgbClr val="000000"/>
                                  </a:solidFill>
                                  <a:prstDash val="dash"/>
                                  <a:headEnd type="none" w="med" len="med"/>
                                  <a:tailEnd type="triangle" w="med" len="med"/>
                                </a:ln>
                              </wps:spPr>
                              <wps:bodyPr upright="1"/>
                            </wps:wsp>
                            <wps:wsp>
                              <wps:cNvPr id="21" name="Line 55"/>
                              <wps:cNvCnPr/>
                              <wps:spPr>
                                <a:xfrm flipV="1">
                                  <a:off x="1800" y="312"/>
                                  <a:ext cx="1" cy="311"/>
                                </a:xfrm>
                                <a:prstGeom prst="line">
                                  <a:avLst/>
                                </a:prstGeom>
                                <a:ln w="9525" cap="flat" cmpd="sng">
                                  <a:solidFill>
                                    <a:srgbClr val="000000"/>
                                  </a:solidFill>
                                  <a:prstDash val="dash"/>
                                  <a:headEnd type="none" w="med" len="med"/>
                                  <a:tailEnd type="triangle" w="med" len="med"/>
                                </a:ln>
                              </wps:spPr>
                              <wps:bodyPr upright="1"/>
                            </wps:wsp>
                            <wps:wsp>
                              <wps:cNvPr id="22" name="Line 56"/>
                              <wps:cNvCnPr/>
                              <wps:spPr>
                                <a:xfrm>
                                  <a:off x="1440" y="1093"/>
                                  <a:ext cx="3" cy="308"/>
                                </a:xfrm>
                                <a:prstGeom prst="line">
                                  <a:avLst/>
                                </a:prstGeom>
                                <a:ln w="9525" cap="flat" cmpd="sng">
                                  <a:solidFill>
                                    <a:srgbClr val="000000"/>
                                  </a:solidFill>
                                  <a:prstDash val="dash"/>
                                  <a:headEnd type="none" w="med" len="med"/>
                                  <a:tailEnd type="triangle" w="med" len="med"/>
                                </a:ln>
                              </wps:spPr>
                              <wps:bodyPr upright="1"/>
                            </wps:wsp>
                            <wps:wsp>
                              <wps:cNvPr id="23" name="Line 57"/>
                              <wps:cNvCnPr/>
                              <wps:spPr>
                                <a:xfrm flipV="1">
                                  <a:off x="5580" y="312"/>
                                  <a:ext cx="1" cy="311"/>
                                </a:xfrm>
                                <a:prstGeom prst="line">
                                  <a:avLst/>
                                </a:prstGeom>
                                <a:ln w="9525" cap="flat" cmpd="sng">
                                  <a:solidFill>
                                    <a:srgbClr val="000000"/>
                                  </a:solidFill>
                                  <a:prstDash val="dash"/>
                                  <a:headEnd type="none" w="med" len="med"/>
                                  <a:tailEnd type="triangle" w="med" len="med"/>
                                </a:ln>
                              </wps:spPr>
                              <wps:bodyPr upright="1"/>
                            </wps:wsp>
                            <wps:wsp>
                              <wps:cNvPr id="24" name="Rectangle 58"/>
                              <wps:cNvSpPr/>
                              <wps:spPr>
                                <a:xfrm>
                                  <a:off x="5220" y="0"/>
                                  <a:ext cx="716" cy="313"/>
                                </a:xfrm>
                                <a:prstGeom prst="rect">
                                  <a:avLst/>
                                </a:prstGeom>
                                <a:noFill/>
                                <a:ln w="9525">
                                  <a:noFill/>
                                </a:ln>
                              </wps:spPr>
                              <wps:txbx>
                                <w:txbxContent>
                                  <w:p>
                                    <w:pPr>
                                      <w:jc w:val="center"/>
                                      <w:rPr>
                                        <w:rFonts w:hint="eastAsia"/>
                                      </w:rPr>
                                    </w:pPr>
                                    <w:r>
                                      <w:rPr>
                                        <w:rFonts w:hint="eastAsia"/>
                                      </w:rPr>
                                      <w:t>噪声</w:t>
                                    </w:r>
                                  </w:p>
                                </w:txbxContent>
                              </wps:txbx>
                              <wps:bodyPr wrap="square" lIns="0" tIns="0" rIns="0" bIns="0" upright="1"/>
                            </wps:wsp>
                            <wps:wsp>
                              <wps:cNvPr id="25" name="Rectangle 59"/>
                              <wps:cNvSpPr/>
                              <wps:spPr>
                                <a:xfrm>
                                  <a:off x="1440" y="0"/>
                                  <a:ext cx="716" cy="313"/>
                                </a:xfrm>
                                <a:prstGeom prst="rect">
                                  <a:avLst/>
                                </a:prstGeom>
                                <a:noFill/>
                                <a:ln w="9525">
                                  <a:noFill/>
                                </a:ln>
                              </wps:spPr>
                              <wps:txbx>
                                <w:txbxContent>
                                  <w:p>
                                    <w:pPr>
                                      <w:jc w:val="center"/>
                                      <w:rPr>
                                        <w:rFonts w:hint="eastAsia"/>
                                      </w:rPr>
                                    </w:pPr>
                                    <w:r>
                                      <w:rPr>
                                        <w:rFonts w:hint="eastAsia"/>
                                      </w:rPr>
                                      <w:t>噪声</w:t>
                                    </w:r>
                                  </w:p>
                                </w:txbxContent>
                              </wps:txbx>
                              <wps:bodyPr wrap="square" lIns="0" tIns="0" rIns="0" bIns="0" upright="1"/>
                            </wps:wsp>
                            <wps:wsp>
                              <wps:cNvPr id="26" name="Rectangle 60"/>
                              <wps:cNvSpPr/>
                              <wps:spPr>
                                <a:xfrm>
                                  <a:off x="998" y="1404"/>
                                  <a:ext cx="900" cy="311"/>
                                </a:xfrm>
                                <a:prstGeom prst="rect">
                                  <a:avLst/>
                                </a:prstGeom>
                                <a:noFill/>
                                <a:ln w="9525">
                                  <a:noFill/>
                                </a:ln>
                              </wps:spPr>
                              <wps:txbx>
                                <w:txbxContent>
                                  <w:p>
                                    <w:pPr>
                                      <w:jc w:val="center"/>
                                      <w:rPr>
                                        <w:rFonts w:hint="eastAsia"/>
                                      </w:rPr>
                                    </w:pPr>
                                    <w:r>
                                      <w:rPr>
                                        <w:rFonts w:hint="eastAsia"/>
                                      </w:rPr>
                                      <w:t>弃土</w:t>
                                    </w:r>
                                  </w:p>
                                </w:txbxContent>
                              </wps:txbx>
                              <wps:bodyPr wrap="square" lIns="18000" tIns="0" rIns="18000" bIns="0" upright="1"/>
                            </wps:wsp>
                            <wps:wsp>
                              <wps:cNvPr id="27" name="Rectangle 61"/>
                              <wps:cNvSpPr/>
                              <wps:spPr>
                                <a:xfrm>
                                  <a:off x="4666" y="1404"/>
                                  <a:ext cx="900" cy="311"/>
                                </a:xfrm>
                                <a:prstGeom prst="rect">
                                  <a:avLst/>
                                </a:prstGeom>
                                <a:noFill/>
                                <a:ln w="9525">
                                  <a:noFill/>
                                </a:ln>
                              </wps:spPr>
                              <wps:txbx>
                                <w:txbxContent>
                                  <w:p>
                                    <w:pPr>
                                      <w:jc w:val="center"/>
                                      <w:rPr>
                                        <w:rFonts w:hint="eastAsia"/>
                                      </w:rPr>
                                    </w:pPr>
                                    <w:r>
                                      <w:rPr>
                                        <w:rFonts w:hint="eastAsia"/>
                                      </w:rPr>
                                      <w:t>固废</w:t>
                                    </w:r>
                                  </w:p>
                                </w:txbxContent>
                              </wps:txbx>
                              <wps:bodyPr wrap="square" lIns="18000" tIns="0" rIns="18000" bIns="0" upright="1"/>
                            </wps:wsp>
                            <wps:wsp>
                              <wps:cNvPr id="28" name="Rectangle 62"/>
                              <wps:cNvSpPr/>
                              <wps:spPr>
                                <a:xfrm>
                                  <a:off x="818" y="0"/>
                                  <a:ext cx="540" cy="312"/>
                                </a:xfrm>
                                <a:prstGeom prst="rect">
                                  <a:avLst/>
                                </a:prstGeom>
                                <a:noFill/>
                                <a:ln w="9525">
                                  <a:noFill/>
                                </a:ln>
                              </wps:spPr>
                              <wps:txbx>
                                <w:txbxContent>
                                  <w:p>
                                    <w:pPr>
                                      <w:jc w:val="center"/>
                                      <w:rPr>
                                        <w:rFonts w:hint="eastAsia"/>
                                      </w:rPr>
                                    </w:pPr>
                                    <w:r>
                                      <w:rPr>
                                        <w:rFonts w:hint="eastAsia"/>
                                      </w:rPr>
                                      <w:t>扬尘</w:t>
                                    </w:r>
                                  </w:p>
                                </w:txbxContent>
                              </wps:txbx>
                              <wps:bodyPr wrap="square" lIns="0" tIns="0" rIns="0" bIns="0" upright="1"/>
                            </wps:wsp>
                          </wpg:wgp>
                        </a:graphicData>
                      </a:graphic>
                    </wp:inline>
                  </w:drawing>
                </mc:Choice>
                <mc:Fallback>
                  <w:pict>
                    <v:group id="Group 34" o:spid="_x0000_s1026" o:spt="203" style="height:127.4pt;width:433.55pt;" coordsize="9000,2488" o:gfxdata="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">
                      <o:lock v:ext="edit" rotation="t" aspectratio="f"/>
                      <v:rect id="Picture 35" o:spid="_x0000_s1026" o:spt="1" style="position:absolute;left:0;top:0;height:2488;width:9000;"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line id="Line 36" o:spid="_x0000_s1026" o:spt="20" style="position:absolute;left:3960;top:1090;flip:y;height:1092;width:0;" filled="f" stroked="f" coordsize="21600,21600" o:gfxdata="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LhZvQAA&#10;ANoAAAAPAAAAAAAAAAEAIAAAACIAAABkcnMvZG93bnJldi54bWxQSwECFAAUAAAACACHTuJAMy8F&#10;njsAAAA5AAAAEAAAAAAAAAABACAAAAAMAQAAZHJzL3NoYXBleG1sLnhtbFBLBQYAAAAABgAGAFsB&#10;AAC2AwAAAAA=&#10;">
                        <v:fill on="f" focussize="0,0"/>
                        <v:stroke on="f"/>
                        <v:imagedata o:title=""/>
                        <o:lock v:ext="edit" aspectratio="f"/>
                      </v:line>
                      <v:rect id="Rectangle 37" o:spid="_x0000_s1026" o:spt="1" style="position:absolute;left:1260;top:2029;height:459;width:5580;" filled="f" stroked="f" coordsize="21600,21600" o:gfxdata="UEsDBAoAAAAAAIdO4kAAAAAAAAAAAAAAAAAEAAAAZHJzL1BLAwQUAAAACACHTuJAgPVhfr0AAADa&#10;AAAADwAAAGRycy9kb3ducmV2LnhtbEWPT4vCMBTE78J+h/AWvGmqC6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9WF+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b/>
                                  <w:bCs/>
                                  <w:szCs w:val="21"/>
                                </w:rPr>
                              </w:pPr>
                              <w:r>
                                <w:rPr>
                                  <w:rFonts w:hint="eastAsia"/>
                                  <w:b/>
                                  <w:bCs/>
                                  <w:szCs w:val="21"/>
                                </w:rPr>
                                <w:t>图4   施工流程及产污节点示意图</w:t>
                              </w:r>
                            </w:p>
                          </w:txbxContent>
                        </v:textbox>
                      </v:rect>
                      <v:rect id="Rectangle 38" o:spid="_x0000_s1026" o:spt="1" style="position:absolute;left:6300;top:624;height:469;width:1260;"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工程验收</w:t>
                              </w:r>
                            </w:p>
                          </w:txbxContent>
                        </v:textbox>
                      </v:rect>
                      <v:rect id="Rectangle 39" o:spid="_x0000_s1026" o:spt="1" style="position:absolute;left:2700;top:623;height:468;width:126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基础施工</w:t>
                              </w:r>
                            </w:p>
                          </w:txbxContent>
                        </v:textbox>
                      </v:rect>
                      <v:line id="Line 40" o:spid="_x0000_s1026" o:spt="20" style="position:absolute;left:3060;top:312;flip:y;height:312;width:1;" filled="f" stroked="t" coordsize="21600,21600" o:gfxdata="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Llm+22AAAA2g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line>
                      <v:line id="Line 41" o:spid="_x0000_s1026" o:spt="20" style="position:absolute;left:3960;top:935;height:1;width:54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42" o:spid="_x0000_s1026" o:spt="1" style="position:absolute;left:4500;top:623;height:468;width:1260;"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rPr>
                              </w:pPr>
                              <w:r>
                                <w:rPr>
                                  <w:rFonts w:hint="eastAsia"/>
                                </w:rPr>
                                <w:t>工程施工</w:t>
                              </w:r>
                            </w:p>
                          </w:txbxContent>
                        </v:textbox>
                      </v:rect>
                      <v:line id="Line 43" o:spid="_x0000_s1026" o:spt="20" style="position:absolute;left:5760;top:935;height:1;width:54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44" o:spid="_x0000_s1026" o:spt="1" style="position:absolute;left:4500;top:0;height:312;width:720;" filled="f" stroked="f" coordsize="21600,21600" o:gfxdata="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h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扬尘</w:t>
                              </w:r>
                            </w:p>
                          </w:txbxContent>
                        </v:textbox>
                      </v:rect>
                      <v:rect id="Rectangle 45" o:spid="_x0000_s1026" o:spt="1" style="position:absolute;left:2700;top:0;height:312;width:720;" filled="f" stroked="f" coordsize="21600,21600" o:gfxdata="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BJ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rPr>
                              </w:pPr>
                              <w:r>
                                <w:rPr>
                                  <w:rFonts w:hint="eastAsia"/>
                                </w:rPr>
                                <w:t>扬尘</w:t>
                              </w:r>
                            </w:p>
                          </w:txbxContent>
                        </v:textbox>
                      </v:rect>
                      <v:line id="Line 46" o:spid="_x0000_s1026" o:spt="20" style="position:absolute;left:5122;top:1093;height:312;width:1;" filled="f" stroked="t" coordsize="21600,21600" o:gfxdata="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Kbid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Line 47" o:spid="_x0000_s1026" o:spt="20" style="position:absolute;left:3240;top:1093;height:310;width:3;" filled="f" stroked="t" coordsize="21600,21600" o:gfxdata="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lHQa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rect id="Rectangle 48" o:spid="_x0000_s1026" o:spt="1" style="position:absolute;left:2992;top:1404;height:312;width:540;" filled="f" stroked="f" coordsize="21600,21600" o:gfxdata="UEsDBAoAAAAAAIdO4kAAAAAAAAAAAAAAAAAEAAAAZHJzL1BLAwQUAAAACACHTuJAUvSnDLsAAADb&#10;AAAADwAAAGRycy9kb3ducmV2LnhtbEVPS4vCMBC+C/sfwix401RZ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SnD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hint="eastAsia"/>
                                </w:rPr>
                              </w:pPr>
                              <w:r>
                                <w:rPr>
                                  <w:rFonts w:hint="eastAsia"/>
                                </w:rPr>
                                <w:t>固废</w:t>
                              </w:r>
                            </w:p>
                          </w:txbxContent>
                        </v:textbox>
                      </v:rect>
                      <v:shape id="Text Box 49" o:spid="_x0000_s1026" o:spt="202" type="#_x0000_t202" style="position:absolute;left:900;top:623;height:468;width:1260;"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r>
                                <w:rPr>
                                  <w:rFonts w:hint="eastAsia"/>
                                </w:rPr>
                                <w:t>场区平整</w:t>
                              </w:r>
                            </w:p>
                          </w:txbxContent>
                        </v:textbox>
                      </v:shape>
                      <v:line id="Line 50" o:spid="_x0000_s1026" o:spt="20" style="position:absolute;left:2160;top:935;height:1;width:54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51" o:spid="_x0000_s1026" o:spt="20" style="position:absolute;left:3600;top:312;flip:y;height:312;width:1;" filled="f" stroked="t" coordsize="21600,21600" o:gfxdata="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a1dXrgAAADb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rect id="Rectangle 52" o:spid="_x0000_s1026" o:spt="1" style="position:absolute;left:3420;top:0;height:313;width:540;"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噪声</w:t>
                              </w:r>
                            </w:p>
                          </w:txbxContent>
                        </v:textbox>
                      </v:rect>
                      <v:line id="Line 53" o:spid="_x0000_s1026" o:spt="20" style="position:absolute;left:4860;top:312;flip:y;height:313;width:1;" filled="f" stroked="t" coordsize="21600,21600" o:gfxdata="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35st7gAAADb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line id="Line 54" o:spid="_x0000_s1026" o:spt="20" style="position:absolute;left:1080;top:312;flip:y;height:312;width:1;" filled="f" stroked="t" coordsize="21600,21600" o:gfxdata="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kKA+X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Line 55" o:spid="_x0000_s1026" o:spt="20" style="position:absolute;left:1800;top:312;flip:y;height:311;width:1;" filled="f" stroked="t" coordsize="21600,21600" o:gfxdata="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SqDL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Line 56" o:spid="_x0000_s1026" o:spt="20" style="position:absolute;left:1440;top:1093;height:308;width:3;" filled="f" stroked="t" coordsize="21600,21600" o:gfxdata="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RXIg&#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Line 57" o:spid="_x0000_s1026" o:spt="20" style="position:absolute;left:5580;top:312;flip:y;height:311;width:1;" filled="f" stroked="t" coordsize="21600,21600" o:gfxdata="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Hg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rect id="Rectangle 58" o:spid="_x0000_s1026" o:spt="1" style="position:absolute;left:5220;top:0;height:313;width:716;"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eastAsia"/>
                                </w:rPr>
                              </w:pPr>
                              <w:r>
                                <w:rPr>
                                  <w:rFonts w:hint="eastAsia"/>
                                </w:rPr>
                                <w:t>噪声</w:t>
                              </w:r>
                            </w:p>
                          </w:txbxContent>
                        </v:textbox>
                      </v:rect>
                      <v:rect id="Rectangle 59" o:spid="_x0000_s1026" o:spt="1" style="position:absolute;left:1440;top:0;height:313;width:716;"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eastAsia"/>
                                </w:rPr>
                              </w:pPr>
                              <w:r>
                                <w:rPr>
                                  <w:rFonts w:hint="eastAsia"/>
                                </w:rPr>
                                <w:t>噪声</w:t>
                              </w:r>
                            </w:p>
                          </w:txbxContent>
                        </v:textbox>
                      </v:rect>
                      <v:rect id="Rectangle 60" o:spid="_x0000_s1026" o:spt="1" style="position:absolute;left:998;top:1404;height:311;width:900;" filled="f" stroked="f" coordsize="21600,21600" o:gfxdata="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Hv8gvQAA&#10;ANsAAAAPAAAAAAAAAAEAIAAAACIAAABkcnMvZG93bnJldi54bWxQSwECFAAUAAAACACHTuJAMy8F&#10;njsAAAA5AAAAEAAAAAAAAAABACAAAAAMAQAAZHJzL3NoYXBleG1sLnhtbFBLBQYAAAAABgAGAFsB&#10;AAC2AwAAAAA=&#10;">
                        <v:fill on="f" focussize="0,0"/>
                        <v:stroke on="f"/>
                        <v:imagedata o:title=""/>
                        <o:lock v:ext="edit" aspectratio="f"/>
                        <v:textbox inset="0.5mm,0mm,0.5mm,0mm">
                          <w:txbxContent>
                            <w:p>
                              <w:pPr>
                                <w:jc w:val="center"/>
                                <w:rPr>
                                  <w:rFonts w:hint="eastAsia"/>
                                </w:rPr>
                              </w:pPr>
                              <w:r>
                                <w:rPr>
                                  <w:rFonts w:hint="eastAsia"/>
                                </w:rPr>
                                <w:t>弃土</w:t>
                              </w:r>
                            </w:p>
                          </w:txbxContent>
                        </v:textbox>
                      </v:rect>
                      <v:rect id="Rectangle 61" o:spid="_x0000_s1026" o:spt="1" style="position:absolute;left:4666;top:1404;height:311;width:900;" filled="f" stroked="f" coordsize="21600,21600" o:gfxdata="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Jau74A&#10;AADbAAAADwAAAAAAAAABACAAAAAiAAAAZHJzL2Rvd25yZXYueG1sUEsBAhQAFAAAAAgAh07iQDMv&#10;BZ47AAAAOQAAABAAAAAAAAAAAQAgAAAADQEAAGRycy9zaGFwZXhtbC54bWxQSwUGAAAAAAYABgBb&#10;AQAAtwMAAAAA&#10;">
                        <v:fill on="f" focussize="0,0"/>
                        <v:stroke on="f"/>
                        <v:imagedata o:title=""/>
                        <o:lock v:ext="edit" aspectratio="f"/>
                        <v:textbox inset="0.5mm,0mm,0.5mm,0mm">
                          <w:txbxContent>
                            <w:p>
                              <w:pPr>
                                <w:jc w:val="center"/>
                                <w:rPr>
                                  <w:rFonts w:hint="eastAsia"/>
                                </w:rPr>
                              </w:pPr>
                              <w:r>
                                <w:rPr>
                                  <w:rFonts w:hint="eastAsia"/>
                                </w:rPr>
                                <w:t>固废</w:t>
                              </w:r>
                            </w:p>
                          </w:txbxContent>
                        </v:textbox>
                      </v:rect>
                      <v:rect id="Rectangle 62" o:spid="_x0000_s1026" o:spt="1" style="position:absolute;left:818;top:0;height:312;width:540;"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jc w:val="center"/>
                                <w:rPr>
                                  <w:rFonts w:hint="eastAsia"/>
                                </w:rPr>
                              </w:pPr>
                              <w:r>
                                <w:rPr>
                                  <w:rFonts w:hint="eastAsia"/>
                                </w:rPr>
                                <w:t>扬尘</w:t>
                              </w:r>
                            </w:p>
                          </w:txbxContent>
                        </v:textbox>
                      </v:rect>
                      <w10:wrap type="none"/>
                      <w10:anchorlock/>
                    </v:group>
                  </w:pict>
                </mc:Fallback>
              </mc:AlternateContent>
            </w:r>
          </w:p>
          <w:p>
            <w:pPr>
              <w:pStyle w:val="50"/>
              <w:ind w:firstLine="420"/>
              <w:rPr>
                <w:rFonts w:ascii="Times New Roman" w:hAnsi="Times New Roman"/>
                <w:b/>
                <w:bCs/>
              </w:rPr>
            </w:pPr>
            <w:r>
              <w:rPr>
                <w:sz w:val="21"/>
              </w:rPr>
              <mc:AlternateContent>
                <mc:Choice Requires="wps">
                  <w:drawing>
                    <wp:anchor distT="0" distB="0" distL="114300" distR="114300" simplePos="0" relativeHeight="251677696" behindDoc="0" locked="0" layoutInCell="1" allowOverlap="1">
                      <wp:simplePos x="0" y="0"/>
                      <wp:positionH relativeFrom="column">
                        <wp:posOffset>4345940</wp:posOffset>
                      </wp:positionH>
                      <wp:positionV relativeFrom="paragraph">
                        <wp:posOffset>337820</wp:posOffset>
                      </wp:positionV>
                      <wp:extent cx="1517015" cy="342900"/>
                      <wp:effectExtent l="0" t="0" r="0" b="0"/>
                      <wp:wrapNone/>
                      <wp:docPr id="48" name="文本框 29"/>
                      <wp:cNvGraphicFramePr/>
                      <a:graphic xmlns:a="http://schemas.openxmlformats.org/drawingml/2006/main">
                        <a:graphicData uri="http://schemas.microsoft.com/office/word/2010/wordprocessingShape">
                          <wps:wsp>
                            <wps:cNvSpPr txBox="1"/>
                            <wps:spPr>
                              <a:xfrm>
                                <a:off x="0" y="0"/>
                                <a:ext cx="1517015" cy="342900"/>
                              </a:xfrm>
                              <a:prstGeom prst="rect">
                                <a:avLst/>
                              </a:prstGeom>
                              <a:noFill/>
                              <a:ln w="9525">
                                <a:noFill/>
                              </a:ln>
                            </wps:spPr>
                            <wps:txbx>
                              <w:txbxContent>
                                <w:p>
                                  <w:pPr>
                                    <w:rPr>
                                      <w:rFonts w:hint="eastAsia"/>
                                      <w:highlight w:val="none"/>
                                    </w:rPr>
                                  </w:pPr>
                                  <w:r>
                                    <w:rPr>
                                      <w:rFonts w:hint="eastAsia"/>
                                      <w:highlight w:val="none"/>
                                    </w:rPr>
                                    <w:t>油烟、油渣、燃气废气</w:t>
                                  </w:r>
                                </w:p>
                              </w:txbxContent>
                            </wps:txbx>
                            <wps:bodyPr wrap="square" upright="1"/>
                          </wps:wsp>
                        </a:graphicData>
                      </a:graphic>
                    </wp:anchor>
                  </w:drawing>
                </mc:Choice>
                <mc:Fallback>
                  <w:pict>
                    <v:shape id="文本框 29" o:spid="_x0000_s1026" o:spt="202" type="#_x0000_t202" style="position:absolute;left:0pt;margin-left:342.2pt;margin-top:26.6pt;height:27pt;width:119.45pt;z-index:251677696;mso-width-relative:page;mso-height-relative:page;" filled="f" stroked="f" coordsize="21600,21600" o:gfxdata="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5IYHt2AAAAAoBAAAP&#10;AAAAAAAAAAEAIAAAACIAAABkcnMvZG93bnJldi54bWxQSwECFAAUAAAACACHTuJA6Adng6YBAAAZ&#10;AwAADgAAAAAAAAABACAAAAAnAQAAZHJzL2Uyb0RvYy54bWxQSwUGAAAAAAYABgBZAQAAPwUAAAAA&#10;">
                      <v:fill on="f" focussize="0,0"/>
                      <v:stroke on="f"/>
                      <v:imagedata o:title=""/>
                      <o:lock v:ext="edit" aspectratio="f"/>
                      <v:textbox>
                        <w:txbxContent>
                          <w:p>
                            <w:pPr>
                              <w:rPr>
                                <w:rFonts w:hint="eastAsia"/>
                                <w:highlight w:val="none"/>
                              </w:rPr>
                            </w:pPr>
                            <w:r>
                              <w:rPr>
                                <w:rFonts w:hint="eastAsia"/>
                                <w:highlight w:val="none"/>
                              </w:rPr>
                              <w:t>油烟、油渣、燃气废气</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2848610</wp:posOffset>
                      </wp:positionH>
                      <wp:positionV relativeFrom="paragraph">
                        <wp:posOffset>276225</wp:posOffset>
                      </wp:positionV>
                      <wp:extent cx="533400" cy="314325"/>
                      <wp:effectExtent l="4445" t="4445" r="14605" b="5080"/>
                      <wp:wrapNone/>
                      <wp:docPr id="34" name="文本框 7"/>
                      <wp:cNvGraphicFramePr/>
                      <a:graphic xmlns:a="http://schemas.openxmlformats.org/drawingml/2006/main">
                        <a:graphicData uri="http://schemas.microsoft.com/office/word/2010/wordprocessingShape">
                          <wps:wsp>
                            <wps:cNvSpPr txBox="1"/>
                            <wps:spPr>
                              <a:xfrm>
                                <a:off x="0" y="0"/>
                                <a:ext cx="533400" cy="31432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挤出</w:t>
                                  </w:r>
                                </w:p>
                              </w:txbxContent>
                            </wps:txbx>
                            <wps:bodyPr wrap="square" upright="1"/>
                          </wps:wsp>
                        </a:graphicData>
                      </a:graphic>
                    </wp:anchor>
                  </w:drawing>
                </mc:Choice>
                <mc:Fallback>
                  <w:pict>
                    <v:shape id="文本框 7" o:spid="_x0000_s1026" o:spt="202" type="#_x0000_t202" style="position:absolute;left:0pt;margin-left:224.3pt;margin-top:21.75pt;height:24.75pt;width:42pt;z-index:251663360;mso-width-relative:page;mso-height-relative:page;" filled="f" stroked="t" coordsize="21600,21600" o:gfxdata="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WoOi1gAAAAkBAAAPAAAAAAAAAAEAIAAAACIAAABkcnMvZG93bnJldi54bWxQSwECFAAU&#10;AAAACACHTuJAJT7GbvMBAADNAwAADgAAAAAAAAABACAAAAAlAQAAZHJzL2Uyb0RvYy54bWxQSwUG&#10;AAAAAAYABgBZAQAAigUAAAAA&#10;">
                      <v:fill on="f" focussize="0,0"/>
                      <v:stroke color="#000000" joinstyle="miter"/>
                      <v:imagedata o:title=""/>
                      <o:lock v:ext="edit" aspectratio="f"/>
                      <v:textbox>
                        <w:txbxContent>
                          <w:p>
                            <w:pPr>
                              <w:rPr>
                                <w:rFonts w:hint="eastAsia"/>
                              </w:rPr>
                            </w:pPr>
                            <w:r>
                              <w:rPr>
                                <w:rFonts w:hint="eastAsia"/>
                              </w:rPr>
                              <w:t>挤出</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1286510</wp:posOffset>
                      </wp:positionH>
                      <wp:positionV relativeFrom="paragraph">
                        <wp:posOffset>342265</wp:posOffset>
                      </wp:positionV>
                      <wp:extent cx="600075" cy="353060"/>
                      <wp:effectExtent l="0" t="0" r="0" b="0"/>
                      <wp:wrapNone/>
                      <wp:docPr id="46" name="文本框 19"/>
                      <wp:cNvGraphicFramePr/>
                      <a:graphic xmlns:a="http://schemas.openxmlformats.org/drawingml/2006/main">
                        <a:graphicData uri="http://schemas.microsoft.com/office/word/2010/wordprocessingShape">
                          <wps:wsp>
                            <wps:cNvSpPr txBox="1"/>
                            <wps:spPr>
                              <a:xfrm>
                                <a:off x="0" y="0"/>
                                <a:ext cx="600075" cy="353060"/>
                              </a:xfrm>
                              <a:prstGeom prst="rect">
                                <a:avLst/>
                              </a:prstGeom>
                              <a:noFill/>
                              <a:ln w="9525">
                                <a:noFill/>
                              </a:ln>
                            </wps:spPr>
                            <wps:txbx>
                              <w:txbxContent>
                                <w:p>
                                  <w:pPr>
                                    <w:rPr>
                                      <w:rFonts w:hint="eastAsia"/>
                                    </w:rPr>
                                  </w:pPr>
                                  <w:r>
                                    <w:rPr>
                                      <w:rFonts w:hint="eastAsia"/>
                                    </w:rPr>
                                    <w:t>粉尘</w:t>
                                  </w:r>
                                </w:p>
                              </w:txbxContent>
                            </wps:txbx>
                            <wps:bodyPr wrap="square" upright="1"/>
                          </wps:wsp>
                        </a:graphicData>
                      </a:graphic>
                    </wp:anchor>
                  </w:drawing>
                </mc:Choice>
                <mc:Fallback>
                  <w:pict>
                    <v:shape id="文本框 19" o:spid="_x0000_s1026" o:spt="202" type="#_x0000_t202" style="position:absolute;left:0pt;margin-left:101.3pt;margin-top:26.95pt;height:27.8pt;width:47.25pt;z-index:251675648;mso-width-relative:page;mso-height-relative:page;" filled="f" stroked="f" coordsize="21600,21600" o:gfxdata="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kIxONcAAAAKAQAADwAA&#10;AAAAAAABACAAAAAiAAAAZHJzL2Rvd25yZXYueG1sUEsBAhQAFAAAAAgAh07iQFawh36lAQAAGAMA&#10;AA4AAAAAAAAAAQAgAAAAJgEAAGRycy9lMm9Eb2MueG1sUEsFBgAAAAAGAAYAWQEAAD0FAAAAAA==&#10;">
                      <v:fill on="f" focussize="0,0"/>
                      <v:stroke on="f"/>
                      <v:imagedata o:title=""/>
                      <o:lock v:ext="edit" aspectratio="f"/>
                      <v:textbox>
                        <w:txbxContent>
                          <w:p>
                            <w:pPr>
                              <w:rPr>
                                <w:rFonts w:hint="eastAsia"/>
                              </w:rPr>
                            </w:pPr>
                            <w:r>
                              <w:rPr>
                                <w:rFonts w:hint="eastAsia"/>
                              </w:rPr>
                              <w:t>粉尘</w:t>
                            </w:r>
                          </w:p>
                        </w:txbxContent>
                      </v:textbox>
                    </v:shape>
                  </w:pict>
                </mc:Fallback>
              </mc:AlternateContent>
            </w:r>
            <w:r>
              <w:rPr>
                <w:rFonts w:hint="eastAsia" w:ascii="Times New Roman" w:hAnsi="Times New Roman"/>
                <w:b/>
                <w:bCs/>
              </w:rPr>
              <w:t>运营期</w:t>
            </w:r>
            <w:r>
              <w:rPr>
                <w:rFonts w:ascii="Times New Roman" w:hAnsi="Times New Roman"/>
                <w:b/>
                <w:bCs/>
              </w:rPr>
              <w:t>：</w:t>
            </w:r>
          </w:p>
          <w:p>
            <w:pPr>
              <w:jc w:val="center"/>
              <w:rPr>
                <w:b/>
                <w:bCs/>
                <w:szCs w:val="21"/>
              </w:rPr>
            </w:pPr>
            <w:r>
              <mc:AlternateContent>
                <mc:Choice Requires="wps">
                  <w:drawing>
                    <wp:anchor distT="0" distB="0" distL="114300" distR="114300" simplePos="0" relativeHeight="251680768" behindDoc="0" locked="0" layoutInCell="1" allowOverlap="1">
                      <wp:simplePos x="0" y="0"/>
                      <wp:positionH relativeFrom="column">
                        <wp:posOffset>3383915</wp:posOffset>
                      </wp:positionH>
                      <wp:positionV relativeFrom="paragraph">
                        <wp:posOffset>43180</wp:posOffset>
                      </wp:positionV>
                      <wp:extent cx="1039495" cy="9525"/>
                      <wp:effectExtent l="0" t="0" r="0" b="0"/>
                      <wp:wrapNone/>
                      <wp:docPr id="51" name="直线 32"/>
                      <wp:cNvGraphicFramePr/>
                      <a:graphic xmlns:a="http://schemas.openxmlformats.org/drawingml/2006/main">
                        <a:graphicData uri="http://schemas.microsoft.com/office/word/2010/wordprocessingShape">
                          <wps:wsp>
                            <wps:cNvCnPr/>
                            <wps:spPr>
                              <a:xfrm>
                                <a:off x="0" y="0"/>
                                <a:ext cx="1039495"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2" o:spid="_x0000_s1026" o:spt="20" style="position:absolute;left:0pt;margin-left:266.45pt;margin-top:3.4pt;height:0.75pt;width:81.85pt;z-index:251680768;mso-width-relative:page;mso-height-relative:page;" filled="f" stroked="t" coordsize="21600,21600" o:gfxdata="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&#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8wOw11gAAAAcBAAAPAAAAAAAAAAEAIAAAACIAAABk&#10;cnMvZG93bnJldi54bWxQSwECFAAUAAAACACHTuJA+VniUM8BAACSAwAADgAAAAAAAAABACAAAAAl&#10;AQAAZHJzL2Uyb0RvYy54bWxQSwUGAAAAAAYABgBZAQAAZ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2153285</wp:posOffset>
                      </wp:positionH>
                      <wp:positionV relativeFrom="paragraph">
                        <wp:posOffset>29210</wp:posOffset>
                      </wp:positionV>
                      <wp:extent cx="685800" cy="10160"/>
                      <wp:effectExtent l="0" t="36830" r="0" b="29210"/>
                      <wp:wrapNone/>
                      <wp:docPr id="35" name="直线 8"/>
                      <wp:cNvGraphicFramePr/>
                      <a:graphic xmlns:a="http://schemas.openxmlformats.org/drawingml/2006/main">
                        <a:graphicData uri="http://schemas.microsoft.com/office/word/2010/wordprocessingShape">
                          <wps:wsp>
                            <wps:cNvCnPr/>
                            <wps:spPr>
                              <a:xfrm flipV="1">
                                <a:off x="0" y="0"/>
                                <a:ext cx="685800" cy="10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flip:y;margin-left:169.55pt;margin-top:2.3pt;height:0.8pt;width:54pt;z-index:251664384;mso-width-relative:page;mso-height-relative:page;" filled="f" stroked="t" coordsize="21600,21600" o:gfxdata="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HQFf9cAAAAHAQAA&#10;DwAAAAAAAAABACAAAAAiAAAAZHJzL2Rvd25yZXYueG1sUEsBAhQAFAAAAAgAh07iQNCA3BnhAQAA&#10;nwMAAA4AAAAAAAAAAQAgAAAAJgEAAGRycy9lMm9Eb2MueG1sUEsFBgAAAAAGAAYAWQEAAHk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4413885</wp:posOffset>
                      </wp:positionH>
                      <wp:positionV relativeFrom="paragraph">
                        <wp:posOffset>52705</wp:posOffset>
                      </wp:positionV>
                      <wp:extent cx="8890" cy="581025"/>
                      <wp:effectExtent l="36830" t="0" r="30480" b="9525"/>
                      <wp:wrapNone/>
                      <wp:docPr id="50" name="直线 31"/>
                      <wp:cNvGraphicFramePr/>
                      <a:graphic xmlns:a="http://schemas.openxmlformats.org/drawingml/2006/main">
                        <a:graphicData uri="http://schemas.microsoft.com/office/word/2010/wordprocessingShape">
                          <wps:wsp>
                            <wps:cNvCnPr/>
                            <wps:spPr>
                              <a:xfrm flipH="1">
                                <a:off x="0" y="0"/>
                                <a:ext cx="8890"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flip:x;margin-left:347.55pt;margin-top:4.15pt;height:45.75pt;width:0.7pt;z-index:251679744;mso-width-relative:page;mso-height-relative:page;" filled="f" stroked="t" coordsize="21600,21600" o:gfxdata="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wm5c2AAAAAgBAAAPAAAA&#10;AAAAAAEAIAAAACIAAABkcnMvZG93bnJldi54bWxQSwECFAAUAAAACACHTuJAtn6DH9wBAACfAwAA&#10;DgAAAAAAAAABACAAAAAnAQAAZHJzL2Uyb0RvYy54bWxQSwUGAAAAAAYABgBZAQAAd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2146300</wp:posOffset>
                      </wp:positionH>
                      <wp:positionV relativeFrom="paragraph">
                        <wp:posOffset>33655</wp:posOffset>
                      </wp:positionV>
                      <wp:extent cx="635" cy="571500"/>
                      <wp:effectExtent l="4445" t="0" r="13970" b="0"/>
                      <wp:wrapNone/>
                      <wp:docPr id="49" name="直线 30"/>
                      <wp:cNvGraphicFramePr/>
                      <a:graphic xmlns:a="http://schemas.openxmlformats.org/drawingml/2006/main">
                        <a:graphicData uri="http://schemas.microsoft.com/office/word/2010/wordprocessingShape">
                          <wps:wsp>
                            <wps:cNvCnPr/>
                            <wps:spPr>
                              <a:xfrm flipV="1">
                                <a:off x="0" y="0"/>
                                <a:ext cx="635" cy="571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 o:spid="_x0000_s1026" o:spt="20" style="position:absolute;left:0pt;flip:y;margin-left:169pt;margin-top:2.65pt;height:45pt;width:0.05pt;z-index:251678720;mso-width-relative:page;mso-height-relative:page;" filled="f" stroked="t" coordsize="21600,21600" o:gfxdata="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Uio8/VAAAACAEAAA8AAAAAAAAAAQAg&#10;AAAAIgAAAGRycy9kb3ducmV2LnhtbFBLAQIUABQAAAAIAIdO4kBXs1vB2AEAAJoDAAAOAAAAAAAA&#10;AAEAIAAAACQBAABkcnMvZTJvRG9jLnhtbFBLBQYAAAAABgAGAFkBAABuBQAAAAA=&#10;">
                      <v:fill on="f" focussize="0,0"/>
                      <v:stroke color="#000000" joinstyle="round"/>
                      <v:imagedata o:title=""/>
                      <o:lock v:ext="edit" aspectratio="f"/>
                    </v:line>
                  </w:pict>
                </mc:Fallback>
              </mc:AlternateContent>
            </w:r>
          </w:p>
          <w:p>
            <w:pPr>
              <w:pStyle w:val="2"/>
              <w:rPr>
                <w:sz w:val="21"/>
                <w:szCs w:val="21"/>
              </w:rPr>
            </w:pPr>
            <w:r>
              <w:rPr>
                <w:sz w:val="21"/>
              </w:rPr>
              <mc:AlternateContent>
                <mc:Choice Requires="wps">
                  <w:drawing>
                    <wp:anchor distT="0" distB="0" distL="114300" distR="114300" simplePos="0" relativeHeight="251676672" behindDoc="0" locked="0" layoutInCell="1" allowOverlap="1">
                      <wp:simplePos x="0" y="0"/>
                      <wp:positionH relativeFrom="column">
                        <wp:posOffset>5221605</wp:posOffset>
                      </wp:positionH>
                      <wp:positionV relativeFrom="paragraph">
                        <wp:posOffset>13335</wp:posOffset>
                      </wp:positionV>
                      <wp:extent cx="635" cy="237490"/>
                      <wp:effectExtent l="38100" t="0" r="37465" b="10160"/>
                      <wp:wrapNone/>
                      <wp:docPr id="47" name="直线 28"/>
                      <wp:cNvGraphicFramePr/>
                      <a:graphic xmlns:a="http://schemas.openxmlformats.org/drawingml/2006/main">
                        <a:graphicData uri="http://schemas.microsoft.com/office/word/2010/wordprocessingShape">
                          <wps:wsp>
                            <wps:cNvCnPr/>
                            <wps:spPr>
                              <a:xfrm flipH="1" flipV="1">
                                <a:off x="0" y="0"/>
                                <a:ext cx="635" cy="23749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28" o:spid="_x0000_s1026" o:spt="20" style="position:absolute;left:0pt;flip:x y;margin-left:411.15pt;margin-top:1.05pt;height:18.7pt;width:0.05pt;z-index:251676672;mso-width-relative:page;mso-height-relative:page;" filled="f" stroked="t" coordsize="21600,21600" o:gfxdata="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3Kw41gAAAAgB&#10;AAAPAAAAAAAAAAEAIAAAACIAAABkcnMvZG93bnJldi54bWxQSwECFAAUAAAACACHTuJA7gvWSeQB&#10;AACnAwAADgAAAAAAAAABACAAAAAlAQAAZHJzL2Uyb0RvYy54bWxQSwUGAAAAAAYABgBZAQAAewUA&#10;AAAA&#10;">
                      <v:fill on="f" focussize="0,0"/>
                      <v:stroke color="#000000" joinstyle="round" dashstyle="dash" endarrow="block"/>
                      <v:imagedata o:title=""/>
                      <o:lock v:ext="edit" aspectratio="f"/>
                    </v:lin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5312410</wp:posOffset>
                      </wp:positionH>
                      <wp:positionV relativeFrom="paragraph">
                        <wp:posOffset>631190</wp:posOffset>
                      </wp:positionV>
                      <wp:extent cx="8255" cy="398145"/>
                      <wp:effectExtent l="31115" t="0" r="36830" b="1905"/>
                      <wp:wrapNone/>
                      <wp:docPr id="93" name="直线 109"/>
                      <wp:cNvGraphicFramePr/>
                      <a:graphic xmlns:a="http://schemas.openxmlformats.org/drawingml/2006/main">
                        <a:graphicData uri="http://schemas.microsoft.com/office/word/2010/wordprocessingShape">
                          <wps:wsp>
                            <wps:cNvCnPr/>
                            <wps:spPr>
                              <a:xfrm flipV="1">
                                <a:off x="0" y="0"/>
                                <a:ext cx="8255" cy="398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 o:spid="_x0000_s1026" o:spt="20" style="position:absolute;left:0pt;flip:y;margin-left:418.3pt;margin-top:49.7pt;height:31.35pt;width:0.65pt;z-index:251723776;mso-width-relative:page;mso-height-relative:page;" filled="f" stroked="t" coordsize="21600,21600" o:gfxdata="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sqs72QAAAAoBAAAP&#10;AAAAAAAAAAEAIAAAACIAAABkcnMvZG93bnJldi54bWxQSwECFAAUAAAACACHTuJAz8u+594BAACg&#10;AwAADgAAAAAAAAABACAAAAAoAQAAZHJzL2Uyb0RvYy54bWxQSwUGAAAAAAYABgBZAQAAe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4758055</wp:posOffset>
                      </wp:positionH>
                      <wp:positionV relativeFrom="paragraph">
                        <wp:posOffset>618490</wp:posOffset>
                      </wp:positionV>
                      <wp:extent cx="635" cy="403225"/>
                      <wp:effectExtent l="37465" t="0" r="38100" b="15875"/>
                      <wp:wrapNone/>
                      <wp:docPr id="41" name="直线 14"/>
                      <wp:cNvGraphicFramePr/>
                      <a:graphic xmlns:a="http://schemas.openxmlformats.org/drawingml/2006/main">
                        <a:graphicData uri="http://schemas.microsoft.com/office/word/2010/wordprocessingShape">
                          <wps:wsp>
                            <wps:cNvCnPr/>
                            <wps:spPr>
                              <a:xfrm>
                                <a:off x="0" y="0"/>
                                <a:ext cx="635" cy="4032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margin-left:374.65pt;margin-top:48.7pt;height:31.75pt;width:0.05pt;z-index:251670528;mso-width-relative:page;mso-height-relative:page;" filled="f" stroked="t" coordsize="21600,21600" o:gfxdata="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0dqdkAAAAKAQAADwAAAAAAAAAB&#10;ACAAAAAiAAAAZHJzL2Rvd25yZXYueG1sUEsBAhQAFAAAAAgAh07iQCv7+IHWAQAAlAMAAA4AAAAA&#10;AAAAAQAgAAAAKAEAAGRycy9lMm9Eb2MueG1sUEsFBgAAAAAGAAYAWQEAAHA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4698365</wp:posOffset>
                      </wp:positionH>
                      <wp:positionV relativeFrom="paragraph">
                        <wp:posOffset>259080</wp:posOffset>
                      </wp:positionV>
                      <wp:extent cx="1095375" cy="342900"/>
                      <wp:effectExtent l="4445" t="4445" r="5080" b="14605"/>
                      <wp:wrapNone/>
                      <wp:docPr id="40" name="文本框 13"/>
                      <wp:cNvGraphicFramePr/>
                      <a:graphic xmlns:a="http://schemas.openxmlformats.org/drawingml/2006/main">
                        <a:graphicData uri="http://schemas.microsoft.com/office/word/2010/wordprocessingShape">
                          <wps:wsp>
                            <wps:cNvSpPr txBox="1"/>
                            <wps:spPr>
                              <a:xfrm>
                                <a:off x="0" y="0"/>
                                <a:ext cx="1095375" cy="342900"/>
                              </a:xfrm>
                              <a:prstGeom prst="rect">
                                <a:avLst/>
                              </a:prstGeom>
                              <a:noFill/>
                              <a:ln w="9525" cap="flat" cmpd="sng">
                                <a:solidFill>
                                  <a:srgbClr val="000000"/>
                                </a:solidFill>
                                <a:prstDash val="solid"/>
                                <a:miter/>
                                <a:headEnd type="none" w="med" len="med"/>
                                <a:tailEnd type="none" w="med" len="med"/>
                              </a:ln>
                            </wps:spPr>
                            <wps:txbx>
                              <w:txbxContent>
                                <w:p>
                                  <w:pPr>
                                    <w:ind w:firstLine="420" w:firstLineChars="200"/>
                                    <w:rPr>
                                      <w:rFonts w:hint="eastAsia"/>
                                      <w:highlight w:val="none"/>
                                    </w:rPr>
                                  </w:pPr>
                                  <w:r>
                                    <w:rPr>
                                      <w:rFonts w:hint="eastAsia"/>
                                      <w:highlight w:val="none"/>
                                    </w:rPr>
                                    <w:t>油 炸</w:t>
                                  </w:r>
                                </w:p>
                              </w:txbxContent>
                            </wps:txbx>
                            <wps:bodyPr wrap="square" upright="1"/>
                          </wps:wsp>
                        </a:graphicData>
                      </a:graphic>
                    </wp:anchor>
                  </w:drawing>
                </mc:Choice>
                <mc:Fallback>
                  <w:pict>
                    <v:shape id="文本框 13" o:spid="_x0000_s1026" o:spt="202" type="#_x0000_t202" style="position:absolute;left:0pt;margin-left:369.95pt;margin-top:20.4pt;height:27pt;width:86.25pt;z-index:251669504;mso-width-relative:page;mso-height-relative:page;" filled="f" stroked="t" coordsize="21600,21600" o:gfxdata="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mid/9YAAAAJAQAADwAAAAAAAAABACAAAAAiAAAAZHJzL2Rvd25yZXYueG1sUEsB&#10;AhQAFAAAAAgAh07iQDIuV6n3AQAAzwMAAA4AAAAAAAAAAQAgAAAAJQEAAGRycy9lMm9Eb2MueG1s&#10;UEsFBgAAAAAGAAYAWQEAAI4FAAAAAA==&#10;">
                      <v:fill on="f" focussize="0,0"/>
                      <v:stroke color="#000000" joinstyle="miter"/>
                      <v:imagedata o:title=""/>
                      <o:lock v:ext="edit" aspectratio="f"/>
                      <v:textbox>
                        <w:txbxContent>
                          <w:p>
                            <w:pPr>
                              <w:ind w:firstLine="420" w:firstLineChars="200"/>
                              <w:rPr>
                                <w:rFonts w:hint="eastAsia"/>
                                <w:highlight w:val="none"/>
                              </w:rPr>
                            </w:pPr>
                            <w:r>
                              <w:rPr>
                                <w:rFonts w:hint="eastAsia"/>
                                <w:highlight w:val="none"/>
                              </w:rPr>
                              <w:t>油 炸</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4163060</wp:posOffset>
                      </wp:positionH>
                      <wp:positionV relativeFrom="paragraph">
                        <wp:posOffset>440055</wp:posOffset>
                      </wp:positionV>
                      <wp:extent cx="535305" cy="635"/>
                      <wp:effectExtent l="0" t="38100" r="17145" b="37465"/>
                      <wp:wrapNone/>
                      <wp:docPr id="39" name="直线 12"/>
                      <wp:cNvGraphicFramePr/>
                      <a:graphic xmlns:a="http://schemas.openxmlformats.org/drawingml/2006/main">
                        <a:graphicData uri="http://schemas.microsoft.com/office/word/2010/wordprocessingShape">
                          <wps:wsp>
                            <wps:cNvCnPr/>
                            <wps:spPr>
                              <a:xfrm flipV="1">
                                <a:off x="0" y="0"/>
                                <a:ext cx="5353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y;margin-left:327.8pt;margin-top:34.65pt;height:0.05pt;width:42.15pt;z-index:251668480;mso-width-relative:page;mso-height-relative:page;" filled="f" stroked="t" coordsize="21600,21600" o:gfxdata="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09dh9kAAAAJAQAADwAA&#10;AAAAAAABACAAAAAiAAAAZHJzL2Rvd25yZXYueG1sUEsBAhQAFAAAAAgAh07iQNPke4zcAQAAngMA&#10;AA4AAAAAAAAAAQAgAAAAKAEAAGRycy9lMm9Eb2MueG1sUEsFBgAAAAAGAAYAWQEAAHY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3068320</wp:posOffset>
                      </wp:positionH>
                      <wp:positionV relativeFrom="paragraph">
                        <wp:posOffset>411480</wp:posOffset>
                      </wp:positionV>
                      <wp:extent cx="474980" cy="635"/>
                      <wp:effectExtent l="0" t="38100" r="1270" b="37465"/>
                      <wp:wrapNone/>
                      <wp:docPr id="37" name="直线 10"/>
                      <wp:cNvGraphicFramePr/>
                      <a:graphic xmlns:a="http://schemas.openxmlformats.org/drawingml/2006/main">
                        <a:graphicData uri="http://schemas.microsoft.com/office/word/2010/wordprocessingShape">
                          <wps:wsp>
                            <wps:cNvCnPr/>
                            <wps:spPr>
                              <a:xfrm flipV="1">
                                <a:off x="0" y="0"/>
                                <a:ext cx="47498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flip:y;margin-left:241.6pt;margin-top:32.4pt;height:0.05pt;width:37.4pt;z-index:251666432;mso-width-relative:page;mso-height-relative:page;" filled="f" stroked="t" coordsize="21600,21600" o:gfxdata="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U8I1y2QAAAAkBAAAP&#10;AAAAAAAAAAEAIAAAACIAAABkcnMvZG93bnJldi54bWxQSwECFAAUAAAACACHTuJAwiXTNd4BAACe&#10;AwAADgAAAAAAAAABACAAAAAoAQAAZHJzL2Uyb0RvYy54bWxQSwUGAAAAAAYABgBZAQAAe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1781175</wp:posOffset>
                      </wp:positionH>
                      <wp:positionV relativeFrom="paragraph">
                        <wp:posOffset>402590</wp:posOffset>
                      </wp:positionV>
                      <wp:extent cx="762000" cy="17780"/>
                      <wp:effectExtent l="0" t="36195" r="0" b="22225"/>
                      <wp:wrapNone/>
                      <wp:docPr id="33" name="直线 6"/>
                      <wp:cNvGraphicFramePr/>
                      <a:graphic xmlns:a="http://schemas.openxmlformats.org/drawingml/2006/main">
                        <a:graphicData uri="http://schemas.microsoft.com/office/word/2010/wordprocessingShape">
                          <wps:wsp>
                            <wps:cNvCnPr/>
                            <wps:spPr>
                              <a:xfrm flipV="1">
                                <a:off x="0" y="0"/>
                                <a:ext cx="762000" cy="17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flip:y;margin-left:140.25pt;margin-top:31.7pt;height:1.4pt;width:60pt;z-index:251662336;mso-width-relative:page;mso-height-relative:page;" filled="f" stroked="t" coordsize="21600,21600" o:gfxdata="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7dpIdgAAAAJAQAA&#10;DwAAAAAAAAABACAAAAAiAAAAZHJzL2Rvd25yZXYueG1sUEsBAhQAFAAAAAgAh07iQG7NjYDgAQAA&#10;nwMAAA4AAAAAAAAAAQAgAAAAJwEAAGRycy9lMm9Eb2MueG1sUEsFBgAAAAAGAAYAWQEAAHkFAAAA&#10;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2524760</wp:posOffset>
                      </wp:positionH>
                      <wp:positionV relativeFrom="paragraph">
                        <wp:posOffset>230505</wp:posOffset>
                      </wp:positionV>
                      <wp:extent cx="495300" cy="390525"/>
                      <wp:effectExtent l="4445" t="4445" r="14605" b="5080"/>
                      <wp:wrapNone/>
                      <wp:docPr id="36" name="文本框 9"/>
                      <wp:cNvGraphicFramePr/>
                      <a:graphic xmlns:a="http://schemas.openxmlformats.org/drawingml/2006/main">
                        <a:graphicData uri="http://schemas.microsoft.com/office/word/2010/wordprocessingShape">
                          <wps:wsp>
                            <wps:cNvSpPr txBox="1"/>
                            <wps:spPr>
                              <a:xfrm>
                                <a:off x="0" y="0"/>
                                <a:ext cx="495300" cy="39052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膨化</w:t>
                                  </w:r>
                                </w:p>
                              </w:txbxContent>
                            </wps:txbx>
                            <wps:bodyPr wrap="square" upright="1"/>
                          </wps:wsp>
                        </a:graphicData>
                      </a:graphic>
                    </wp:anchor>
                  </w:drawing>
                </mc:Choice>
                <mc:Fallback>
                  <w:pict>
                    <v:shape id="文本框 9" o:spid="_x0000_s1026" o:spt="202" type="#_x0000_t202" style="position:absolute;left:0pt;margin-left:198.8pt;margin-top:18.15pt;height:30.75pt;width:39pt;z-index:251665408;mso-width-relative:page;mso-height-relative:page;" filled="f" stroked="t" coordsize="21600,21600" o:gfxdata="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CBDut1gAAAAkBAAAPAAAAAAAAAAEAIAAAACIAAABkcnMvZG93bnJldi54bWxQSwECFAAU&#10;AAAACACHTuJAg9qZ2vMBAADNAwAADgAAAAAAAAABACAAAAAlAQAAZHJzL2Uyb0RvYy54bWxQSwUG&#10;AAAAAAYABgBZAQAAigUAAAAA&#10;">
                      <v:fill on="f" focussize="0,0"/>
                      <v:stroke color="#000000" joinstyle="miter"/>
                      <v:imagedata o:title=""/>
                      <o:lock v:ext="edit" aspectratio="f"/>
                      <v:textbox>
                        <w:txbxContent>
                          <w:p>
                            <w:pPr>
                              <w:rPr>
                                <w:rFonts w:hint="eastAsia"/>
                              </w:rPr>
                            </w:pPr>
                            <w:r>
                              <w:rPr>
                                <w:rFonts w:hint="eastAsia"/>
                              </w:rPr>
                              <w:t>膨化</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3543935</wp:posOffset>
                      </wp:positionH>
                      <wp:positionV relativeFrom="paragraph">
                        <wp:posOffset>267970</wp:posOffset>
                      </wp:positionV>
                      <wp:extent cx="600075" cy="344170"/>
                      <wp:effectExtent l="4445" t="4445" r="5080" b="13335"/>
                      <wp:wrapNone/>
                      <wp:docPr id="38" name="文本框 11"/>
                      <wp:cNvGraphicFramePr/>
                      <a:graphic xmlns:a="http://schemas.openxmlformats.org/drawingml/2006/main">
                        <a:graphicData uri="http://schemas.microsoft.com/office/word/2010/wordprocessingShape">
                          <wps:wsp>
                            <wps:cNvSpPr txBox="1"/>
                            <wps:spPr>
                              <a:xfrm>
                                <a:off x="0" y="0"/>
                                <a:ext cx="600075" cy="34417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成型</w:t>
                                  </w:r>
                                </w:p>
                              </w:txbxContent>
                            </wps:txbx>
                            <wps:bodyPr wrap="square" upright="1"/>
                          </wps:wsp>
                        </a:graphicData>
                      </a:graphic>
                    </wp:anchor>
                  </w:drawing>
                </mc:Choice>
                <mc:Fallback>
                  <w:pict>
                    <v:shape id="文本框 11" o:spid="_x0000_s1026" o:spt="202" type="#_x0000_t202" style="position:absolute;left:0pt;margin-left:279.05pt;margin-top:21.1pt;height:27.1pt;width:47.25pt;z-index:251667456;mso-width-relative:page;mso-height-relative:page;" filled="f" stroked="t" coordsize="21600,21600" o:gfxdata="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l/ianYAAAACQEAAA8AAAAAAAAAAQAgAAAAIgAAAGRycy9kb3ducmV2LnhtbFBL&#10;AQIUABQAAAAIAIdO4kBAz+Yd9gEAAM4DAAAOAAAAAAAAAAEAIAAAACcBAABkcnMvZTJvRG9jLnht&#10;bFBLBQYAAAAABgAGAFkBAACPBQAAAAA=&#10;">
                      <v:fill on="f" focussize="0,0"/>
                      <v:stroke color="#000000" joinstyle="miter"/>
                      <v:imagedata o:title=""/>
                      <o:lock v:ext="edit" aspectratio="f"/>
                      <v:textbox>
                        <w:txbxContent>
                          <w:p>
                            <w:pPr>
                              <w:rPr>
                                <w:rFonts w:hint="eastAsia"/>
                              </w:rPr>
                            </w:pPr>
                            <w:r>
                              <w:rPr>
                                <w:rFonts w:hint="eastAsia"/>
                              </w:rPr>
                              <w:t>成型</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1524635</wp:posOffset>
                      </wp:positionH>
                      <wp:positionV relativeFrom="paragraph">
                        <wp:posOffset>87630</wp:posOffset>
                      </wp:positionV>
                      <wp:extent cx="635" cy="200025"/>
                      <wp:effectExtent l="37465" t="0" r="38100" b="9525"/>
                      <wp:wrapNone/>
                      <wp:docPr id="45" name="直线 18"/>
                      <wp:cNvGraphicFramePr/>
                      <a:graphic xmlns:a="http://schemas.openxmlformats.org/drawingml/2006/main">
                        <a:graphicData uri="http://schemas.microsoft.com/office/word/2010/wordprocessingShape">
                          <wps:wsp>
                            <wps:cNvCnPr/>
                            <wps:spPr>
                              <a:xfrm flipV="1">
                                <a:off x="0" y="0"/>
                                <a:ext cx="635" cy="20002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18" o:spid="_x0000_s1026" o:spt="20" style="position:absolute;left:0pt;flip:y;margin-left:120.05pt;margin-top:6.9pt;height:15.75pt;width:0.05pt;z-index:251674624;mso-width-relative:page;mso-height-relative:page;" filled="f" stroked="t" coordsize="21600,21600" o:gfxdata="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CdxRHVAAAACQEAAA8AAAAAAAAA&#10;AQAgAAAAIgAAAGRycy9kb3ducmV2LnhtbFBLAQIUABQAAAAIAIdO4kCsCOBv2wEAAJ0DAAAOAAAA&#10;AAAAAAEAIAAAACQBAABkcnMvZTJvRG9jLnhtbFBLBQYAAAAABgAGAFkBAABxBQAAAAA=&#10;">
                      <v:fill on="f" focussize="0,0"/>
                      <v:stroke color="#000000" joinstyle="round" dashstyle="dash" endarrow="block"/>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1286510</wp:posOffset>
                      </wp:positionH>
                      <wp:positionV relativeFrom="paragraph">
                        <wp:posOffset>287020</wp:posOffset>
                      </wp:positionV>
                      <wp:extent cx="486410" cy="324485"/>
                      <wp:effectExtent l="4445" t="4445" r="23495" b="13970"/>
                      <wp:wrapNone/>
                      <wp:docPr id="32" name="文本框 5"/>
                      <wp:cNvGraphicFramePr/>
                      <a:graphic xmlns:a="http://schemas.openxmlformats.org/drawingml/2006/main">
                        <a:graphicData uri="http://schemas.microsoft.com/office/word/2010/wordprocessingShape">
                          <wps:wsp>
                            <wps:cNvSpPr txBox="1"/>
                            <wps:spPr>
                              <a:xfrm>
                                <a:off x="0" y="0"/>
                                <a:ext cx="486410" cy="32448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拌面</w:t>
                                  </w:r>
                                </w:p>
                              </w:txbxContent>
                            </wps:txbx>
                            <wps:bodyPr wrap="square" upright="1"/>
                          </wps:wsp>
                        </a:graphicData>
                      </a:graphic>
                    </wp:anchor>
                  </w:drawing>
                </mc:Choice>
                <mc:Fallback>
                  <w:pict>
                    <v:shape id="文本框 5" o:spid="_x0000_s1026" o:spt="202" type="#_x0000_t202" style="position:absolute;left:0pt;margin-left:101.3pt;margin-top:22.6pt;height:25.55pt;width:38.3pt;z-index:251661312;mso-width-relative:page;mso-height-relative:page;" filled="f" stroked="t" coordsize="21600,21600" o:gfxdata="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0zaRtcAAAAJAQAADwAAAAAAAAABACAAAAAiAAAAZHJzL2Rvd25yZXYueG1sUEsB&#10;AhQAFAAAAAgAh07iQJWvvMj2AQAAzQMAAA4AAAAAAAAAAQAgAAAAJgEAAGRycy9lMm9Eb2MueG1s&#10;UEsFBgAAAAAGAAYAWQEAAI4FAAAAAA==&#10;">
                      <v:fill on="f" focussize="0,0"/>
                      <v:stroke color="#000000" joinstyle="miter"/>
                      <v:imagedata o:title=""/>
                      <o:lock v:ext="edit" aspectratio="f"/>
                      <v:textbox>
                        <w:txbxContent>
                          <w:p>
                            <w:pPr>
                              <w:rPr>
                                <w:rFonts w:hint="eastAsia"/>
                              </w:rPr>
                            </w:pPr>
                            <w:r>
                              <w:rPr>
                                <w:rFonts w:hint="eastAsia"/>
                              </w:rPr>
                              <w:t>拌面</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953135</wp:posOffset>
                      </wp:positionH>
                      <wp:positionV relativeFrom="paragraph">
                        <wp:posOffset>421005</wp:posOffset>
                      </wp:positionV>
                      <wp:extent cx="342900" cy="635"/>
                      <wp:effectExtent l="0" t="37465" r="0" b="38100"/>
                      <wp:wrapNone/>
                      <wp:docPr id="31" name="直线 4"/>
                      <wp:cNvGraphicFramePr/>
                      <a:graphic xmlns:a="http://schemas.openxmlformats.org/drawingml/2006/main">
                        <a:graphicData uri="http://schemas.microsoft.com/office/word/2010/wordprocessingShape">
                          <wps:wsp>
                            <wps:cNvCnPr/>
                            <wps:spPr>
                              <a:xfrm>
                                <a:off x="0" y="0"/>
                                <a:ext cx="3429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 o:spid="_x0000_s1026" o:spt="20" style="position:absolute;left:0pt;margin-left:75.05pt;margin-top:33.15pt;height:0.05pt;width:27pt;z-index:251660288;mso-width-relative:page;mso-height-relative:page;" filled="f" stroked="t" coordsize="21600,21600" o:gfxdata="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9gDr2AAAAAkBAAAPAAAAAAAAAAEA&#10;IAAAACIAAABkcnMvZG93bnJldi54bWxQSwECFAAUAAAACACHTuJAGSOGYdYBAACTAwAADgAAAAAA&#10;AAABACAAAAAnAQAAZHJzL2Uyb0RvYy54bWxQSwUGAAAAAAYABgBZAQAAbw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287655</wp:posOffset>
                      </wp:positionV>
                      <wp:extent cx="933450" cy="333375"/>
                      <wp:effectExtent l="4445" t="4445" r="14605" b="5080"/>
                      <wp:wrapNone/>
                      <wp:docPr id="30" name="文本框 3"/>
                      <wp:cNvGraphicFramePr/>
                      <a:graphic xmlns:a="http://schemas.openxmlformats.org/drawingml/2006/main">
                        <a:graphicData uri="http://schemas.microsoft.com/office/word/2010/wordprocessingShape">
                          <wps:wsp>
                            <wps:cNvSpPr txBox="1"/>
                            <wps:spPr>
                              <a:xfrm>
                                <a:off x="0" y="0"/>
                                <a:ext cx="933450" cy="33337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购进原材料</w:t>
                                  </w:r>
                                </w:p>
                              </w:txbxContent>
                            </wps:txbx>
                            <wps:bodyPr wrap="square" upright="1"/>
                          </wps:wsp>
                        </a:graphicData>
                      </a:graphic>
                    </wp:anchor>
                  </w:drawing>
                </mc:Choice>
                <mc:Fallback>
                  <w:pict>
                    <v:shape id="文本框 3" o:spid="_x0000_s1026" o:spt="202" type="#_x0000_t202" style="position:absolute;left:0pt;margin-left:1.55pt;margin-top:22.65pt;height:26.25pt;width:73.5pt;z-index:251659264;mso-width-relative:page;mso-height-relative:page;" filled="f" stroked="t" coordsize="21600,21600" o:gfxdata="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W33T1AAAAAcBAAAPAAAAAAAAAAEAIAAAACIAAABkcnMvZG93bnJldi54bWxQSwECFAAUAAAA&#10;CACHTuJAnN2EQ/IBAADNAwAADgAAAAAAAAABACAAAAAjAQAAZHJzL2Uyb0RvYy54bWxQSwUGAAAA&#10;AAYABgBZAQAAhwUAAAAA&#10;">
                      <v:fill on="f" focussize="0,0"/>
                      <v:stroke color="#000000" joinstyle="miter"/>
                      <v:imagedata o:title=""/>
                      <o:lock v:ext="edit" aspectratio="f"/>
                      <v:textbox>
                        <w:txbxContent>
                          <w:p>
                            <w:pPr>
                              <w:rPr>
                                <w:rFonts w:hint="eastAsia"/>
                              </w:rPr>
                            </w:pPr>
                            <w:r>
                              <w:rPr>
                                <w:rFonts w:hint="eastAsia"/>
                              </w:rPr>
                              <w:t>购进原材料</w:t>
                            </w:r>
                          </w:p>
                        </w:txbxContent>
                      </v:textbox>
                    </v:shape>
                  </w:pict>
                </mc:Fallback>
              </mc:AlternateContent>
            </w:r>
          </w:p>
          <w:p>
            <w:r>
              <mc:AlternateContent>
                <mc:Choice Requires="wps">
                  <w:drawing>
                    <wp:anchor distT="0" distB="0" distL="114300" distR="114300" simplePos="0" relativeHeight="251724800" behindDoc="0" locked="0" layoutInCell="1" allowOverlap="1">
                      <wp:simplePos x="0" y="0"/>
                      <wp:positionH relativeFrom="column">
                        <wp:posOffset>5044440</wp:posOffset>
                      </wp:positionH>
                      <wp:positionV relativeFrom="paragraph">
                        <wp:posOffset>127000</wp:posOffset>
                      </wp:positionV>
                      <wp:extent cx="622935" cy="363855"/>
                      <wp:effectExtent l="4445" t="4445" r="20320" b="12700"/>
                      <wp:wrapNone/>
                      <wp:docPr id="94" name="文本框 110"/>
                      <wp:cNvGraphicFramePr/>
                      <a:graphic xmlns:a="http://schemas.openxmlformats.org/drawingml/2006/main">
                        <a:graphicData uri="http://schemas.microsoft.com/office/word/2010/wordprocessingShape">
                          <wps:wsp>
                            <wps:cNvSpPr txBox="1"/>
                            <wps:spPr>
                              <a:xfrm>
                                <a:off x="0" y="0"/>
                                <a:ext cx="622935" cy="36385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天然气</w:t>
                                  </w:r>
                                </w:p>
                              </w:txbxContent>
                            </wps:txbx>
                            <wps:bodyPr wrap="square" upright="1"/>
                          </wps:wsp>
                        </a:graphicData>
                      </a:graphic>
                    </wp:anchor>
                  </w:drawing>
                </mc:Choice>
                <mc:Fallback>
                  <w:pict>
                    <v:shape id="文本框 110" o:spid="_x0000_s1026" o:spt="202" type="#_x0000_t202" style="position:absolute;left:0pt;margin-left:397.2pt;margin-top:10pt;height:28.65pt;width:49.05pt;z-index:251724800;mso-width-relative:page;mso-height-relative:page;" filled="f" stroked="t" coordsize="21600,21600" o:gfxdata="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wXct3VAAAACQEAAA8AAAAAAAAAAQAgAAAAIgAAAGRycy9kb3ducmV2LnhtbFBLAQIUABQA&#10;AAAIAIdO4kA1gqhz8wEAAM8DAAAOAAAAAAAAAAEAIAAAACQBAABkcnMvZTJvRG9jLnhtbFBLBQYA&#10;AAAABgAGAFkBAACJBQAAAAA=&#10;">
                      <v:fill on="f" focussize="0,0"/>
                      <v:stroke color="#000000" joinstyle="miter"/>
                      <v:imagedata o:title=""/>
                      <o:lock v:ext="edit" aspectratio="f"/>
                      <v:textbox>
                        <w:txbxContent>
                          <w:p>
                            <w:pPr>
                              <w:rPr>
                                <w:rFonts w:hint="eastAsia"/>
                              </w:rPr>
                            </w:pPr>
                            <w:r>
                              <w:rPr>
                                <w:rFonts w:hint="eastAsia"/>
                              </w:rPr>
                              <w:t>天然气</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4294505</wp:posOffset>
                      </wp:positionH>
                      <wp:positionV relativeFrom="paragraph">
                        <wp:posOffset>99695</wp:posOffset>
                      </wp:positionV>
                      <wp:extent cx="561975" cy="390525"/>
                      <wp:effectExtent l="4445" t="4445" r="5080" b="5080"/>
                      <wp:wrapNone/>
                      <wp:docPr id="52" name="文本框 33"/>
                      <wp:cNvGraphicFramePr/>
                      <a:graphic xmlns:a="http://schemas.openxmlformats.org/drawingml/2006/main">
                        <a:graphicData uri="http://schemas.microsoft.com/office/word/2010/wordprocessingShape">
                          <wps:wsp>
                            <wps:cNvSpPr txBox="1"/>
                            <wps:spPr>
                              <a:xfrm>
                                <a:off x="0" y="0"/>
                                <a:ext cx="561975" cy="39052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脱油</w:t>
                                  </w:r>
                                </w:p>
                              </w:txbxContent>
                            </wps:txbx>
                            <wps:bodyPr wrap="square" upright="1"/>
                          </wps:wsp>
                        </a:graphicData>
                      </a:graphic>
                    </wp:anchor>
                  </w:drawing>
                </mc:Choice>
                <mc:Fallback>
                  <w:pict>
                    <v:shape id="文本框 33" o:spid="_x0000_s1026" o:spt="202" type="#_x0000_t202" style="position:absolute;left:0pt;margin-left:338.15pt;margin-top:7.85pt;height:30.75pt;width:44.25pt;z-index:251681792;mso-width-relative:page;mso-height-relative:page;" filled="f" stroked="t" coordsize="21600,21600" o:gfxdata="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3gXNYAAAAJAQAADwAAAAAAAAABACAAAAAiAAAAZHJzL2Rvd25yZXYueG1sUEsBAhQA&#10;FAAAAAgAh07iQIh8lLL0AQAAzgMAAA4AAAAAAAAAAQAgAAAAJQEAAGRycy9lMm9Eb2MueG1sUEsF&#10;BgAAAAAGAAYAWQEAAIsFAAAAAA==&#10;">
                      <v:fill on="f" focussize="0,0"/>
                      <v:stroke color="#000000" joinstyle="miter"/>
                      <v:imagedata o:title=""/>
                      <o:lock v:ext="edit" aspectratio="f"/>
                      <v:textbox>
                        <w:txbxContent>
                          <w:p>
                            <w:pPr>
                              <w:rPr>
                                <w:rFonts w:hint="eastAsia"/>
                              </w:rPr>
                            </w:pPr>
                            <w:r>
                              <w:rPr>
                                <w:rFonts w:hint="eastAsia"/>
                              </w:rPr>
                              <w:t>脱油</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3128645</wp:posOffset>
                      </wp:positionH>
                      <wp:positionV relativeFrom="paragraph">
                        <wp:posOffset>73660</wp:posOffset>
                      </wp:positionV>
                      <wp:extent cx="581660" cy="391160"/>
                      <wp:effectExtent l="4445" t="4445" r="23495" b="23495"/>
                      <wp:wrapNone/>
                      <wp:docPr id="54" name="文本框 35"/>
                      <wp:cNvGraphicFramePr/>
                      <a:graphic xmlns:a="http://schemas.openxmlformats.org/drawingml/2006/main">
                        <a:graphicData uri="http://schemas.microsoft.com/office/word/2010/wordprocessingShape">
                          <wps:wsp>
                            <wps:cNvSpPr txBox="1"/>
                            <wps:spPr>
                              <a:xfrm>
                                <a:off x="0" y="0"/>
                                <a:ext cx="581660" cy="39116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调味</w:t>
                                  </w:r>
                                </w:p>
                              </w:txbxContent>
                            </wps:txbx>
                            <wps:bodyPr wrap="square" upright="1"/>
                          </wps:wsp>
                        </a:graphicData>
                      </a:graphic>
                    </wp:anchor>
                  </w:drawing>
                </mc:Choice>
                <mc:Fallback>
                  <w:pict>
                    <v:shape id="文本框 35" o:spid="_x0000_s1026" o:spt="202" type="#_x0000_t202" style="position:absolute;left:0pt;margin-left:246.35pt;margin-top:5.8pt;height:30.8pt;width:45.8pt;z-index:251683840;mso-width-relative:page;mso-height-relative:page;" filled="f" stroked="t" coordsize="21600,21600" o:gfxdata="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z7fV1wAAAAkBAAAPAAAAAAAAAAEAIAAAACIAAABkcnMvZG93bnJldi54bWxQSwEC&#10;FAAUAAAACACHTuJA43mtqfUBAADOAwAADgAAAAAAAAABACAAAAAmAQAAZHJzL2Uyb0RvYy54bWxQ&#10;SwUGAAAAAAYABgBZAQAAjQUAAAAA&#10;">
                      <v:fill on="f" focussize="0,0"/>
                      <v:stroke color="#000000" joinstyle="miter"/>
                      <v:imagedata o:title=""/>
                      <o:lock v:ext="edit" aspectratio="f"/>
                      <v:textbox>
                        <w:txbxContent>
                          <w:p>
                            <w:pPr>
                              <w:rPr>
                                <w:rFonts w:hint="eastAsia"/>
                              </w:rPr>
                            </w:pPr>
                            <w:r>
                              <w:rPr>
                                <w:rFonts w:hint="eastAsia"/>
                              </w:rPr>
                              <w:t>调味</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2058670</wp:posOffset>
                      </wp:positionH>
                      <wp:positionV relativeFrom="paragraph">
                        <wp:posOffset>54610</wp:posOffset>
                      </wp:positionV>
                      <wp:extent cx="580390" cy="361950"/>
                      <wp:effectExtent l="5080" t="4445" r="5080" b="14605"/>
                      <wp:wrapNone/>
                      <wp:docPr id="42" name="文本框 15"/>
                      <wp:cNvGraphicFramePr/>
                      <a:graphic xmlns:a="http://schemas.openxmlformats.org/drawingml/2006/main">
                        <a:graphicData uri="http://schemas.microsoft.com/office/word/2010/wordprocessingShape">
                          <wps:wsp>
                            <wps:cNvSpPr txBox="1"/>
                            <wps:spPr>
                              <a:xfrm>
                                <a:off x="0" y="0"/>
                                <a:ext cx="580390" cy="36195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包装</w:t>
                                  </w:r>
                                </w:p>
                              </w:txbxContent>
                            </wps:txbx>
                            <wps:bodyPr wrap="square" upright="1"/>
                          </wps:wsp>
                        </a:graphicData>
                      </a:graphic>
                    </wp:anchor>
                  </w:drawing>
                </mc:Choice>
                <mc:Fallback>
                  <w:pict>
                    <v:shape id="文本框 15" o:spid="_x0000_s1026" o:spt="202" type="#_x0000_t202" style="position:absolute;left:0pt;margin-left:162.1pt;margin-top:4.3pt;height:28.5pt;width:45.7pt;z-index:251671552;mso-width-relative:page;mso-height-relative:page;" filled="f" stroked="t" coordsize="21600,21600" o:gfxdata="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1A1RNYAAAAIAQAADwAAAAAAAAABACAAAAAiAAAAZHJzL2Rvd25yZXYueG1sUEsB&#10;AhQAFAAAAAgAh07iQAUGANz3AQAAzgMAAA4AAAAAAAAAAQAgAAAAJQEAAGRycy9lMm9Eb2MueG1s&#10;UEsFBgAAAAAGAAYAWQEAAI4FAAAAAA==&#10;">
                      <v:fill on="f" focussize="0,0"/>
                      <v:stroke color="#000000" joinstyle="miter"/>
                      <v:imagedata o:title=""/>
                      <o:lock v:ext="edit" aspectratio="f"/>
                      <v:textbox>
                        <w:txbxContent>
                          <w:p>
                            <w:pPr>
                              <w:rPr>
                                <w:rFonts w:hint="eastAsia"/>
                              </w:rPr>
                            </w:pPr>
                            <w:r>
                              <w:rPr>
                                <w:rFonts w:hint="eastAsia"/>
                              </w:rPr>
                              <w:t>包装</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1052830</wp:posOffset>
                      </wp:positionH>
                      <wp:positionV relativeFrom="paragraph">
                        <wp:posOffset>83820</wp:posOffset>
                      </wp:positionV>
                      <wp:extent cx="514350" cy="353060"/>
                      <wp:effectExtent l="4445" t="4445" r="14605" b="23495"/>
                      <wp:wrapNone/>
                      <wp:docPr id="44" name="文本框 17"/>
                      <wp:cNvGraphicFramePr/>
                      <a:graphic xmlns:a="http://schemas.openxmlformats.org/drawingml/2006/main">
                        <a:graphicData uri="http://schemas.microsoft.com/office/word/2010/wordprocessingShape">
                          <wps:wsp>
                            <wps:cNvSpPr txBox="1"/>
                            <wps:spPr>
                              <a:xfrm>
                                <a:off x="0" y="0"/>
                                <a:ext cx="514350" cy="35306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入库</w:t>
                                  </w:r>
                                </w:p>
                              </w:txbxContent>
                            </wps:txbx>
                            <wps:bodyPr wrap="square" upright="1"/>
                          </wps:wsp>
                        </a:graphicData>
                      </a:graphic>
                    </wp:anchor>
                  </w:drawing>
                </mc:Choice>
                <mc:Fallback>
                  <w:pict>
                    <v:shape id="文本框 17" o:spid="_x0000_s1026" o:spt="202" type="#_x0000_t202" style="position:absolute;left:0pt;margin-left:82.9pt;margin-top:6.6pt;height:27.8pt;width:40.5pt;z-index:251673600;mso-width-relative:page;mso-height-relative:page;" filled="f" stroked="t" coordsize="21600,21600" o:gfxdata="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z6BotYAAAAJAQAADwAAAAAAAAABACAAAAAiAAAAZHJzL2Rvd25yZXYueG1sUEsB&#10;AhQAFAAAAAgAh07iQBCNTwf3AQAAzgMAAA4AAAAAAAAAAQAgAAAAJQEAAGRycy9lMm9Eb2MueG1s&#10;UEsFBgAAAAAGAAYAWQEAAI4FAAAAAA==&#10;">
                      <v:fill on="f" focussize="0,0"/>
                      <v:stroke color="#000000" joinstyle="miter"/>
                      <v:imagedata o:title=""/>
                      <o:lock v:ext="edit" aspectratio="f"/>
                      <v:textbox>
                        <w:txbxContent>
                          <w:p>
                            <w:pPr>
                              <w:rPr>
                                <w:rFonts w:hint="eastAsia"/>
                              </w:rPr>
                            </w:pPr>
                            <w:r>
                              <w:rPr>
                                <w:rFonts w:hint="eastAsia"/>
                              </w:rPr>
                              <w:t>入库</w:t>
                            </w:r>
                          </w:p>
                        </w:txbxContent>
                      </v:textbox>
                    </v:shape>
                  </w:pict>
                </mc:Fallback>
              </mc:AlternateContent>
            </w:r>
          </w:p>
          <w:p>
            <w:pPr>
              <w:rPr>
                <w:b/>
                <w:bCs/>
                <w:szCs w:val="21"/>
              </w:rPr>
            </w:pPr>
            <w:r>
              <mc:AlternateContent>
                <mc:Choice Requires="wps">
                  <w:drawing>
                    <wp:anchor distT="0" distB="0" distL="114300" distR="114300" simplePos="0" relativeHeight="251682816" behindDoc="0" locked="0" layoutInCell="1" allowOverlap="1">
                      <wp:simplePos x="0" y="0"/>
                      <wp:positionH relativeFrom="column">
                        <wp:posOffset>3735070</wp:posOffset>
                      </wp:positionH>
                      <wp:positionV relativeFrom="paragraph">
                        <wp:posOffset>71755</wp:posOffset>
                      </wp:positionV>
                      <wp:extent cx="399415" cy="9525"/>
                      <wp:effectExtent l="0" t="30480" r="635" b="36195"/>
                      <wp:wrapNone/>
                      <wp:docPr id="53" name="直线 34"/>
                      <wp:cNvGraphicFramePr/>
                      <a:graphic xmlns:a="http://schemas.openxmlformats.org/drawingml/2006/main">
                        <a:graphicData uri="http://schemas.microsoft.com/office/word/2010/wordprocessingShape">
                          <wps:wsp>
                            <wps:cNvCnPr/>
                            <wps:spPr>
                              <a:xfrm flipH="1">
                                <a:off x="0" y="0"/>
                                <a:ext cx="399415" cy="9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 o:spid="_x0000_s1026" o:spt="20" style="position:absolute;left:0pt;flip:x;margin-left:294.1pt;margin-top:5.65pt;height:0.75pt;width:31.45pt;z-index:251682816;mso-width-relative:page;mso-height-relative:page;" filled="f" stroked="t" coordsize="21600,21600" o:gfxdata="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YSc8jYAAAACQEAAA8AAAAA&#10;AAAAAQAgAAAAIgAAAGRycy9kb3ducmV2LnhtbFBLAQIUABQAAAAIAIdO4kBJMRcR2wEAAJ8DAAAO&#10;AAAAAAAAAAEAIAAAACcBAABkcnMvZTJvRG9jLnhtbFBLBQYAAAAABgAGAFkBAAB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2658745</wp:posOffset>
                      </wp:positionH>
                      <wp:positionV relativeFrom="paragraph">
                        <wp:posOffset>45085</wp:posOffset>
                      </wp:positionV>
                      <wp:extent cx="475615" cy="9525"/>
                      <wp:effectExtent l="0" t="29845" r="635" b="36830"/>
                      <wp:wrapNone/>
                      <wp:docPr id="55" name="直线 36"/>
                      <wp:cNvGraphicFramePr/>
                      <a:graphic xmlns:a="http://schemas.openxmlformats.org/drawingml/2006/main">
                        <a:graphicData uri="http://schemas.microsoft.com/office/word/2010/wordprocessingShape">
                          <wps:wsp>
                            <wps:cNvCnPr/>
                            <wps:spPr>
                              <a:xfrm flipH="1">
                                <a:off x="0" y="0"/>
                                <a:ext cx="475615" cy="9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flip:x;margin-left:209.35pt;margin-top:3.55pt;height:0.75pt;width:37.45pt;z-index:251684864;mso-width-relative:page;mso-height-relative:page;" filled="f" stroked="t" coordsize="21600,21600" o:gfxdata="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mQR+TYAAAABwEAAA8AAAAA&#10;AAAAAQAgAAAAIgAAAGRycy9kb3ducmV2LnhtbFBLAQIUABQAAAAIAIdO4kBfrszZ2wEAAJ8DAAAO&#10;AAAAAAAAAAEAIAAAACcBAABkcnMvZTJvRG9jLnhtbFBLBQYAAAAABgAGAFkBAAB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1576705</wp:posOffset>
                      </wp:positionH>
                      <wp:positionV relativeFrom="paragraph">
                        <wp:posOffset>36830</wp:posOffset>
                      </wp:positionV>
                      <wp:extent cx="475615" cy="9525"/>
                      <wp:effectExtent l="0" t="29845" r="635" b="36830"/>
                      <wp:wrapNone/>
                      <wp:docPr id="43" name="直线 16"/>
                      <wp:cNvGraphicFramePr/>
                      <a:graphic xmlns:a="http://schemas.openxmlformats.org/drawingml/2006/main">
                        <a:graphicData uri="http://schemas.microsoft.com/office/word/2010/wordprocessingShape">
                          <wps:wsp>
                            <wps:cNvCnPr/>
                            <wps:spPr>
                              <a:xfrm flipH="1">
                                <a:off x="0" y="0"/>
                                <a:ext cx="475615" cy="9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 o:spid="_x0000_s1026" o:spt="20" style="position:absolute;left:0pt;flip:x;margin-left:124.15pt;margin-top:2.9pt;height:0.75pt;width:37.45pt;z-index:251672576;mso-width-relative:page;mso-height-relative:page;" filled="f" stroked="t" coordsize="21600,21600" o:gfxdata="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M58ZHYAAAABwEAAA8AAAAA&#10;AAAAAQAgAAAAIgAAAGRycy9kb3ducmV2LnhtbFBLAQIUABQAAAAIAIdO4kCHqV7E2wEAAJ8DAAAO&#10;AAAAAAAAAAEAIAAAACcBAABkcnMvZTJvRG9jLnhtbFBLBQYAAAAABgAGAFkBAAB0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2371725</wp:posOffset>
                      </wp:positionH>
                      <wp:positionV relativeFrom="paragraph">
                        <wp:posOffset>16510</wp:posOffset>
                      </wp:positionV>
                      <wp:extent cx="9525" cy="304800"/>
                      <wp:effectExtent l="31115" t="0" r="35560" b="0"/>
                      <wp:wrapNone/>
                      <wp:docPr id="56" name="直线 37"/>
                      <wp:cNvGraphicFramePr/>
                      <a:graphic xmlns:a="http://schemas.openxmlformats.org/drawingml/2006/main">
                        <a:graphicData uri="http://schemas.microsoft.com/office/word/2010/wordprocessingShape">
                          <wps:wsp>
                            <wps:cNvCnPr/>
                            <wps:spPr>
                              <a:xfrm>
                                <a:off x="0" y="0"/>
                                <a:ext cx="9525" cy="30480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37" o:spid="_x0000_s1026" o:spt="20" style="position:absolute;left:0pt;margin-left:186.75pt;margin-top:1.3pt;height:24pt;width:0.75pt;z-index:251685888;mso-width-relative:page;mso-height-relative:page;" filled="f" stroked="t" coordsize="21600,21600" o:gfxdata="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MsolrZAAAACAEAAA8AAAAAAAAA&#10;AQAgAAAAIgAAAGRycy9kb3ducmV2LnhtbFBLAQIUABQAAAAIAIdO4kBr7DFm1wEAAJQDAAAOAAAA&#10;AAAAAAEAIAAAACgBAABkcnMvZTJvRG9jLnhtbFBLBQYAAAAABgAGAFkBAABxBQAAAAA=&#10;">
                      <v:fill on="f" focussize="0,0"/>
                      <v:stroke color="#000000" joinstyle="round" dashstyle="dash" endarrow="block"/>
                      <v:imagedata o:title=""/>
                      <o:lock v:ext="edit" aspectratio="f"/>
                    </v:line>
                  </w:pict>
                </mc:Fallback>
              </mc:AlternateContent>
            </w:r>
          </w:p>
          <w:p>
            <w:pPr>
              <w:jc w:val="center"/>
              <w:rPr>
                <w:b/>
                <w:bCs/>
                <w:szCs w:val="21"/>
              </w:rPr>
            </w:pPr>
            <w:r>
              <mc:AlternateContent>
                <mc:Choice Requires="wps">
                  <w:drawing>
                    <wp:anchor distT="0" distB="0" distL="114300" distR="114300" simplePos="0" relativeHeight="251686912" behindDoc="0" locked="0" layoutInCell="1" allowOverlap="1">
                      <wp:simplePos x="0" y="0"/>
                      <wp:positionH relativeFrom="column">
                        <wp:posOffset>2112645</wp:posOffset>
                      </wp:positionH>
                      <wp:positionV relativeFrom="paragraph">
                        <wp:posOffset>165735</wp:posOffset>
                      </wp:positionV>
                      <wp:extent cx="600075" cy="342900"/>
                      <wp:effectExtent l="0" t="0" r="0" b="0"/>
                      <wp:wrapNone/>
                      <wp:docPr id="57" name="文本框 38"/>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9525">
                                <a:noFill/>
                              </a:ln>
                            </wps:spPr>
                            <wps:txbx>
                              <w:txbxContent>
                                <w:p>
                                  <w:pPr>
                                    <w:rPr>
                                      <w:rFonts w:hint="eastAsia"/>
                                    </w:rPr>
                                  </w:pPr>
                                  <w:r>
                                    <w:rPr>
                                      <w:rFonts w:hint="eastAsia"/>
                                    </w:rPr>
                                    <w:t>固废</w:t>
                                  </w:r>
                                </w:p>
                              </w:txbxContent>
                            </wps:txbx>
                            <wps:bodyPr wrap="square" upright="1"/>
                          </wps:wsp>
                        </a:graphicData>
                      </a:graphic>
                    </wp:anchor>
                  </w:drawing>
                </mc:Choice>
                <mc:Fallback>
                  <w:pict>
                    <v:shape id="文本框 38" o:spid="_x0000_s1026" o:spt="202" type="#_x0000_t202" style="position:absolute;left:0pt;margin-left:166.35pt;margin-top:13.05pt;height:27pt;width:47.25pt;z-index:251686912;mso-width-relative:page;mso-height-relative:page;" filled="f" stroked="f" coordsize="21600,21600" o:gfxdata="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0vYULNcAAAAJAQAADwAA&#10;AAAAAAABACAAAAAiAAAAZHJzL2Rvd25yZXYueG1sUEsBAhQAFAAAAAgAh07iQFV/UIOlAQAAGAMA&#10;AA4AAAAAAAAAAQAgAAAAJgEAAGRycy9lMm9Eb2MueG1sUEsFBgAAAAAGAAYAWQEAAD0FAAAAAA==&#10;">
                      <v:fill on="f" focussize="0,0"/>
                      <v:stroke on="f"/>
                      <v:imagedata o:title=""/>
                      <o:lock v:ext="edit" aspectratio="f"/>
                      <v:textbox>
                        <w:txbxContent>
                          <w:p>
                            <w:pPr>
                              <w:rPr>
                                <w:rFonts w:hint="eastAsia"/>
                              </w:rPr>
                            </w:pPr>
                            <w:r>
                              <w:rPr>
                                <w:rFonts w:hint="eastAsia"/>
                              </w:rPr>
                              <w:t>固废</w:t>
                            </w:r>
                          </w:p>
                        </w:txbxContent>
                      </v:textbox>
                    </v:shape>
                  </w:pict>
                </mc:Fallback>
              </mc:AlternateContent>
            </w:r>
          </w:p>
          <w:p>
            <w:pPr>
              <w:jc w:val="center"/>
              <w:rPr>
                <w:b/>
                <w:bCs/>
                <w:szCs w:val="21"/>
              </w:rPr>
            </w:pPr>
          </w:p>
          <w:p>
            <w:pPr>
              <w:rPr>
                <w:b/>
                <w:bCs/>
                <w:szCs w:val="21"/>
              </w:rPr>
            </w:pPr>
          </w:p>
          <w:p>
            <w:pPr>
              <w:jc w:val="center"/>
              <w:rPr>
                <w:b/>
                <w:bCs/>
                <w:szCs w:val="21"/>
              </w:rPr>
            </w:pPr>
            <w:r>
              <w:rPr>
                <w:b/>
                <w:bCs/>
                <w:szCs w:val="21"/>
              </w:rPr>
              <w:t>图</w:t>
            </w:r>
            <w:r>
              <w:rPr>
                <w:rFonts w:hint="eastAsia"/>
                <w:b/>
                <w:bCs/>
                <w:szCs w:val="21"/>
              </w:rPr>
              <w:t>5</w:t>
            </w:r>
            <w:r>
              <w:rPr>
                <w:b/>
                <w:bCs/>
                <w:szCs w:val="21"/>
              </w:rPr>
              <w:t xml:space="preserve">  </w:t>
            </w:r>
            <w:r>
              <w:rPr>
                <w:rFonts w:hint="eastAsia"/>
                <w:b/>
                <w:bCs/>
                <w:szCs w:val="21"/>
              </w:rPr>
              <w:t>膨化食品生产工艺流程</w:t>
            </w:r>
            <w:r>
              <w:rPr>
                <w:b/>
                <w:bCs/>
                <w:szCs w:val="21"/>
              </w:rPr>
              <w:t>及产污节点示意图</w:t>
            </w:r>
          </w:p>
          <w:p>
            <w:pPr>
              <w:pStyle w:val="50"/>
              <w:spacing w:line="360" w:lineRule="auto"/>
              <w:rPr>
                <w:rFonts w:ascii="Times New Roman" w:hAnsi="Times New Roman"/>
                <w:bCs/>
              </w:rPr>
            </w:pPr>
            <w:r>
              <w:rPr>
                <w:rFonts w:hint="eastAsia" w:ascii="Times New Roman" w:hAnsi="Times New Roman"/>
                <w:bCs/>
              </w:rPr>
              <w:t>膨化食品生产</w:t>
            </w:r>
            <w:r>
              <w:rPr>
                <w:rFonts w:ascii="Times New Roman" w:hAnsi="Times New Roman"/>
                <w:bCs/>
              </w:rPr>
              <w:t>工艺流程简述：</w:t>
            </w:r>
          </w:p>
          <w:p>
            <w:pPr>
              <w:pStyle w:val="50"/>
              <w:numPr>
                <w:ilvl w:val="0"/>
                <w:numId w:val="3"/>
              </w:numPr>
              <w:spacing w:line="360" w:lineRule="auto"/>
              <w:rPr>
                <w:rFonts w:hint="eastAsia" w:ascii="Times New Roman" w:hAnsi="Times New Roman"/>
                <w:bCs/>
              </w:rPr>
            </w:pPr>
            <w:r>
              <w:rPr>
                <w:rFonts w:hint="eastAsia" w:ascii="Times New Roman" w:hAnsi="Times New Roman"/>
                <w:bCs/>
              </w:rPr>
              <w:t>购进原材料</w:t>
            </w:r>
          </w:p>
          <w:p>
            <w:pPr>
              <w:pStyle w:val="50"/>
              <w:spacing w:line="360" w:lineRule="auto"/>
              <w:rPr>
                <w:rFonts w:hint="eastAsia" w:ascii="Times New Roman" w:hAnsi="Times New Roman"/>
                <w:bCs/>
                <w:highlight w:val="none"/>
                <w:u w:val="single"/>
              </w:rPr>
            </w:pPr>
            <w:r>
              <w:rPr>
                <w:rFonts w:hint="eastAsia" w:ascii="Times New Roman" w:hAnsi="Times New Roman"/>
                <w:bCs/>
              </w:rPr>
              <w:t>对外购的</w:t>
            </w:r>
            <w:r>
              <w:rPr>
                <w:rFonts w:hint="eastAsia" w:ascii="Times New Roman" w:hAnsi="Times New Roman"/>
                <w:bCs/>
                <w:highlight w:val="none"/>
              </w:rPr>
              <w:t>原材料先进行外观、生产日期等检验，合格后方可使用。</w:t>
            </w:r>
          </w:p>
          <w:p>
            <w:pPr>
              <w:pStyle w:val="50"/>
              <w:numPr>
                <w:ilvl w:val="0"/>
                <w:numId w:val="3"/>
              </w:numPr>
              <w:spacing w:line="360" w:lineRule="auto"/>
              <w:rPr>
                <w:rFonts w:hint="eastAsia" w:ascii="Times New Roman" w:hAnsi="Times New Roman"/>
                <w:highlight w:val="none"/>
              </w:rPr>
            </w:pPr>
            <w:r>
              <w:rPr>
                <w:rFonts w:hint="eastAsia" w:ascii="Times New Roman" w:hAnsi="Times New Roman"/>
                <w:highlight w:val="none"/>
              </w:rPr>
              <w:t>拌面</w:t>
            </w:r>
          </w:p>
          <w:p>
            <w:pPr>
              <w:pStyle w:val="50"/>
              <w:spacing w:line="360" w:lineRule="auto"/>
              <w:rPr>
                <w:rFonts w:hint="eastAsia" w:ascii="Times New Roman" w:hAnsi="Times New Roman"/>
                <w:highlight w:val="none"/>
              </w:rPr>
            </w:pPr>
            <w:r>
              <w:rPr>
                <w:rFonts w:hint="eastAsia" w:ascii="Times New Roman" w:hAnsi="Times New Roman"/>
                <w:highlight w:val="none"/>
              </w:rPr>
              <w:t>将面粉、淀粉等原料按照比例依次人工投加配粉拌面，加入10%的水搅拌，搅拌时间：240秒。备料和拌面过程会有一定粉尘（颗粒物），拌面机运行会有噪声。</w:t>
            </w:r>
          </w:p>
          <w:p>
            <w:pPr>
              <w:pStyle w:val="50"/>
              <w:spacing w:line="360" w:lineRule="auto"/>
              <w:ind w:left="420" w:leftChars="200" w:firstLine="0" w:firstLineChars="0"/>
              <w:rPr>
                <w:rFonts w:hint="eastAsia" w:ascii="Times New Roman" w:hAnsi="Times New Roman"/>
                <w:highlight w:val="none"/>
              </w:rPr>
            </w:pPr>
            <w:r>
              <w:rPr>
                <w:rFonts w:hint="eastAsia" w:ascii="Times New Roman" w:hAnsi="Times New Roman"/>
                <w:highlight w:val="none"/>
              </w:rPr>
              <w:t>3.1挤出</w:t>
            </w:r>
          </w:p>
          <w:p>
            <w:pPr>
              <w:pStyle w:val="50"/>
              <w:spacing w:line="360" w:lineRule="auto"/>
              <w:rPr>
                <w:rFonts w:hint="eastAsia" w:ascii="Times New Roman" w:hAnsi="Times New Roman"/>
              </w:rPr>
            </w:pPr>
            <w:r>
              <w:rPr>
                <w:rFonts w:hint="eastAsia" w:ascii="Times New Roman" w:hAnsi="Times New Roman"/>
              </w:rPr>
              <w:t>经拌面机处理后的面絮利用挤出机挤压出所需形状的坯料，此过程会产生噪声。</w:t>
            </w:r>
          </w:p>
          <w:p>
            <w:pPr>
              <w:pStyle w:val="50"/>
              <w:spacing w:line="360" w:lineRule="auto"/>
              <w:rPr>
                <w:rFonts w:hint="eastAsia" w:ascii="Times New Roman" w:hAnsi="Times New Roman"/>
              </w:rPr>
            </w:pPr>
            <w:r>
              <w:rPr>
                <w:rFonts w:hint="eastAsia" w:ascii="Times New Roman" w:hAnsi="Times New Roman"/>
              </w:rPr>
              <w:t>3.2膨化、成型</w:t>
            </w:r>
          </w:p>
          <w:p>
            <w:pPr>
              <w:pStyle w:val="50"/>
              <w:spacing w:line="520" w:lineRule="exact"/>
              <w:rPr>
                <w:rFonts w:hint="eastAsia" w:ascii="Times New Roman" w:hAnsi="Times New Roman"/>
              </w:rPr>
            </w:pPr>
            <w:r>
              <w:rPr>
                <w:rFonts w:hint="eastAsia" w:ascii="Times New Roman" w:hAnsi="Times New Roman"/>
              </w:rPr>
              <w:t>经拌面机处理后的面絮进入双螺杆膨化机内进行膨化，项目所用膨化工艺为挤压膨化，膨化温度为110-120℃，时间3-5min。</w:t>
            </w:r>
          </w:p>
          <w:p>
            <w:pPr>
              <w:pStyle w:val="50"/>
              <w:spacing w:line="520" w:lineRule="exact"/>
              <w:rPr>
                <w:rFonts w:hint="eastAsia" w:ascii="Times New Roman" w:hAnsi="Times New Roman"/>
              </w:rPr>
            </w:pPr>
            <w:r>
              <w:rPr>
                <w:rFonts w:hint="eastAsia" w:ascii="Times New Roman" w:hAnsi="Times New Roman"/>
              </w:rPr>
              <w:t>膨化原料：原料进入设备后利用螺杆对物料的强制输送，通过压延效应、双螺杆互相揉捏和摩擦及加热产生的高温、高压（电加热），使原料在挤压筒中被挤压、混合、杀菌和熟化等一系列连续处理，高温高压处理后的物料从压力室被挤压到大气压力下后，物料中的超沸点水分因瞬间的蒸发而产生巨大的膨胀力，原料中淀粉体积也瞬间膨胀成型。</w:t>
            </w:r>
          </w:p>
          <w:p>
            <w:pPr>
              <w:pStyle w:val="50"/>
              <w:spacing w:line="520" w:lineRule="exact"/>
              <w:rPr>
                <w:rFonts w:hint="eastAsia" w:ascii="Times New Roman" w:hAnsi="Times New Roman"/>
              </w:rPr>
            </w:pPr>
            <w:r>
              <w:rPr>
                <w:rFonts w:hint="eastAsia" w:ascii="Times New Roman" w:hAnsi="Times New Roman"/>
              </w:rPr>
              <w:t>4、油炸：项目采用燃气油炸机进行油炸，温度170-180℃，时间2-3min。</w:t>
            </w:r>
          </w:p>
          <w:p>
            <w:pPr>
              <w:pStyle w:val="50"/>
              <w:spacing w:line="520" w:lineRule="exact"/>
              <w:rPr>
                <w:rFonts w:hint="eastAsia" w:ascii="Times New Roman" w:hAnsi="Times New Roman"/>
              </w:rPr>
            </w:pPr>
            <w:r>
              <w:rPr>
                <w:rFonts w:hint="eastAsia" w:ascii="Times New Roman" w:hAnsi="Times New Roman"/>
              </w:rPr>
              <w:t>5、脱油：油炸后半成品进入脱油机内经低速旋转将多余油脂甩出，甩出的油脂回用于油炸机进行油炸。</w:t>
            </w:r>
          </w:p>
          <w:p>
            <w:pPr>
              <w:pStyle w:val="50"/>
              <w:spacing w:line="520" w:lineRule="exact"/>
              <w:rPr>
                <w:rFonts w:hint="eastAsia" w:ascii="Times New Roman" w:hAnsi="Times New Roman"/>
                <w:highlight w:val="none"/>
              </w:rPr>
            </w:pPr>
            <w:r>
              <w:rPr>
                <w:rFonts w:hint="eastAsia" w:ascii="Times New Roman" w:hAnsi="Times New Roman"/>
                <w:highlight w:val="none"/>
              </w:rPr>
              <w:t>6、调味：为口感好，需要进行调味，将外购的调味料（由辣椒面、麻椒、孜然、味精等组成）以及糖浆同时输送至拌料机调味，使膨化食品表面均匀附着调味料，该工序不产尘。</w:t>
            </w:r>
          </w:p>
          <w:p>
            <w:pPr>
              <w:pStyle w:val="50"/>
              <w:spacing w:line="520" w:lineRule="exact"/>
              <w:rPr>
                <w:rFonts w:hint="eastAsia" w:ascii="Times New Roman" w:hAnsi="Times New Roman"/>
              </w:rPr>
            </w:pPr>
            <w:r>
              <w:rPr>
                <w:rFonts w:hint="eastAsia" w:ascii="Times New Roman" w:hAnsi="Times New Roman"/>
              </w:rPr>
              <w:t>7、包装</w:t>
            </w:r>
          </w:p>
          <w:p>
            <w:pPr>
              <w:pStyle w:val="50"/>
              <w:spacing w:line="520" w:lineRule="exact"/>
              <w:rPr>
                <w:rFonts w:hint="eastAsia" w:ascii="Times New Roman" w:hAnsi="Times New Roman"/>
              </w:rPr>
            </w:pPr>
            <w:r>
              <w:rPr>
                <w:rFonts w:hint="eastAsia" w:ascii="Times New Roman" w:hAnsi="Times New Roman"/>
              </w:rPr>
              <w:t>由皮带输送至内包装车间经自动包装机进行包装后，再送至外包装车间，由人工进行纸箱包装，然后运往成品库暂存。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60" w:hRule="atLeast"/>
          <w:jc w:val="center"/>
        </w:trPr>
        <w:tc>
          <w:tcPr>
            <w:tcW w:w="9286" w:type="dxa"/>
            <w:tcBorders>
              <w:top w:val="single" w:color="auto" w:sz="4" w:space="0"/>
            </w:tcBorders>
            <w:vAlign w:val="top"/>
          </w:tcPr>
          <w:p>
            <w:pPr>
              <w:spacing w:line="360" w:lineRule="auto"/>
              <w:rPr>
                <w:b/>
                <w:bCs/>
                <w:sz w:val="24"/>
              </w:rPr>
            </w:pPr>
            <w:r>
              <w:rPr>
                <w:b/>
                <w:bCs/>
                <w:sz w:val="24"/>
              </w:rPr>
              <w:t>主要污染工序：</w:t>
            </w:r>
          </w:p>
          <w:p>
            <w:pPr>
              <w:spacing w:line="360" w:lineRule="auto"/>
              <w:ind w:firstLine="487" w:firstLineChars="202"/>
              <w:rPr>
                <w:b/>
                <w:sz w:val="24"/>
              </w:rPr>
            </w:pPr>
            <w:r>
              <w:rPr>
                <w:b/>
                <w:sz w:val="24"/>
              </w:rPr>
              <w:t>施工期：</w:t>
            </w:r>
          </w:p>
          <w:p>
            <w:pPr>
              <w:pStyle w:val="50"/>
              <w:spacing w:line="360" w:lineRule="auto"/>
              <w:rPr>
                <w:rFonts w:hint="eastAsia" w:ascii="Times New Roman" w:hAnsi="Times New Roman"/>
              </w:rPr>
            </w:pPr>
            <w:r>
              <w:rPr>
                <w:rFonts w:hint="eastAsia" w:ascii="Times New Roman" w:hAnsi="Times New Roman"/>
              </w:rPr>
              <w:t>项目施工期包括新增建筑物生产厂房（成品库、包装间、油炸间、膨化间、原料库、拌面间）、</w:t>
            </w:r>
            <w:r>
              <w:rPr>
                <w:rFonts w:hint="eastAsia" w:ascii="Times New Roman" w:hAnsi="Times New Roman"/>
                <w:lang w:val="zh-CN"/>
              </w:rPr>
              <w:t>办公楼和厕所等</w:t>
            </w:r>
            <w:r>
              <w:rPr>
                <w:rFonts w:hint="eastAsia" w:ascii="Times New Roman" w:hAnsi="Times New Roman"/>
              </w:rPr>
              <w:t>的建设。</w:t>
            </w:r>
          </w:p>
          <w:p>
            <w:pPr>
              <w:pStyle w:val="13"/>
              <w:spacing w:line="360" w:lineRule="auto"/>
              <w:ind w:firstLine="482" w:firstLineChars="200"/>
              <w:rPr>
                <w:rFonts w:ascii="Times New Roman" w:hAnsi="Times New Roman"/>
                <w:b/>
                <w:bCs/>
                <w:sz w:val="24"/>
              </w:rPr>
            </w:pPr>
            <w:r>
              <w:rPr>
                <w:rFonts w:ascii="Times New Roman" w:hAnsi="Times New Roman"/>
                <w:b/>
                <w:bCs/>
                <w:sz w:val="24"/>
              </w:rPr>
              <w:t>1、废气</w:t>
            </w:r>
          </w:p>
          <w:p>
            <w:pPr>
              <w:spacing w:line="360" w:lineRule="auto"/>
              <w:ind w:firstLine="480" w:firstLineChars="200"/>
              <w:rPr>
                <w:sz w:val="24"/>
              </w:rPr>
            </w:pPr>
            <w:r>
              <w:rPr>
                <w:bCs/>
                <w:color w:val="000000"/>
                <w:sz w:val="24"/>
              </w:rPr>
              <w:t>在整个施工期间，产生扬尘的作业主要有场地清理、土地平整、开挖、回填、建材运输、露天堆放、装卸和搅拌等过程，如遇干旱无雨季节，在大风时，施工扬尘将更加严重。扬尘产生的地方比较多，将对该区域环境产生一定的影响。</w:t>
            </w:r>
          </w:p>
          <w:p>
            <w:pPr>
              <w:pStyle w:val="13"/>
              <w:spacing w:line="360" w:lineRule="auto"/>
              <w:ind w:firstLine="482" w:firstLineChars="200"/>
              <w:rPr>
                <w:rFonts w:ascii="Times New Roman" w:hAnsi="Times New Roman"/>
                <w:b/>
                <w:bCs/>
                <w:sz w:val="24"/>
              </w:rPr>
            </w:pPr>
            <w:r>
              <w:rPr>
                <w:rFonts w:ascii="Times New Roman" w:hAnsi="Times New Roman"/>
                <w:b/>
                <w:bCs/>
                <w:sz w:val="24"/>
              </w:rPr>
              <w:t>2、废水</w:t>
            </w:r>
          </w:p>
          <w:p>
            <w:pPr>
              <w:spacing w:line="360" w:lineRule="auto"/>
              <w:ind w:firstLine="480" w:firstLineChars="200"/>
            </w:pPr>
            <w:r>
              <w:rPr>
                <w:sz w:val="24"/>
              </w:rPr>
              <w:t>施工期产生的废水主要为施工人员生活污水和施工过程中产生的车辆冲洗废水。施工机械投入使用过程中，实际冲洗次数相对较少，水量小，产生的污染物主要为SS，收集后用于泼洒施工场地抑尘，不外排。本项目施工期约两个月，即60天，施工人员约15人，不在施工现场食宿。由于条件限制，施工人员</w:t>
            </w:r>
            <w:r>
              <w:rPr>
                <w:rFonts w:hint="eastAsia"/>
                <w:sz w:val="24"/>
              </w:rPr>
              <w:t>生活</w:t>
            </w:r>
            <w:r>
              <w:rPr>
                <w:sz w:val="24"/>
              </w:rPr>
              <w:t>用水较少，用水量按20L/人·d计算，用水量为18t，排放量按用水量的80%计算，则</w:t>
            </w:r>
            <w:r>
              <w:rPr>
                <w:rFonts w:hint="eastAsia"/>
                <w:sz w:val="24"/>
              </w:rPr>
              <w:t>生活</w:t>
            </w:r>
            <w:r>
              <w:rPr>
                <w:sz w:val="24"/>
              </w:rPr>
              <w:t>废水排放量为14.4t。</w:t>
            </w:r>
            <w:r>
              <w:rPr>
                <w:rFonts w:hint="eastAsia"/>
                <w:sz w:val="24"/>
              </w:rPr>
              <w:t>车辆冲洗废水水量为3m</w:t>
            </w:r>
            <w:r>
              <w:rPr>
                <w:rFonts w:hint="eastAsia"/>
                <w:sz w:val="24"/>
                <w:vertAlign w:val="superscript"/>
              </w:rPr>
              <w:t>3</w:t>
            </w:r>
            <w:r>
              <w:rPr>
                <w:rFonts w:hint="eastAsia"/>
                <w:sz w:val="24"/>
              </w:rPr>
              <w:t>。厂区设置简易旱厕，生活</w:t>
            </w:r>
            <w:r>
              <w:rPr>
                <w:sz w:val="24"/>
              </w:rPr>
              <w:t>污水</w:t>
            </w:r>
            <w:r>
              <w:rPr>
                <w:rFonts w:hint="eastAsia"/>
                <w:sz w:val="24"/>
              </w:rPr>
              <w:t>由建设单位定期清运沤制农家肥；员工洗漱废水车辆冲洗废水</w:t>
            </w:r>
            <w:r>
              <w:rPr>
                <w:sz w:val="24"/>
              </w:rPr>
              <w:t>收集后泼洒地面抑尘，废水不外排。</w:t>
            </w:r>
          </w:p>
          <w:p>
            <w:pPr>
              <w:pStyle w:val="13"/>
              <w:spacing w:line="360" w:lineRule="auto"/>
              <w:ind w:firstLine="482" w:firstLineChars="200"/>
              <w:rPr>
                <w:rFonts w:ascii="Times New Roman" w:hAnsi="Times New Roman"/>
                <w:b/>
                <w:bCs/>
                <w:sz w:val="24"/>
              </w:rPr>
            </w:pPr>
            <w:r>
              <w:rPr>
                <w:rFonts w:ascii="Times New Roman" w:hAnsi="Times New Roman"/>
                <w:b/>
                <w:bCs/>
                <w:sz w:val="24"/>
              </w:rPr>
              <w:t>3、噪声</w:t>
            </w:r>
          </w:p>
          <w:p>
            <w:pPr>
              <w:spacing w:line="360" w:lineRule="auto"/>
              <w:ind w:firstLine="480" w:firstLineChars="200"/>
              <w:rPr>
                <w:sz w:val="24"/>
              </w:rPr>
            </w:pPr>
            <w:r>
              <w:rPr>
                <w:sz w:val="24"/>
              </w:rPr>
              <w:t>工程施工噪声来源包括：场地平整、结构等阶段，主要为施工机械产生的噪声以及施工运输车辆的交通噪声。经建筑工程施工工地噪声源强类比调查分析，确定拟建工程的噪声影响主要来自于施工现场(场址区内)的声源噪声。</w:t>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hAnsi="宋体" w:cs="宋体"/>
                <w:b/>
                <w:bCs/>
                <w:sz w:val="21"/>
                <w:szCs w:val="21"/>
              </w:rPr>
            </w:pPr>
            <w:r>
              <w:rPr>
                <w:rFonts w:hint="eastAsia" w:hAnsi="宋体" w:cs="宋体"/>
                <w:b/>
                <w:bCs/>
                <w:sz w:val="21"/>
                <w:szCs w:val="21"/>
              </w:rPr>
              <w:t>表24  主要施工机械噪声值  等效声级Leq〔dB(A)〕</w:t>
            </w:r>
          </w:p>
          <w:tbl>
            <w:tblPr>
              <w:tblStyle w:val="28"/>
              <w:tblW w:w="9222"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78"/>
              <w:gridCol w:w="2107"/>
              <w:gridCol w:w="2266"/>
              <w:gridCol w:w="2266"/>
              <w:gridCol w:w="12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660" w:hRule="atLeast"/>
                <w:jc w:val="center"/>
              </w:trPr>
              <w:tc>
                <w:tcPr>
                  <w:tcW w:w="1378" w:type="dxa"/>
                  <w:vAlign w:val="center"/>
                </w:tcPr>
                <w:p>
                  <w:pPr>
                    <w:widowControl/>
                    <w:jc w:val="center"/>
                    <w:rPr>
                      <w:kern w:val="0"/>
                      <w:szCs w:val="21"/>
                    </w:rPr>
                  </w:pPr>
                  <w:r>
                    <w:rPr>
                      <w:kern w:val="0"/>
                      <w:szCs w:val="21"/>
                    </w:rPr>
                    <w:t>施工阶段</w:t>
                  </w:r>
                </w:p>
              </w:tc>
              <w:tc>
                <w:tcPr>
                  <w:tcW w:w="2107" w:type="dxa"/>
                  <w:vAlign w:val="center"/>
                </w:tcPr>
                <w:p>
                  <w:pPr>
                    <w:widowControl/>
                    <w:jc w:val="center"/>
                    <w:rPr>
                      <w:kern w:val="0"/>
                      <w:szCs w:val="21"/>
                    </w:rPr>
                  </w:pPr>
                  <w:r>
                    <w:rPr>
                      <w:kern w:val="0"/>
                      <w:szCs w:val="21"/>
                    </w:rPr>
                    <w:t>主要噪声源</w:t>
                  </w:r>
                </w:p>
              </w:tc>
              <w:tc>
                <w:tcPr>
                  <w:tcW w:w="2266" w:type="dxa"/>
                  <w:vAlign w:val="center"/>
                </w:tcPr>
                <w:p>
                  <w:pPr>
                    <w:widowControl/>
                    <w:jc w:val="center"/>
                    <w:rPr>
                      <w:kern w:val="0"/>
                      <w:szCs w:val="21"/>
                    </w:rPr>
                  </w:pPr>
                  <w:r>
                    <w:rPr>
                      <w:kern w:val="0"/>
                      <w:szCs w:val="21"/>
                    </w:rPr>
                    <w:t>噪声源数量</w:t>
                  </w:r>
                </w:p>
              </w:tc>
              <w:tc>
                <w:tcPr>
                  <w:tcW w:w="2266" w:type="dxa"/>
                  <w:vAlign w:val="center"/>
                </w:tcPr>
                <w:p>
                  <w:pPr>
                    <w:widowControl/>
                    <w:jc w:val="center"/>
                    <w:rPr>
                      <w:kern w:val="0"/>
                      <w:szCs w:val="21"/>
                    </w:rPr>
                  </w:pPr>
                  <w:r>
                    <w:rPr>
                      <w:kern w:val="0"/>
                      <w:szCs w:val="21"/>
                    </w:rPr>
                    <w:t>距声源1米处A声级</w:t>
                  </w:r>
                </w:p>
              </w:tc>
              <w:tc>
                <w:tcPr>
                  <w:tcW w:w="1205" w:type="dxa"/>
                  <w:vAlign w:val="center"/>
                </w:tcPr>
                <w:p>
                  <w:pPr>
                    <w:widowControl/>
                    <w:jc w:val="center"/>
                    <w:rPr>
                      <w:kern w:val="0"/>
                      <w:szCs w:val="21"/>
                    </w:rPr>
                  </w:pPr>
                  <w:r>
                    <w:rPr>
                      <w:kern w:val="0"/>
                      <w:szCs w:val="21"/>
                    </w:rPr>
                    <w:t>噪声叠加值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78" w:type="dxa"/>
                  <w:vMerge w:val="restart"/>
                  <w:vAlign w:val="center"/>
                </w:tcPr>
                <w:p>
                  <w:pPr>
                    <w:widowControl/>
                    <w:jc w:val="center"/>
                    <w:rPr>
                      <w:rFonts w:hint="eastAsia"/>
                      <w:kern w:val="0"/>
                      <w:szCs w:val="21"/>
                    </w:rPr>
                  </w:pPr>
                  <w:r>
                    <w:rPr>
                      <w:rFonts w:hint="eastAsia"/>
                      <w:kern w:val="0"/>
                      <w:szCs w:val="21"/>
                    </w:rPr>
                    <w:t>厂区平整阶段</w:t>
                  </w:r>
                </w:p>
              </w:tc>
              <w:tc>
                <w:tcPr>
                  <w:tcW w:w="2107" w:type="dxa"/>
                  <w:vAlign w:val="center"/>
                </w:tcPr>
                <w:p>
                  <w:pPr>
                    <w:widowControl/>
                    <w:jc w:val="center"/>
                    <w:rPr>
                      <w:kern w:val="0"/>
                      <w:szCs w:val="21"/>
                    </w:rPr>
                  </w:pPr>
                  <w:r>
                    <w:rPr>
                      <w:kern w:val="0"/>
                      <w:szCs w:val="21"/>
                    </w:rPr>
                    <w:t>推土机</w:t>
                  </w:r>
                </w:p>
              </w:tc>
              <w:tc>
                <w:tcPr>
                  <w:tcW w:w="2266" w:type="dxa"/>
                  <w:vAlign w:val="center"/>
                </w:tcPr>
                <w:p>
                  <w:pPr>
                    <w:widowControl/>
                    <w:jc w:val="center"/>
                    <w:rPr>
                      <w:kern w:val="0"/>
                      <w:szCs w:val="21"/>
                    </w:rPr>
                  </w:pPr>
                  <w:r>
                    <w:rPr>
                      <w:kern w:val="0"/>
                      <w:szCs w:val="21"/>
                    </w:rPr>
                    <w:t>2</w:t>
                  </w:r>
                </w:p>
              </w:tc>
              <w:tc>
                <w:tcPr>
                  <w:tcW w:w="2266" w:type="dxa"/>
                  <w:vAlign w:val="center"/>
                </w:tcPr>
                <w:p>
                  <w:pPr>
                    <w:widowControl/>
                    <w:jc w:val="center"/>
                    <w:rPr>
                      <w:kern w:val="0"/>
                      <w:szCs w:val="21"/>
                    </w:rPr>
                  </w:pPr>
                  <w:r>
                    <w:rPr>
                      <w:kern w:val="0"/>
                      <w:szCs w:val="21"/>
                    </w:rPr>
                    <w:t>84</w:t>
                  </w:r>
                </w:p>
              </w:tc>
              <w:tc>
                <w:tcPr>
                  <w:tcW w:w="1205" w:type="dxa"/>
                  <w:vMerge w:val="restart"/>
                  <w:vAlign w:val="center"/>
                </w:tcPr>
                <w:p>
                  <w:pPr>
                    <w:widowControl/>
                    <w:jc w:val="center"/>
                    <w:rPr>
                      <w:kern w:val="0"/>
                      <w:szCs w:val="21"/>
                    </w:rPr>
                  </w:pPr>
                  <w:r>
                    <w:rPr>
                      <w:kern w:val="0"/>
                      <w:szCs w:val="21"/>
                    </w:rPr>
                    <w:t>88.7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78" w:type="dxa"/>
                  <w:vMerge w:val="continue"/>
                  <w:vAlign w:val="center"/>
                </w:tcPr>
                <w:p>
                  <w:pPr>
                    <w:widowControl/>
                    <w:jc w:val="left"/>
                    <w:rPr>
                      <w:kern w:val="0"/>
                      <w:szCs w:val="21"/>
                    </w:rPr>
                  </w:pPr>
                </w:p>
              </w:tc>
              <w:tc>
                <w:tcPr>
                  <w:tcW w:w="2107" w:type="dxa"/>
                  <w:vAlign w:val="center"/>
                </w:tcPr>
                <w:p>
                  <w:pPr>
                    <w:widowControl/>
                    <w:jc w:val="center"/>
                    <w:rPr>
                      <w:kern w:val="0"/>
                      <w:szCs w:val="21"/>
                    </w:rPr>
                  </w:pPr>
                  <w:r>
                    <w:rPr>
                      <w:kern w:val="0"/>
                      <w:szCs w:val="21"/>
                    </w:rPr>
                    <w:t>挖掘机</w:t>
                  </w:r>
                </w:p>
              </w:tc>
              <w:tc>
                <w:tcPr>
                  <w:tcW w:w="2266" w:type="dxa"/>
                  <w:vAlign w:val="center"/>
                </w:tcPr>
                <w:p>
                  <w:pPr>
                    <w:widowControl/>
                    <w:jc w:val="center"/>
                    <w:rPr>
                      <w:kern w:val="0"/>
                      <w:szCs w:val="21"/>
                    </w:rPr>
                  </w:pPr>
                  <w:r>
                    <w:rPr>
                      <w:kern w:val="0"/>
                      <w:szCs w:val="21"/>
                    </w:rPr>
                    <w:t>1</w:t>
                  </w:r>
                </w:p>
              </w:tc>
              <w:tc>
                <w:tcPr>
                  <w:tcW w:w="2266" w:type="dxa"/>
                  <w:vAlign w:val="center"/>
                </w:tcPr>
                <w:p>
                  <w:pPr>
                    <w:widowControl/>
                    <w:jc w:val="center"/>
                    <w:rPr>
                      <w:kern w:val="0"/>
                      <w:szCs w:val="21"/>
                    </w:rPr>
                  </w:pPr>
                  <w:r>
                    <w:rPr>
                      <w:kern w:val="0"/>
                      <w:szCs w:val="21"/>
                    </w:rPr>
                    <w:t>86</w:t>
                  </w:r>
                </w:p>
              </w:tc>
              <w:tc>
                <w:tcPr>
                  <w:tcW w:w="1205" w:type="dxa"/>
                  <w:vMerge w:val="continue"/>
                  <w:vAlign w:val="center"/>
                </w:tcPr>
                <w:p>
                  <w:pPr>
                    <w:widowControl/>
                    <w:jc w:val="left"/>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78" w:type="dxa"/>
                  <w:vMerge w:val="continue"/>
                  <w:vAlign w:val="center"/>
                </w:tcPr>
                <w:p>
                  <w:pPr>
                    <w:widowControl/>
                    <w:jc w:val="left"/>
                    <w:rPr>
                      <w:kern w:val="0"/>
                      <w:szCs w:val="21"/>
                    </w:rPr>
                  </w:pPr>
                </w:p>
              </w:tc>
              <w:tc>
                <w:tcPr>
                  <w:tcW w:w="2107" w:type="dxa"/>
                  <w:vAlign w:val="center"/>
                </w:tcPr>
                <w:p>
                  <w:pPr>
                    <w:widowControl/>
                    <w:jc w:val="center"/>
                    <w:rPr>
                      <w:kern w:val="0"/>
                      <w:szCs w:val="21"/>
                    </w:rPr>
                  </w:pPr>
                  <w:r>
                    <w:rPr>
                      <w:kern w:val="0"/>
                      <w:szCs w:val="21"/>
                    </w:rPr>
                    <w:t>装载机</w:t>
                  </w:r>
                </w:p>
              </w:tc>
              <w:tc>
                <w:tcPr>
                  <w:tcW w:w="2266" w:type="dxa"/>
                  <w:vAlign w:val="center"/>
                </w:tcPr>
                <w:p>
                  <w:pPr>
                    <w:widowControl/>
                    <w:jc w:val="center"/>
                    <w:rPr>
                      <w:kern w:val="0"/>
                      <w:szCs w:val="21"/>
                    </w:rPr>
                  </w:pPr>
                  <w:r>
                    <w:rPr>
                      <w:kern w:val="0"/>
                      <w:szCs w:val="21"/>
                    </w:rPr>
                    <w:t>2</w:t>
                  </w:r>
                </w:p>
              </w:tc>
              <w:tc>
                <w:tcPr>
                  <w:tcW w:w="2266" w:type="dxa"/>
                  <w:vAlign w:val="center"/>
                </w:tcPr>
                <w:p>
                  <w:pPr>
                    <w:widowControl/>
                    <w:jc w:val="center"/>
                    <w:rPr>
                      <w:kern w:val="0"/>
                      <w:szCs w:val="21"/>
                    </w:rPr>
                  </w:pPr>
                  <w:r>
                    <w:rPr>
                      <w:kern w:val="0"/>
                      <w:szCs w:val="21"/>
                    </w:rPr>
                    <w:t>80</w:t>
                  </w:r>
                </w:p>
              </w:tc>
              <w:tc>
                <w:tcPr>
                  <w:tcW w:w="1205" w:type="dxa"/>
                  <w:vMerge w:val="continue"/>
                  <w:vAlign w:val="center"/>
                </w:tcPr>
                <w:p>
                  <w:pPr>
                    <w:widowControl/>
                    <w:jc w:val="left"/>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78" w:type="dxa"/>
                  <w:vMerge w:val="restart"/>
                  <w:vAlign w:val="center"/>
                </w:tcPr>
                <w:p>
                  <w:pPr>
                    <w:widowControl/>
                    <w:jc w:val="center"/>
                    <w:rPr>
                      <w:rFonts w:hint="eastAsia"/>
                      <w:kern w:val="0"/>
                      <w:szCs w:val="21"/>
                    </w:rPr>
                  </w:pPr>
                  <w:r>
                    <w:rPr>
                      <w:rFonts w:hint="eastAsia"/>
                      <w:kern w:val="0"/>
                      <w:szCs w:val="21"/>
                    </w:rPr>
                    <w:t>基础施工阶段</w:t>
                  </w:r>
                </w:p>
              </w:tc>
              <w:tc>
                <w:tcPr>
                  <w:tcW w:w="2107" w:type="dxa"/>
                  <w:vAlign w:val="center"/>
                </w:tcPr>
                <w:p>
                  <w:pPr>
                    <w:jc w:val="center"/>
                    <w:rPr>
                      <w:kern w:val="0"/>
                      <w:szCs w:val="21"/>
                    </w:rPr>
                  </w:pPr>
                  <w:r>
                    <w:t>打桩机</w:t>
                  </w:r>
                </w:p>
              </w:tc>
              <w:tc>
                <w:tcPr>
                  <w:tcW w:w="2266" w:type="dxa"/>
                  <w:vAlign w:val="center"/>
                </w:tcPr>
                <w:p>
                  <w:pPr>
                    <w:widowControl/>
                    <w:jc w:val="center"/>
                  </w:pPr>
                  <w:r>
                    <w:rPr>
                      <w:kern w:val="0"/>
                      <w:szCs w:val="21"/>
                    </w:rPr>
                    <w:t>2</w:t>
                  </w:r>
                </w:p>
              </w:tc>
              <w:tc>
                <w:tcPr>
                  <w:tcW w:w="2266" w:type="dxa"/>
                  <w:vAlign w:val="center"/>
                </w:tcPr>
                <w:p>
                  <w:pPr>
                    <w:widowControl/>
                    <w:jc w:val="center"/>
                    <w:rPr>
                      <w:rFonts w:hint="eastAsia"/>
                      <w:kern w:val="0"/>
                      <w:szCs w:val="21"/>
                    </w:rPr>
                  </w:pPr>
                  <w:r>
                    <w:rPr>
                      <w:rFonts w:hint="eastAsia"/>
                      <w:kern w:val="0"/>
                      <w:szCs w:val="21"/>
                    </w:rPr>
                    <w:t>85</w:t>
                  </w:r>
                </w:p>
              </w:tc>
              <w:tc>
                <w:tcPr>
                  <w:tcW w:w="1205" w:type="dxa"/>
                  <w:vMerge w:val="restart"/>
                  <w:vAlign w:val="center"/>
                </w:tcPr>
                <w:p>
                  <w:pPr>
                    <w:widowControl/>
                    <w:jc w:val="center"/>
                    <w:rPr>
                      <w:rFonts w:hint="eastAsia"/>
                      <w:kern w:val="0"/>
                      <w:szCs w:val="21"/>
                    </w:rPr>
                  </w:pPr>
                  <w:r>
                    <w:rPr>
                      <w:rFonts w:hint="eastAsia"/>
                      <w:kern w:val="0"/>
                      <w:szCs w:val="21"/>
                    </w:rPr>
                    <w:t>87.1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78" w:type="dxa"/>
                  <w:vMerge w:val="continue"/>
                  <w:vAlign w:val="center"/>
                </w:tcPr>
                <w:p>
                  <w:pPr>
                    <w:widowControl/>
                    <w:jc w:val="center"/>
                    <w:rPr>
                      <w:rFonts w:hint="eastAsia"/>
                      <w:kern w:val="0"/>
                      <w:szCs w:val="21"/>
                    </w:rPr>
                  </w:pPr>
                </w:p>
              </w:tc>
              <w:tc>
                <w:tcPr>
                  <w:tcW w:w="2107" w:type="dxa"/>
                  <w:vAlign w:val="center"/>
                </w:tcPr>
                <w:p>
                  <w:pPr>
                    <w:jc w:val="center"/>
                    <w:rPr>
                      <w:kern w:val="0"/>
                      <w:szCs w:val="21"/>
                    </w:rPr>
                  </w:pPr>
                  <w:r>
                    <w:t>风镐</w:t>
                  </w:r>
                </w:p>
              </w:tc>
              <w:tc>
                <w:tcPr>
                  <w:tcW w:w="2266" w:type="dxa"/>
                  <w:vAlign w:val="center"/>
                </w:tcPr>
                <w:p>
                  <w:pPr>
                    <w:widowControl/>
                    <w:jc w:val="center"/>
                  </w:pPr>
                  <w:r>
                    <w:rPr>
                      <w:kern w:val="0"/>
                      <w:szCs w:val="21"/>
                    </w:rPr>
                    <w:t>4</w:t>
                  </w:r>
                </w:p>
              </w:tc>
              <w:tc>
                <w:tcPr>
                  <w:tcW w:w="2266" w:type="dxa"/>
                  <w:vAlign w:val="center"/>
                </w:tcPr>
                <w:p>
                  <w:pPr>
                    <w:widowControl/>
                    <w:jc w:val="center"/>
                    <w:rPr>
                      <w:rFonts w:hint="eastAsia"/>
                      <w:kern w:val="0"/>
                      <w:szCs w:val="21"/>
                    </w:rPr>
                  </w:pPr>
                  <w:r>
                    <w:rPr>
                      <w:rFonts w:hint="eastAsia"/>
                      <w:kern w:val="0"/>
                      <w:szCs w:val="21"/>
                    </w:rPr>
                    <w:t>80</w:t>
                  </w:r>
                </w:p>
              </w:tc>
              <w:tc>
                <w:tcPr>
                  <w:tcW w:w="1205" w:type="dxa"/>
                  <w:vMerge w:val="continue"/>
                  <w:vAlign w:val="center"/>
                </w:tcPr>
                <w:p>
                  <w:pPr>
                    <w:widowControl/>
                    <w:jc w:val="left"/>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78" w:type="dxa"/>
                  <w:vMerge w:val="continue"/>
                  <w:vAlign w:val="center"/>
                </w:tcPr>
                <w:p>
                  <w:pPr>
                    <w:widowControl/>
                    <w:jc w:val="center"/>
                    <w:rPr>
                      <w:rFonts w:hint="eastAsia"/>
                      <w:kern w:val="0"/>
                      <w:szCs w:val="21"/>
                    </w:rPr>
                  </w:pPr>
                </w:p>
              </w:tc>
              <w:tc>
                <w:tcPr>
                  <w:tcW w:w="2107" w:type="dxa"/>
                  <w:vAlign w:val="center"/>
                </w:tcPr>
                <w:p>
                  <w:pPr>
                    <w:jc w:val="center"/>
                    <w:rPr>
                      <w:kern w:val="0"/>
                      <w:szCs w:val="21"/>
                    </w:rPr>
                  </w:pPr>
                  <w:r>
                    <w:t>空压机</w:t>
                  </w:r>
                </w:p>
              </w:tc>
              <w:tc>
                <w:tcPr>
                  <w:tcW w:w="2266" w:type="dxa"/>
                  <w:vAlign w:val="center"/>
                </w:tcPr>
                <w:p>
                  <w:pPr>
                    <w:widowControl/>
                    <w:jc w:val="center"/>
                  </w:pPr>
                  <w:r>
                    <w:rPr>
                      <w:rFonts w:hint="eastAsia"/>
                      <w:kern w:val="0"/>
                      <w:szCs w:val="21"/>
                    </w:rPr>
                    <w:t>1</w:t>
                  </w:r>
                </w:p>
              </w:tc>
              <w:tc>
                <w:tcPr>
                  <w:tcW w:w="2266" w:type="dxa"/>
                  <w:vAlign w:val="center"/>
                </w:tcPr>
                <w:p>
                  <w:pPr>
                    <w:widowControl/>
                    <w:jc w:val="center"/>
                    <w:rPr>
                      <w:rFonts w:hint="eastAsia"/>
                      <w:kern w:val="0"/>
                      <w:szCs w:val="21"/>
                    </w:rPr>
                  </w:pPr>
                  <w:r>
                    <w:rPr>
                      <w:rFonts w:hint="eastAsia"/>
                      <w:kern w:val="0"/>
                      <w:szCs w:val="21"/>
                    </w:rPr>
                    <w:t>85</w:t>
                  </w:r>
                </w:p>
              </w:tc>
              <w:tc>
                <w:tcPr>
                  <w:tcW w:w="1205" w:type="dxa"/>
                  <w:vMerge w:val="continue"/>
                  <w:vAlign w:val="center"/>
                </w:tcPr>
                <w:p>
                  <w:pPr>
                    <w:widowControl/>
                    <w:jc w:val="left"/>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78" w:type="dxa"/>
                  <w:vMerge w:val="restart"/>
                  <w:vAlign w:val="center"/>
                </w:tcPr>
                <w:p>
                  <w:pPr>
                    <w:widowControl/>
                    <w:jc w:val="center"/>
                    <w:rPr>
                      <w:kern w:val="0"/>
                      <w:szCs w:val="21"/>
                    </w:rPr>
                  </w:pPr>
                  <w:r>
                    <w:rPr>
                      <w:rFonts w:hint="eastAsia"/>
                      <w:kern w:val="0"/>
                      <w:szCs w:val="21"/>
                    </w:rPr>
                    <w:t>工程施工阶段</w:t>
                  </w:r>
                </w:p>
              </w:tc>
              <w:tc>
                <w:tcPr>
                  <w:tcW w:w="2107" w:type="dxa"/>
                  <w:vAlign w:val="center"/>
                </w:tcPr>
                <w:p>
                  <w:pPr>
                    <w:widowControl/>
                    <w:jc w:val="center"/>
                    <w:rPr>
                      <w:kern w:val="0"/>
                      <w:szCs w:val="21"/>
                    </w:rPr>
                  </w:pPr>
                  <w:r>
                    <w:rPr>
                      <w:kern w:val="0"/>
                      <w:szCs w:val="21"/>
                    </w:rPr>
                    <w:t>振捣棒</w:t>
                  </w:r>
                </w:p>
              </w:tc>
              <w:tc>
                <w:tcPr>
                  <w:tcW w:w="2266" w:type="dxa"/>
                  <w:vAlign w:val="top"/>
                </w:tcPr>
                <w:p>
                  <w:pPr>
                    <w:widowControl/>
                    <w:jc w:val="center"/>
                    <w:rPr>
                      <w:kern w:val="0"/>
                      <w:szCs w:val="21"/>
                    </w:rPr>
                  </w:pPr>
                  <w:r>
                    <w:rPr>
                      <w:rFonts w:hint="eastAsia"/>
                      <w:kern w:val="0"/>
                      <w:szCs w:val="21"/>
                    </w:rPr>
                    <w:t>2</w:t>
                  </w:r>
                </w:p>
              </w:tc>
              <w:tc>
                <w:tcPr>
                  <w:tcW w:w="2266" w:type="dxa"/>
                  <w:vAlign w:val="center"/>
                </w:tcPr>
                <w:p>
                  <w:pPr>
                    <w:widowControl/>
                    <w:jc w:val="center"/>
                    <w:rPr>
                      <w:kern w:val="0"/>
                      <w:szCs w:val="21"/>
                    </w:rPr>
                  </w:pPr>
                  <w:r>
                    <w:rPr>
                      <w:kern w:val="0"/>
                      <w:szCs w:val="21"/>
                    </w:rPr>
                    <w:t>88</w:t>
                  </w:r>
                </w:p>
              </w:tc>
              <w:tc>
                <w:tcPr>
                  <w:tcW w:w="1205" w:type="dxa"/>
                  <w:vMerge w:val="restart"/>
                  <w:vAlign w:val="center"/>
                </w:tcPr>
                <w:p>
                  <w:pPr>
                    <w:widowControl/>
                    <w:jc w:val="center"/>
                    <w:rPr>
                      <w:kern w:val="0"/>
                      <w:szCs w:val="21"/>
                    </w:rPr>
                  </w:pPr>
                  <w:r>
                    <w:rPr>
                      <w:kern w:val="0"/>
                      <w:szCs w:val="21"/>
                    </w:rPr>
                    <w:t>88.8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78" w:type="dxa"/>
                  <w:vMerge w:val="continue"/>
                  <w:vAlign w:val="center"/>
                </w:tcPr>
                <w:p>
                  <w:pPr>
                    <w:widowControl/>
                    <w:jc w:val="left"/>
                    <w:rPr>
                      <w:kern w:val="0"/>
                      <w:szCs w:val="21"/>
                    </w:rPr>
                  </w:pPr>
                </w:p>
              </w:tc>
              <w:tc>
                <w:tcPr>
                  <w:tcW w:w="2107" w:type="dxa"/>
                  <w:vAlign w:val="center"/>
                </w:tcPr>
                <w:p>
                  <w:pPr>
                    <w:widowControl/>
                    <w:jc w:val="center"/>
                    <w:rPr>
                      <w:kern w:val="0"/>
                      <w:szCs w:val="21"/>
                    </w:rPr>
                  </w:pPr>
                  <w:r>
                    <w:rPr>
                      <w:kern w:val="0"/>
                      <w:szCs w:val="21"/>
                    </w:rPr>
                    <w:t>电锯</w:t>
                  </w:r>
                </w:p>
              </w:tc>
              <w:tc>
                <w:tcPr>
                  <w:tcW w:w="2266" w:type="dxa"/>
                  <w:vAlign w:val="top"/>
                </w:tcPr>
                <w:p>
                  <w:pPr>
                    <w:widowControl/>
                    <w:jc w:val="center"/>
                    <w:rPr>
                      <w:kern w:val="0"/>
                      <w:szCs w:val="21"/>
                    </w:rPr>
                  </w:pPr>
                  <w:r>
                    <w:rPr>
                      <w:rFonts w:hint="eastAsia"/>
                      <w:kern w:val="0"/>
                      <w:szCs w:val="21"/>
                    </w:rPr>
                    <w:t>1</w:t>
                  </w:r>
                </w:p>
              </w:tc>
              <w:tc>
                <w:tcPr>
                  <w:tcW w:w="2266" w:type="dxa"/>
                  <w:vAlign w:val="center"/>
                </w:tcPr>
                <w:p>
                  <w:pPr>
                    <w:widowControl/>
                    <w:jc w:val="center"/>
                    <w:rPr>
                      <w:kern w:val="0"/>
                      <w:szCs w:val="21"/>
                    </w:rPr>
                  </w:pPr>
                  <w:r>
                    <w:rPr>
                      <w:kern w:val="0"/>
                      <w:szCs w:val="21"/>
                    </w:rPr>
                    <w:t>81</w:t>
                  </w:r>
                </w:p>
              </w:tc>
              <w:tc>
                <w:tcPr>
                  <w:tcW w:w="1205" w:type="dxa"/>
                  <w:vMerge w:val="continue"/>
                  <w:vAlign w:val="center"/>
                </w:tcPr>
                <w:p>
                  <w:pPr>
                    <w:widowControl/>
                    <w:jc w:val="left"/>
                    <w:rPr>
                      <w:kern w:val="0"/>
                      <w:szCs w:val="21"/>
                    </w:rPr>
                  </w:pPr>
                </w:p>
              </w:tc>
            </w:tr>
          </w:tbl>
          <w:p>
            <w:pPr>
              <w:pStyle w:val="13"/>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outlineLvl w:val="9"/>
              <w:rPr>
                <w:rFonts w:ascii="Times New Roman" w:hAnsi="Times New Roman"/>
                <w:b/>
                <w:bCs/>
                <w:sz w:val="24"/>
              </w:rPr>
            </w:pPr>
            <w:r>
              <w:rPr>
                <w:rFonts w:ascii="Times New Roman" w:hAnsi="Times New Roman"/>
                <w:b/>
                <w:bCs/>
                <w:sz w:val="24"/>
              </w:rPr>
              <w:t>4、固体废物</w:t>
            </w:r>
          </w:p>
          <w:p>
            <w:pPr>
              <w:spacing w:line="540" w:lineRule="exact"/>
              <w:ind w:firstLine="480" w:firstLineChars="200"/>
              <w:rPr>
                <w:rFonts w:hint="eastAsia"/>
                <w:b/>
                <w:bCs/>
                <w:sz w:val="24"/>
              </w:rPr>
            </w:pPr>
            <w:r>
              <w:rPr>
                <w:bCs/>
                <w:color w:val="000000"/>
                <w:sz w:val="24"/>
              </w:rPr>
              <w:t>施工期</w:t>
            </w:r>
            <w:r>
              <w:rPr>
                <w:sz w:val="24"/>
              </w:rPr>
              <w:t>主要为施工产生的建筑垃圾以及施工人员产生的生活垃圾。本项目施工建筑面积为</w:t>
            </w:r>
            <w:r>
              <w:rPr>
                <w:rFonts w:hint="eastAsia"/>
                <w:color w:val="000000"/>
                <w:sz w:val="24"/>
              </w:rPr>
              <w:t>5735m</w:t>
            </w:r>
            <w:r>
              <w:rPr>
                <w:rFonts w:hint="eastAsia"/>
                <w:color w:val="000000"/>
                <w:sz w:val="24"/>
                <w:vertAlign w:val="superscript"/>
              </w:rPr>
              <w:t>2</w:t>
            </w:r>
            <w:r>
              <w:rPr>
                <w:sz w:val="24"/>
              </w:rPr>
              <w:t>，建筑垃圾产生量以40kg/m</w:t>
            </w:r>
            <w:r>
              <w:rPr>
                <w:sz w:val="24"/>
                <w:vertAlign w:val="superscript"/>
              </w:rPr>
              <w:t>2</w:t>
            </w:r>
            <w:r>
              <w:rPr>
                <w:sz w:val="24"/>
              </w:rPr>
              <w:t>计，则施工过程中建筑垃圾的产生量为</w:t>
            </w:r>
            <w:r>
              <w:rPr>
                <w:rFonts w:hint="eastAsia"/>
                <w:sz w:val="24"/>
              </w:rPr>
              <w:t>229.4</w:t>
            </w:r>
            <w:r>
              <w:rPr>
                <w:sz w:val="24"/>
              </w:rPr>
              <w:t>t，</w:t>
            </w:r>
            <w:r>
              <w:rPr>
                <w:bCs/>
                <w:color w:val="000000"/>
                <w:sz w:val="24"/>
              </w:rPr>
              <w:t>各种建筑材料(如砂石、水泥、砖、木材等)须按有关部门指定的时间和路线运输，工程完成后，会残留一定量的建筑废料。</w:t>
            </w:r>
            <w:r>
              <w:rPr>
                <w:color w:val="000000"/>
                <w:sz w:val="24"/>
              </w:rPr>
              <w:t>建议建设单位严格施工，不随意倾倒建</w:t>
            </w:r>
            <w:r>
              <w:rPr>
                <w:sz w:val="24"/>
              </w:rPr>
              <w:t>筑垃圾。本项目施工期约两个月，即60天，施工人员约15人，由于条件限制，生活垃圾产生量按0.5kg/人·d计算，则施工期生活垃圾产生量约为0.45t。项目产生的生活垃圾收集后交环卫部门统一处理。</w:t>
            </w:r>
          </w:p>
          <w:p>
            <w:pPr>
              <w:snapToGrid w:val="0"/>
              <w:spacing w:line="500" w:lineRule="exact"/>
              <w:ind w:firstLine="482" w:firstLineChars="200"/>
              <w:rPr>
                <w:b/>
                <w:bCs/>
                <w:sz w:val="24"/>
              </w:rPr>
            </w:pPr>
            <w:r>
              <w:rPr>
                <w:rFonts w:hint="eastAsia"/>
                <w:b/>
                <w:bCs/>
                <w:sz w:val="24"/>
              </w:rPr>
              <w:t>运营期</w:t>
            </w:r>
            <w:r>
              <w:rPr>
                <w:b/>
                <w:bCs/>
                <w:sz w:val="24"/>
              </w:rPr>
              <w:t>：</w:t>
            </w:r>
          </w:p>
          <w:p>
            <w:pPr>
              <w:spacing w:line="360" w:lineRule="auto"/>
              <w:ind w:firstLine="482" w:firstLineChars="200"/>
              <w:jc w:val="left"/>
              <w:rPr>
                <w:b/>
                <w:bCs/>
                <w:sz w:val="24"/>
              </w:rPr>
            </w:pPr>
            <w:r>
              <w:rPr>
                <w:rFonts w:hint="eastAsia"/>
                <w:b/>
                <w:bCs/>
                <w:sz w:val="24"/>
              </w:rPr>
              <w:t>1、</w:t>
            </w:r>
            <w:r>
              <w:rPr>
                <w:b/>
                <w:bCs/>
                <w:sz w:val="24"/>
              </w:rPr>
              <w:t>废气</w:t>
            </w:r>
          </w:p>
          <w:p>
            <w:pPr>
              <w:spacing w:line="500" w:lineRule="exact"/>
              <w:ind w:firstLine="480" w:firstLineChars="200"/>
              <w:rPr>
                <w:rFonts w:hint="eastAsia"/>
                <w:b/>
                <w:bCs/>
                <w:sz w:val="24"/>
              </w:rPr>
            </w:pPr>
            <w:r>
              <w:rPr>
                <w:rFonts w:hint="eastAsia"/>
                <w:sz w:val="24"/>
                <w:lang w:val="fr-FR"/>
              </w:rPr>
              <w:t>本项目在原料备料、搅拌过程会产生粉尘，油炸工段会产生油烟以及油炸锅燃料废气，加工车间产生的异味。</w:t>
            </w:r>
          </w:p>
          <w:p>
            <w:pPr>
              <w:spacing w:line="500" w:lineRule="exact"/>
              <w:ind w:firstLine="482" w:firstLineChars="200"/>
              <w:rPr>
                <w:rFonts w:hint="eastAsia"/>
                <w:sz w:val="24"/>
                <w:lang w:val="fr-FR"/>
              </w:rPr>
            </w:pPr>
            <w:r>
              <w:rPr>
                <w:b/>
                <w:bCs/>
                <w:sz w:val="24"/>
              </w:rPr>
              <w:t>1</w:t>
            </w:r>
            <w:r>
              <w:rPr>
                <w:rFonts w:hint="eastAsia"/>
                <w:b/>
                <w:bCs/>
                <w:sz w:val="24"/>
              </w:rPr>
              <w:t>.1有组织</w:t>
            </w:r>
            <w:r>
              <w:rPr>
                <w:b/>
                <w:bCs/>
                <w:sz w:val="24"/>
              </w:rPr>
              <w:t>废气</w:t>
            </w:r>
          </w:p>
          <w:p>
            <w:pPr>
              <w:spacing w:line="500" w:lineRule="exact"/>
              <w:ind w:firstLine="482" w:firstLineChars="200"/>
              <w:rPr>
                <w:rFonts w:hint="eastAsia"/>
                <w:b/>
                <w:bCs/>
                <w:sz w:val="24"/>
                <w:lang w:val="fr-FR"/>
              </w:rPr>
            </w:pPr>
            <w:r>
              <w:rPr>
                <w:rFonts w:hint="eastAsia"/>
                <w:b/>
                <w:bCs/>
                <w:sz w:val="24"/>
              </w:rPr>
              <w:t>1.1.1拌面粉尘</w:t>
            </w:r>
          </w:p>
          <w:p>
            <w:pPr>
              <w:spacing w:line="500" w:lineRule="exact"/>
              <w:ind w:firstLine="480" w:firstLineChars="200"/>
              <w:rPr>
                <w:rFonts w:hint="eastAsia"/>
                <w:sz w:val="24"/>
                <w:highlight w:val="none"/>
                <w:lang w:bidi="en-US"/>
              </w:rPr>
            </w:pPr>
            <w:r>
              <w:rPr>
                <w:rFonts w:hint="eastAsia"/>
                <w:sz w:val="24"/>
                <w:highlight w:val="none"/>
              </w:rPr>
              <w:t>本项目面粉、玉米淀粉等原料投料工序的过程中产生粉尘（颗粒物），产生量为原料用量0.2%，原料（面粉、玉米淀粉）用量为2300t/a，本项目拌面间粉尘（颗粒物）产生量为4.6t/a，拌面间年工作时间为600h。</w:t>
            </w:r>
            <w:bookmarkStart w:id="3" w:name="OLE_LINK7"/>
            <w:r>
              <w:rPr>
                <w:rFonts w:hint="eastAsia"/>
                <w:sz w:val="24"/>
                <w:highlight w:val="none"/>
              </w:rPr>
              <w:t>拌面间为负压车间，设置一处进风口，拌面设备上方设置集气罩收集废气进入管道，</w:t>
            </w:r>
            <w:bookmarkEnd w:id="3"/>
            <w:r>
              <w:rPr>
                <w:rFonts w:hint="eastAsia"/>
                <w:sz w:val="24"/>
                <w:highlight w:val="none"/>
              </w:rPr>
              <w:t>车间内同时设置引风机强力排风，废气一同进入排气管道。颗粒物经收集后经布袋除尘器（除尘效率&gt;99%，风机风量10000m</w:t>
            </w:r>
            <w:r>
              <w:rPr>
                <w:rFonts w:hint="eastAsia"/>
                <w:sz w:val="24"/>
                <w:highlight w:val="none"/>
                <w:vertAlign w:val="superscript"/>
              </w:rPr>
              <w:t>3</w:t>
            </w:r>
            <w:r>
              <w:rPr>
                <w:rFonts w:hint="eastAsia"/>
                <w:sz w:val="24"/>
                <w:highlight w:val="none"/>
              </w:rPr>
              <w:t>/h）处理后沿1根15m高排气筒（P1）排放。</w:t>
            </w:r>
          </w:p>
          <w:p>
            <w:pPr>
              <w:spacing w:line="500" w:lineRule="exact"/>
              <w:ind w:firstLine="482" w:firstLineChars="200"/>
              <w:rPr>
                <w:rFonts w:hint="eastAsia"/>
                <w:b/>
                <w:bCs/>
                <w:color w:val="000000"/>
                <w:sz w:val="24"/>
                <w:lang w:bidi="en-US"/>
              </w:rPr>
            </w:pPr>
            <w:r>
              <w:rPr>
                <w:rFonts w:hint="eastAsia"/>
                <w:b/>
                <w:bCs/>
                <w:color w:val="000000"/>
                <w:sz w:val="24"/>
                <w:lang w:bidi="en-US"/>
              </w:rPr>
              <w:t>1.1.2油炸工段油烟废气及异味</w:t>
            </w:r>
          </w:p>
          <w:p>
            <w:pPr>
              <w:spacing w:line="500" w:lineRule="exact"/>
              <w:ind w:firstLine="480" w:firstLineChars="200"/>
              <w:rPr>
                <w:rFonts w:hint="eastAsia"/>
                <w:sz w:val="24"/>
                <w:highlight w:val="none"/>
              </w:rPr>
            </w:pPr>
            <w:r>
              <w:rPr>
                <w:rFonts w:hint="eastAsia"/>
                <w:sz w:val="24"/>
              </w:rPr>
              <w:t>本项目生产车间中油炸工序中会产生油烟及异味，项目油炸工序共使用棕榈油200t/a。油炸时温度控制在165℃左右，经查阅相关资料，棕榈油温度在160-190℃时，会产生一定的油烟，油炸过程中挥发系数0.5%，本项目油烟挥发量为1t/a，该工段工作时间8h，则油烟挥发量为0.42kg/h</w:t>
            </w:r>
            <w:r>
              <w:rPr>
                <w:rFonts w:hint="eastAsia"/>
                <w:sz w:val="24"/>
                <w:highlight w:val="none"/>
              </w:rPr>
              <w:t>。本项目两个油炸锅的油炸废气分别经油炸锅正上方集气罩收集，经1个静电式油烟净化器处理后经15m高排气筒（P2）。</w:t>
            </w:r>
          </w:p>
          <w:p>
            <w:pPr>
              <w:spacing w:line="500" w:lineRule="exact"/>
              <w:ind w:right="105" w:rightChars="50" w:firstLine="480" w:firstLineChars="200"/>
              <w:rPr>
                <w:sz w:val="24"/>
              </w:rPr>
            </w:pPr>
            <w:r>
              <w:rPr>
                <w:rFonts w:hint="eastAsia"/>
                <w:sz w:val="24"/>
              </w:rPr>
              <w:t>异味</w:t>
            </w:r>
            <w:r>
              <w:rPr>
                <w:sz w:val="24"/>
              </w:rPr>
              <w:t>可以认为是恶臭的一种形式。恶臭为人们对恶臭物质所感知的一种污染指标。其主要物质种类达上万种之多。由于其各种物质之间的相互作用（相加、协同、抵消及掩饰作用等），加之人类的嗅觉功能和恶臭物质取样分析等因素，迄今还难以对大多数恶臭物质作出浓度标准。北京环境监测中心在吸取国外经验的基础上提出了恶臭6级分级法，该分级法以感受器—嗅觉的感觉和人的主观感觉特征两个方面来描述各级特征，即明确了各级的差别，也提高了分级的准确程度。</w:t>
            </w:r>
          </w:p>
          <w:p>
            <w:pPr>
              <w:keepNext w:val="0"/>
              <w:keepLines w:val="0"/>
              <w:pageBreakBefore w:val="0"/>
              <w:widowControl w:val="0"/>
              <w:kinsoku/>
              <w:wordWrap/>
              <w:overflowPunct/>
              <w:topLinePunct w:val="0"/>
              <w:autoSpaceDE/>
              <w:autoSpaceDN/>
              <w:bidi w:val="0"/>
              <w:adjustRightInd/>
              <w:snapToGrid/>
              <w:spacing w:line="240" w:lineRule="auto"/>
              <w:ind w:right="105" w:rightChars="50" w:firstLine="422" w:firstLineChars="200"/>
              <w:jc w:val="center"/>
              <w:textAlignment w:val="auto"/>
              <w:outlineLvl w:val="9"/>
              <w:rPr>
                <w:b/>
                <w:bCs/>
                <w:szCs w:val="21"/>
              </w:rPr>
            </w:pPr>
            <w:r>
              <w:rPr>
                <w:b/>
                <w:bCs/>
                <w:szCs w:val="21"/>
              </w:rPr>
              <w:t>表</w:t>
            </w:r>
            <w:r>
              <w:rPr>
                <w:rFonts w:hint="eastAsia"/>
                <w:b/>
                <w:bCs/>
                <w:szCs w:val="21"/>
              </w:rPr>
              <w:t>25</w:t>
            </w:r>
            <w:r>
              <w:rPr>
                <w:b/>
                <w:bCs/>
                <w:szCs w:val="21"/>
              </w:rPr>
              <w:t xml:space="preserve">  恶臭6级分级法</w:t>
            </w:r>
          </w:p>
          <w:tbl>
            <w:tblPr>
              <w:tblStyle w:val="29"/>
              <w:tblW w:w="90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7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65" w:type="dxa"/>
                  <w:vAlign w:val="top"/>
                </w:tcPr>
                <w:p>
                  <w:pPr>
                    <w:ind w:right="105" w:rightChars="50"/>
                    <w:jc w:val="center"/>
                    <w:rPr>
                      <w:szCs w:val="21"/>
                    </w:rPr>
                  </w:pPr>
                  <w:r>
                    <w:rPr>
                      <w:szCs w:val="21"/>
                    </w:rPr>
                    <w:t>恶臭强度级</w:t>
                  </w:r>
                </w:p>
              </w:tc>
              <w:tc>
                <w:tcPr>
                  <w:tcW w:w="7195" w:type="dxa"/>
                  <w:vAlign w:val="top"/>
                </w:tcPr>
                <w:p>
                  <w:pPr>
                    <w:ind w:right="105" w:rightChars="50"/>
                    <w:jc w:val="center"/>
                    <w:rPr>
                      <w:szCs w:val="21"/>
                    </w:rPr>
                  </w:pPr>
                  <w:r>
                    <w:rPr>
                      <w:szCs w:val="21"/>
                    </w:rPr>
                    <w:t>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65" w:type="dxa"/>
                  <w:vAlign w:val="top"/>
                </w:tcPr>
                <w:p>
                  <w:pPr>
                    <w:ind w:right="105" w:rightChars="50"/>
                    <w:jc w:val="center"/>
                    <w:rPr>
                      <w:szCs w:val="21"/>
                    </w:rPr>
                  </w:pPr>
                  <w:r>
                    <w:rPr>
                      <w:szCs w:val="21"/>
                    </w:rPr>
                    <w:t>0</w:t>
                  </w:r>
                </w:p>
              </w:tc>
              <w:tc>
                <w:tcPr>
                  <w:tcW w:w="7195" w:type="dxa"/>
                  <w:vAlign w:val="top"/>
                </w:tcPr>
                <w:p>
                  <w:pPr>
                    <w:ind w:right="105" w:rightChars="50"/>
                    <w:jc w:val="center"/>
                    <w:rPr>
                      <w:szCs w:val="21"/>
                    </w:rPr>
                  </w:pPr>
                  <w:r>
                    <w:rPr>
                      <w:szCs w:val="21"/>
                    </w:rPr>
                    <w:t>未闻到有任何气味，无任何反应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65" w:type="dxa"/>
                  <w:vAlign w:val="top"/>
                </w:tcPr>
                <w:p>
                  <w:pPr>
                    <w:ind w:right="105" w:rightChars="50"/>
                    <w:jc w:val="center"/>
                    <w:rPr>
                      <w:szCs w:val="21"/>
                    </w:rPr>
                  </w:pPr>
                  <w:r>
                    <w:rPr>
                      <w:szCs w:val="21"/>
                    </w:rPr>
                    <w:t>1</w:t>
                  </w:r>
                </w:p>
              </w:tc>
              <w:tc>
                <w:tcPr>
                  <w:tcW w:w="7195" w:type="dxa"/>
                  <w:vAlign w:val="top"/>
                </w:tcPr>
                <w:p>
                  <w:pPr>
                    <w:ind w:right="105" w:rightChars="50"/>
                    <w:jc w:val="center"/>
                    <w:rPr>
                      <w:szCs w:val="21"/>
                    </w:rPr>
                  </w:pPr>
                  <w:r>
                    <w:rPr>
                      <w:szCs w:val="21"/>
                    </w:rPr>
                    <w:t>勉强能闻到有气味，但不宜辨认气味性质（感觉阈值）认为无所谓）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65" w:type="dxa"/>
                  <w:vAlign w:val="top"/>
                </w:tcPr>
                <w:p>
                  <w:pPr>
                    <w:ind w:right="105" w:rightChars="50"/>
                    <w:jc w:val="center"/>
                    <w:rPr>
                      <w:szCs w:val="21"/>
                    </w:rPr>
                  </w:pPr>
                  <w:r>
                    <w:rPr>
                      <w:szCs w:val="21"/>
                    </w:rPr>
                    <w:t>2</w:t>
                  </w:r>
                </w:p>
              </w:tc>
              <w:tc>
                <w:tcPr>
                  <w:tcW w:w="7195" w:type="dxa"/>
                  <w:vAlign w:val="top"/>
                </w:tcPr>
                <w:p>
                  <w:pPr>
                    <w:ind w:right="105" w:rightChars="50"/>
                    <w:jc w:val="center"/>
                    <w:rPr>
                      <w:szCs w:val="21"/>
                    </w:rPr>
                  </w:pPr>
                  <w:r>
                    <w:rPr>
                      <w:szCs w:val="21"/>
                    </w:rPr>
                    <w:t>能闻到气味，且能辨认气味的性质（识别阈值），但感到很正常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65" w:type="dxa"/>
                  <w:vAlign w:val="top"/>
                </w:tcPr>
                <w:p>
                  <w:pPr>
                    <w:ind w:right="105" w:rightChars="50"/>
                    <w:jc w:val="center"/>
                    <w:rPr>
                      <w:szCs w:val="21"/>
                    </w:rPr>
                  </w:pPr>
                  <w:r>
                    <w:rPr>
                      <w:szCs w:val="21"/>
                    </w:rPr>
                    <w:t>3</w:t>
                  </w:r>
                </w:p>
              </w:tc>
              <w:tc>
                <w:tcPr>
                  <w:tcW w:w="7195" w:type="dxa"/>
                  <w:vAlign w:val="top"/>
                </w:tcPr>
                <w:p>
                  <w:pPr>
                    <w:ind w:right="105" w:rightChars="50"/>
                    <w:jc w:val="center"/>
                    <w:rPr>
                      <w:szCs w:val="21"/>
                    </w:rPr>
                  </w:pPr>
                  <w:r>
                    <w:rPr>
                      <w:szCs w:val="21"/>
                    </w:rPr>
                    <w:t>很容易闻到气味，有所不快，但不反感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65" w:type="dxa"/>
                  <w:vAlign w:val="top"/>
                </w:tcPr>
                <w:p>
                  <w:pPr>
                    <w:ind w:right="105" w:rightChars="50"/>
                    <w:jc w:val="center"/>
                    <w:rPr>
                      <w:szCs w:val="21"/>
                    </w:rPr>
                  </w:pPr>
                  <w:r>
                    <w:rPr>
                      <w:szCs w:val="21"/>
                    </w:rPr>
                    <w:t>4</w:t>
                  </w:r>
                </w:p>
              </w:tc>
              <w:tc>
                <w:tcPr>
                  <w:tcW w:w="7195" w:type="dxa"/>
                  <w:vAlign w:val="top"/>
                </w:tcPr>
                <w:p>
                  <w:pPr>
                    <w:ind w:right="105" w:rightChars="50"/>
                    <w:jc w:val="center"/>
                    <w:rPr>
                      <w:szCs w:val="21"/>
                    </w:rPr>
                  </w:pPr>
                  <w:r>
                    <w:rPr>
                      <w:szCs w:val="21"/>
                    </w:rPr>
                    <w:t>有很强的气味，而且很反感，想离开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65" w:type="dxa"/>
                  <w:vAlign w:val="top"/>
                </w:tcPr>
                <w:p>
                  <w:pPr>
                    <w:ind w:right="105" w:rightChars="50"/>
                    <w:jc w:val="center"/>
                    <w:rPr>
                      <w:szCs w:val="21"/>
                    </w:rPr>
                  </w:pPr>
                  <w:r>
                    <w:rPr>
                      <w:szCs w:val="21"/>
                    </w:rPr>
                    <w:t>5</w:t>
                  </w:r>
                </w:p>
              </w:tc>
              <w:tc>
                <w:tcPr>
                  <w:tcW w:w="7195" w:type="dxa"/>
                  <w:vAlign w:val="top"/>
                </w:tcPr>
                <w:p>
                  <w:pPr>
                    <w:ind w:right="105" w:rightChars="50"/>
                    <w:jc w:val="center"/>
                    <w:rPr>
                      <w:szCs w:val="21"/>
                    </w:rPr>
                  </w:pPr>
                  <w:r>
                    <w:rPr>
                      <w:szCs w:val="21"/>
                    </w:rPr>
                    <w:t>有极强的气味，无法忍受，立即逃跑</w:t>
                  </w:r>
                </w:p>
              </w:tc>
            </w:tr>
          </w:tbl>
          <w:p>
            <w:pPr>
              <w:spacing w:line="500" w:lineRule="exact"/>
              <w:ind w:firstLine="480" w:firstLineChars="200"/>
              <w:rPr>
                <w:rFonts w:hint="eastAsia"/>
                <w:b/>
                <w:bCs/>
                <w:color w:val="000000"/>
                <w:sz w:val="24"/>
                <w:lang w:bidi="en-US"/>
              </w:rPr>
            </w:pPr>
            <w:r>
              <w:rPr>
                <w:rFonts w:hint="eastAsia"/>
                <w:sz w:val="24"/>
              </w:rPr>
              <w:t>根据调查，本项目生产中产生的异味经厂房车间内的排气筒（P1）排放，在车间外下风向30米处基本闻不到明显的异味，恶臭等级在0~1级左右，因此，对周边环境不会产生显著影响。</w:t>
            </w:r>
          </w:p>
          <w:p>
            <w:pPr>
              <w:spacing w:line="500" w:lineRule="exact"/>
              <w:ind w:firstLine="482" w:firstLineChars="200"/>
              <w:rPr>
                <w:rFonts w:hint="eastAsia"/>
                <w:b/>
                <w:bCs/>
                <w:color w:val="000000"/>
                <w:sz w:val="24"/>
                <w:highlight w:val="none"/>
                <w:lang w:bidi="en-US"/>
              </w:rPr>
            </w:pPr>
            <w:r>
              <w:rPr>
                <w:rFonts w:hint="eastAsia"/>
                <w:b/>
                <w:bCs/>
                <w:color w:val="000000"/>
                <w:sz w:val="24"/>
                <w:highlight w:val="none"/>
                <w:lang w:bidi="en-US"/>
              </w:rPr>
              <w:t>1.1.3油炸锅燃料废气</w:t>
            </w:r>
          </w:p>
          <w:p>
            <w:pPr>
              <w:spacing w:line="500" w:lineRule="exact"/>
              <w:ind w:firstLine="480" w:firstLineChars="200"/>
              <w:rPr>
                <w:sz w:val="24"/>
                <w:highlight w:val="none"/>
              </w:rPr>
            </w:pPr>
            <w:r>
              <w:rPr>
                <w:sz w:val="24"/>
                <w:highlight w:val="none"/>
              </w:rPr>
              <w:t>项目设置2台</w:t>
            </w:r>
            <w:r>
              <w:rPr>
                <w:rFonts w:hint="eastAsia"/>
                <w:sz w:val="24"/>
                <w:highlight w:val="none"/>
              </w:rPr>
              <w:t>燃气</w:t>
            </w:r>
            <w:r>
              <w:rPr>
                <w:sz w:val="24"/>
                <w:highlight w:val="none"/>
              </w:rPr>
              <w:t>油炸</w:t>
            </w:r>
            <w:r>
              <w:rPr>
                <w:rFonts w:hint="eastAsia"/>
                <w:sz w:val="24"/>
                <w:highlight w:val="none"/>
              </w:rPr>
              <w:t>机</w:t>
            </w:r>
            <w:r>
              <w:rPr>
                <w:rFonts w:hint="eastAsia"/>
                <w:sz w:val="24"/>
                <w:highlight w:val="none"/>
                <w:lang w:eastAsia="zh-CN"/>
              </w:rPr>
              <w:t>（为了降低氮氧化物的排放，建议使用低氮燃烧器）</w:t>
            </w:r>
            <w:r>
              <w:rPr>
                <w:rFonts w:hint="eastAsia"/>
                <w:sz w:val="24"/>
                <w:highlight w:val="none"/>
              </w:rPr>
              <w:t>，以天然气为能源，据企业提供资料，每天</w:t>
            </w:r>
            <w:r>
              <w:rPr>
                <w:sz w:val="24"/>
                <w:highlight w:val="none"/>
              </w:rPr>
              <w:t>使用天然气量约为320m</w:t>
            </w:r>
            <w:r>
              <w:rPr>
                <w:sz w:val="24"/>
                <w:highlight w:val="none"/>
                <w:vertAlign w:val="superscript"/>
              </w:rPr>
              <w:t>3</w:t>
            </w:r>
            <w:r>
              <w:rPr>
                <w:sz w:val="24"/>
                <w:highlight w:val="none"/>
              </w:rPr>
              <w:t>（9.6万m</w:t>
            </w:r>
            <w:r>
              <w:rPr>
                <w:sz w:val="24"/>
                <w:highlight w:val="none"/>
                <w:vertAlign w:val="superscript"/>
              </w:rPr>
              <w:t>3</w:t>
            </w:r>
            <w:r>
              <w:rPr>
                <w:sz w:val="24"/>
                <w:highlight w:val="none"/>
              </w:rPr>
              <w:t>），每天油炸时间约为5h，年工作时间300d。天然气为清洁能源，在完全燃烧条件下，几乎不产生烟尘和CO，烟气中的主要污染物为NO</w:t>
            </w:r>
            <w:r>
              <w:rPr>
                <w:sz w:val="24"/>
                <w:highlight w:val="none"/>
                <w:vertAlign w:val="subscript"/>
              </w:rPr>
              <w:t>X</w:t>
            </w:r>
            <w:r>
              <w:rPr>
                <w:sz w:val="24"/>
                <w:highlight w:val="none"/>
              </w:rPr>
              <w:t>和少量的SO</w:t>
            </w:r>
            <w:r>
              <w:rPr>
                <w:sz w:val="24"/>
                <w:highlight w:val="none"/>
                <w:vertAlign w:val="subscript"/>
              </w:rPr>
              <w:t>2</w:t>
            </w:r>
            <w:r>
              <w:rPr>
                <w:sz w:val="24"/>
                <w:highlight w:val="none"/>
              </w:rPr>
              <w:t>。根据</w:t>
            </w:r>
            <w:bookmarkStart w:id="4" w:name="OLE_LINK5"/>
            <w:r>
              <w:rPr>
                <w:kern w:val="0"/>
                <w:sz w:val="24"/>
                <w:highlight w:val="none"/>
              </w:rPr>
              <w:t>《第一次全国污染源普查工业污染源产排污系数手册（下册）》</w:t>
            </w:r>
            <w:bookmarkEnd w:id="4"/>
            <w:r>
              <w:rPr>
                <w:kern w:val="0"/>
                <w:sz w:val="24"/>
                <w:highlight w:val="none"/>
              </w:rPr>
              <w:t>（ 4430热力生产和供应行业）产排污系数表：每燃烧1万m</w:t>
            </w:r>
            <w:r>
              <w:rPr>
                <w:kern w:val="0"/>
                <w:sz w:val="24"/>
                <w:highlight w:val="none"/>
                <w:vertAlign w:val="superscript"/>
              </w:rPr>
              <w:t>3</w:t>
            </w:r>
            <w:r>
              <w:rPr>
                <w:kern w:val="0"/>
                <w:sz w:val="24"/>
                <w:highlight w:val="none"/>
              </w:rPr>
              <w:t>天然气，排放烟气量为139854.28万，SO</w:t>
            </w:r>
            <w:r>
              <w:rPr>
                <w:kern w:val="0"/>
                <w:sz w:val="24"/>
                <w:highlight w:val="none"/>
                <w:vertAlign w:val="subscript"/>
              </w:rPr>
              <w:t>2</w:t>
            </w:r>
            <w:r>
              <w:rPr>
                <w:kern w:val="0"/>
                <w:sz w:val="24"/>
                <w:highlight w:val="none"/>
              </w:rPr>
              <w:t>0.02Skg（S=200），NO</w:t>
            </w:r>
            <w:r>
              <w:rPr>
                <w:kern w:val="0"/>
                <w:sz w:val="24"/>
                <w:highlight w:val="none"/>
                <w:vertAlign w:val="subscript"/>
              </w:rPr>
              <w:t>X</w:t>
            </w:r>
            <w:r>
              <w:rPr>
                <w:kern w:val="0"/>
                <w:sz w:val="24"/>
                <w:highlight w:val="none"/>
              </w:rPr>
              <w:t>18.71kg，颗粒物1.6kg。则废气量为134.3万m</w:t>
            </w:r>
            <w:r>
              <w:rPr>
                <w:kern w:val="0"/>
                <w:sz w:val="24"/>
                <w:highlight w:val="none"/>
                <w:vertAlign w:val="superscript"/>
              </w:rPr>
              <w:t>3</w:t>
            </w:r>
            <w:r>
              <w:rPr>
                <w:kern w:val="0"/>
                <w:sz w:val="24"/>
                <w:highlight w:val="none"/>
              </w:rPr>
              <w:t>/a，895.07m</w:t>
            </w:r>
            <w:r>
              <w:rPr>
                <w:kern w:val="0"/>
                <w:sz w:val="24"/>
                <w:highlight w:val="none"/>
                <w:vertAlign w:val="superscript"/>
              </w:rPr>
              <w:t>3</w:t>
            </w:r>
            <w:r>
              <w:rPr>
                <w:kern w:val="0"/>
                <w:sz w:val="24"/>
                <w:highlight w:val="none"/>
              </w:rPr>
              <w:t>/h，颗粒物排放量为0.015t/a，排放浓度为11.2mg/m</w:t>
            </w:r>
            <w:r>
              <w:rPr>
                <w:kern w:val="0"/>
                <w:sz w:val="24"/>
                <w:highlight w:val="none"/>
                <w:vertAlign w:val="superscript"/>
              </w:rPr>
              <w:t>3</w:t>
            </w:r>
            <w:r>
              <w:rPr>
                <w:kern w:val="0"/>
                <w:sz w:val="24"/>
                <w:highlight w:val="none"/>
              </w:rPr>
              <w:t>，SO</w:t>
            </w:r>
            <w:r>
              <w:rPr>
                <w:kern w:val="0"/>
                <w:sz w:val="24"/>
                <w:highlight w:val="none"/>
                <w:vertAlign w:val="subscript"/>
              </w:rPr>
              <w:t>2</w:t>
            </w:r>
            <w:r>
              <w:rPr>
                <w:kern w:val="0"/>
                <w:sz w:val="24"/>
                <w:highlight w:val="none"/>
              </w:rPr>
              <w:t>排放量为0.0384t/a，排放浓度为28.6mg/m</w:t>
            </w:r>
            <w:r>
              <w:rPr>
                <w:kern w:val="0"/>
                <w:sz w:val="24"/>
                <w:highlight w:val="none"/>
                <w:vertAlign w:val="superscript"/>
              </w:rPr>
              <w:t>3</w:t>
            </w:r>
            <w:r>
              <w:rPr>
                <w:kern w:val="0"/>
                <w:sz w:val="24"/>
                <w:highlight w:val="none"/>
              </w:rPr>
              <w:t>，NO</w:t>
            </w:r>
            <w:r>
              <w:rPr>
                <w:kern w:val="0"/>
                <w:sz w:val="24"/>
                <w:highlight w:val="none"/>
                <w:vertAlign w:val="subscript"/>
              </w:rPr>
              <w:t>X</w:t>
            </w:r>
            <w:r>
              <w:rPr>
                <w:kern w:val="0"/>
                <w:sz w:val="24"/>
                <w:highlight w:val="none"/>
              </w:rPr>
              <w:t>排放量为0.18t/a，排放浓度为134.0mg/m</w:t>
            </w:r>
            <w:r>
              <w:rPr>
                <w:kern w:val="0"/>
                <w:sz w:val="24"/>
                <w:highlight w:val="none"/>
                <w:vertAlign w:val="superscript"/>
              </w:rPr>
              <w:t>3</w:t>
            </w:r>
            <w:r>
              <w:rPr>
                <w:kern w:val="0"/>
                <w:sz w:val="24"/>
                <w:highlight w:val="none"/>
              </w:rPr>
              <w:t>，</w:t>
            </w:r>
            <w:r>
              <w:rPr>
                <w:rFonts w:hint="eastAsia"/>
                <w:kern w:val="0"/>
                <w:sz w:val="24"/>
                <w:highlight w:val="none"/>
              </w:rPr>
              <w:t>本项目两个</w:t>
            </w:r>
            <w:r>
              <w:rPr>
                <w:rFonts w:hint="eastAsia"/>
                <w:kern w:val="0"/>
                <w:sz w:val="24"/>
                <w:highlight w:val="none"/>
                <w:lang w:eastAsia="zh-CN"/>
              </w:rPr>
              <w:t>全封闭</w:t>
            </w:r>
            <w:r>
              <w:rPr>
                <w:rFonts w:hint="eastAsia"/>
                <w:kern w:val="0"/>
                <w:sz w:val="24"/>
                <w:highlight w:val="none"/>
              </w:rPr>
              <w:t>燃气油炸机燃烧</w:t>
            </w:r>
            <w:r>
              <w:rPr>
                <w:kern w:val="0"/>
                <w:sz w:val="24"/>
                <w:highlight w:val="none"/>
              </w:rPr>
              <w:t>废气经</w:t>
            </w:r>
            <w:r>
              <w:rPr>
                <w:rFonts w:hint="eastAsia"/>
                <w:kern w:val="0"/>
                <w:sz w:val="24"/>
                <w:highlight w:val="none"/>
              </w:rPr>
              <w:t>1根</w:t>
            </w:r>
            <w:r>
              <w:rPr>
                <w:kern w:val="0"/>
                <w:sz w:val="24"/>
                <w:highlight w:val="none"/>
              </w:rPr>
              <w:t>15m高的排气筒（P</w:t>
            </w:r>
            <w:r>
              <w:rPr>
                <w:rFonts w:hint="eastAsia"/>
                <w:kern w:val="0"/>
                <w:sz w:val="24"/>
                <w:highlight w:val="none"/>
              </w:rPr>
              <w:t>3</w:t>
            </w:r>
            <w:r>
              <w:rPr>
                <w:kern w:val="0"/>
                <w:sz w:val="24"/>
                <w:highlight w:val="none"/>
              </w:rPr>
              <w:t>）高空排放。</w:t>
            </w:r>
          </w:p>
          <w:p>
            <w:pPr>
              <w:spacing w:line="500" w:lineRule="exact"/>
              <w:ind w:left="420" w:leftChars="200"/>
              <w:rPr>
                <w:rFonts w:hint="eastAsia"/>
                <w:b/>
                <w:bCs/>
                <w:sz w:val="24"/>
              </w:rPr>
            </w:pPr>
            <w:r>
              <w:rPr>
                <w:rFonts w:hint="eastAsia"/>
                <w:b/>
                <w:bCs/>
                <w:sz w:val="24"/>
              </w:rPr>
              <w:t>1.2无组织废气</w:t>
            </w:r>
          </w:p>
          <w:p>
            <w:pPr>
              <w:spacing w:line="500" w:lineRule="exact"/>
              <w:ind w:firstLine="482" w:firstLineChars="200"/>
              <w:rPr>
                <w:rFonts w:hint="eastAsia"/>
                <w:b/>
                <w:bCs/>
                <w:color w:val="000000"/>
                <w:sz w:val="24"/>
                <w:lang w:bidi="en-US"/>
              </w:rPr>
            </w:pPr>
            <w:r>
              <w:rPr>
                <w:rFonts w:hint="eastAsia"/>
                <w:b/>
                <w:bCs/>
                <w:color w:val="000000"/>
                <w:sz w:val="24"/>
                <w:lang w:bidi="en-US"/>
              </w:rPr>
              <w:t>1.2.1备料粉尘</w:t>
            </w:r>
          </w:p>
          <w:p>
            <w:pPr>
              <w:spacing w:line="500" w:lineRule="exact"/>
              <w:ind w:firstLine="480" w:firstLineChars="200"/>
              <w:rPr>
                <w:rFonts w:hint="eastAsia"/>
                <w:sz w:val="24"/>
                <w:highlight w:val="none"/>
                <w:lang w:val="en-US" w:eastAsia="zh-CN"/>
              </w:rPr>
            </w:pPr>
            <w:r>
              <w:rPr>
                <w:rFonts w:hint="eastAsia"/>
                <w:sz w:val="24"/>
              </w:rPr>
              <w:t>本项目使用标准重量袋装玉米淀粉、小麦粉，备料过程是根据一批次产量计划，将需要的原料按重量从原料仓库取出，堆放于配料间，准备送到搅拌设备处上料。该过程在密闭配料间进行，由于原料袋表面会有少量粉状物料泄漏，故在搬动过程中会有少量粉尘产生，无组织逸散于配料</w:t>
            </w:r>
            <w:r>
              <w:rPr>
                <w:rFonts w:hint="eastAsia"/>
                <w:sz w:val="24"/>
                <w:highlight w:val="none"/>
              </w:rPr>
              <w:t>间内。根据建设单位实践经验，此工段粉尘产生系数按原料用量的1</w:t>
            </w:r>
            <w:r>
              <w:rPr>
                <w:sz w:val="24"/>
                <w:highlight w:val="none"/>
              </w:rPr>
              <w:t>‰</w:t>
            </w:r>
            <w:r>
              <w:rPr>
                <w:rFonts w:hint="eastAsia" w:ascii="Arial" w:hAnsi="Arial" w:cs="Arial"/>
                <w:sz w:val="24"/>
                <w:highlight w:val="none"/>
              </w:rPr>
              <w:t>计算，则约产生</w:t>
            </w:r>
            <w:r>
              <w:rPr>
                <w:rFonts w:hint="eastAsia"/>
                <w:sz w:val="24"/>
                <w:highlight w:val="none"/>
              </w:rPr>
              <w:t>0.3t/a</w:t>
            </w:r>
            <w:r>
              <w:rPr>
                <w:rFonts w:hint="eastAsia"/>
                <w:sz w:val="24"/>
                <w:highlight w:val="none"/>
                <w:lang w:eastAsia="zh-CN"/>
              </w:rPr>
              <w:t>，</w:t>
            </w:r>
            <w:r>
              <w:rPr>
                <w:rFonts w:hint="default"/>
                <w:sz w:val="24"/>
                <w:highlight w:val="none"/>
                <w:lang w:eastAsia="zh-CN"/>
              </w:rPr>
              <w:t>本项目</w:t>
            </w:r>
            <w:r>
              <w:rPr>
                <w:rFonts w:hint="default"/>
                <w:sz w:val="24"/>
                <w:highlight w:val="none"/>
              </w:rPr>
              <w:t>颗粒物在</w:t>
            </w:r>
            <w:r>
              <w:rPr>
                <w:rFonts w:hint="default"/>
                <w:sz w:val="24"/>
                <w:highlight w:val="none"/>
                <w:lang w:eastAsia="zh-CN"/>
              </w:rPr>
              <w:t>密闭厂</w:t>
            </w:r>
            <w:r>
              <w:rPr>
                <w:rFonts w:hint="default"/>
                <w:sz w:val="24"/>
                <w:highlight w:val="none"/>
              </w:rPr>
              <w:t>房内</w:t>
            </w:r>
            <w:r>
              <w:rPr>
                <w:rFonts w:hint="default"/>
                <w:sz w:val="24"/>
                <w:highlight w:val="none"/>
                <w:lang w:eastAsia="zh-CN"/>
              </w:rPr>
              <w:t>，厂房无法</w:t>
            </w:r>
            <w:r>
              <w:rPr>
                <w:rFonts w:hint="default"/>
                <w:sz w:val="24"/>
                <w:highlight w:val="none"/>
                <w:lang w:val="en-US" w:eastAsia="zh-CN"/>
              </w:rPr>
              <w:t>100%密闭，</w:t>
            </w:r>
            <w:r>
              <w:rPr>
                <w:rFonts w:hint="default"/>
                <w:sz w:val="24"/>
                <w:highlight w:val="none"/>
                <w:lang w:eastAsia="zh-CN"/>
              </w:rPr>
              <w:t>少数能逸散到车间外，逸散</w:t>
            </w:r>
            <w:r>
              <w:rPr>
                <w:rFonts w:hint="default"/>
                <w:sz w:val="24"/>
                <w:highlight w:val="none"/>
              </w:rPr>
              <w:t>率取</w:t>
            </w:r>
            <w:r>
              <w:rPr>
                <w:rFonts w:hint="default"/>
                <w:sz w:val="24"/>
                <w:highlight w:val="none"/>
                <w:lang w:val="en-US" w:eastAsia="zh-CN"/>
              </w:rPr>
              <w:t>10</w:t>
            </w:r>
            <w:r>
              <w:rPr>
                <w:rFonts w:hint="default"/>
                <w:sz w:val="24"/>
                <w:highlight w:val="none"/>
              </w:rPr>
              <w:t>%，则颗粒物无组织排放量为</w:t>
            </w:r>
            <w:r>
              <w:rPr>
                <w:rFonts w:hint="default"/>
                <w:sz w:val="24"/>
                <w:highlight w:val="none"/>
                <w:lang w:val="en-US" w:eastAsia="zh-CN"/>
              </w:rPr>
              <w:t>0.0</w:t>
            </w:r>
            <w:r>
              <w:rPr>
                <w:rFonts w:hint="eastAsia"/>
                <w:sz w:val="24"/>
                <w:highlight w:val="none"/>
                <w:lang w:val="en-US" w:eastAsia="zh-CN"/>
              </w:rPr>
              <w:t>3</w:t>
            </w:r>
            <w:r>
              <w:rPr>
                <w:rFonts w:hint="default"/>
                <w:sz w:val="24"/>
                <w:highlight w:val="none"/>
              </w:rPr>
              <w:t>t/a，年工作时间</w:t>
            </w:r>
            <w:r>
              <w:rPr>
                <w:rFonts w:hint="default"/>
                <w:sz w:val="24"/>
                <w:highlight w:val="none"/>
                <w:lang w:val="en-US" w:eastAsia="zh-CN"/>
              </w:rPr>
              <w:t>2400</w:t>
            </w:r>
            <w:r>
              <w:rPr>
                <w:rFonts w:hint="default"/>
                <w:sz w:val="24"/>
                <w:highlight w:val="none"/>
              </w:rPr>
              <w:t>h，排放速率为</w:t>
            </w:r>
            <w:r>
              <w:rPr>
                <w:rFonts w:hint="default"/>
                <w:sz w:val="24"/>
                <w:highlight w:val="none"/>
                <w:lang w:val="en-US" w:eastAsia="zh-CN"/>
              </w:rPr>
              <w:t>0.0</w:t>
            </w:r>
            <w:r>
              <w:rPr>
                <w:rFonts w:hint="eastAsia"/>
                <w:sz w:val="24"/>
                <w:highlight w:val="none"/>
                <w:lang w:val="en-US" w:eastAsia="zh-CN"/>
              </w:rPr>
              <w:t>125</w:t>
            </w:r>
            <w:r>
              <w:rPr>
                <w:rFonts w:hint="default"/>
                <w:sz w:val="24"/>
                <w:highlight w:val="none"/>
              </w:rPr>
              <w:t xml:space="preserve">kg/h，车间地面自然沉降的颗粒物定期清理。  </w:t>
            </w:r>
          </w:p>
          <w:p>
            <w:pPr>
              <w:spacing w:line="500" w:lineRule="exact"/>
              <w:ind w:firstLine="482" w:firstLineChars="200"/>
              <w:rPr>
                <w:b/>
                <w:bCs/>
                <w:sz w:val="24"/>
              </w:rPr>
            </w:pPr>
            <w:r>
              <w:rPr>
                <w:b/>
                <w:bCs/>
                <w:sz w:val="24"/>
              </w:rPr>
              <w:t>2、废水</w:t>
            </w:r>
          </w:p>
          <w:p>
            <w:pPr>
              <w:tabs>
                <w:tab w:val="left" w:pos="360"/>
                <w:tab w:val="left" w:pos="3225"/>
                <w:tab w:val="center" w:pos="4535"/>
              </w:tabs>
              <w:spacing w:line="500" w:lineRule="exact"/>
              <w:ind w:firstLine="480" w:firstLineChars="200"/>
              <w:rPr>
                <w:rFonts w:hint="eastAsia"/>
                <w:sz w:val="24"/>
                <w:highlight w:val="none"/>
              </w:rPr>
            </w:pPr>
            <w:r>
              <w:rPr>
                <w:sz w:val="24"/>
                <w:highlight w:val="none"/>
              </w:rPr>
              <w:t>本项目</w:t>
            </w:r>
            <w:r>
              <w:rPr>
                <w:rFonts w:hint="eastAsia"/>
                <w:sz w:val="24"/>
                <w:highlight w:val="none"/>
              </w:rPr>
              <w:t>废水</w:t>
            </w:r>
            <w:r>
              <w:rPr>
                <w:sz w:val="24"/>
                <w:highlight w:val="none"/>
              </w:rPr>
              <w:t>主要</w:t>
            </w:r>
            <w:r>
              <w:rPr>
                <w:rFonts w:hint="eastAsia"/>
                <w:sz w:val="24"/>
                <w:highlight w:val="none"/>
              </w:rPr>
              <w:t>为</w:t>
            </w:r>
            <w:r>
              <w:rPr>
                <w:sz w:val="24"/>
                <w:highlight w:val="none"/>
                <w:lang w:val="fr-FR"/>
              </w:rPr>
              <w:t>员工</w:t>
            </w:r>
            <w:r>
              <w:rPr>
                <w:rFonts w:hint="eastAsia"/>
                <w:sz w:val="24"/>
                <w:highlight w:val="none"/>
                <w:lang w:val="fr-FR"/>
              </w:rPr>
              <w:t>日常</w:t>
            </w:r>
            <w:r>
              <w:rPr>
                <w:sz w:val="24"/>
                <w:highlight w:val="none"/>
                <w:lang w:val="fr-FR"/>
              </w:rPr>
              <w:t>生活污水</w:t>
            </w:r>
            <w:r>
              <w:rPr>
                <w:rFonts w:hint="eastAsia"/>
                <w:sz w:val="24"/>
                <w:highlight w:val="none"/>
                <w:lang w:val="fr-FR"/>
              </w:rPr>
              <w:t>，本项目生产设备定期用铲子清理，地面定期打扫，故</w:t>
            </w:r>
            <w:r>
              <w:rPr>
                <w:rFonts w:hint="eastAsia"/>
                <w:sz w:val="24"/>
                <w:highlight w:val="none"/>
              </w:rPr>
              <w:t>无设备与地面冲洗废水。</w:t>
            </w:r>
          </w:p>
          <w:p>
            <w:pPr>
              <w:tabs>
                <w:tab w:val="left" w:pos="360"/>
                <w:tab w:val="left" w:pos="3225"/>
              </w:tabs>
              <w:spacing w:line="500" w:lineRule="exact"/>
              <w:ind w:firstLine="480" w:firstLineChars="200"/>
              <w:rPr>
                <w:sz w:val="24"/>
              </w:rPr>
            </w:pPr>
            <w:r>
              <w:rPr>
                <w:sz w:val="24"/>
                <w:highlight w:val="none"/>
              </w:rPr>
              <w:t>项目劳动定员为</w:t>
            </w:r>
            <w:r>
              <w:rPr>
                <w:rFonts w:hint="eastAsia"/>
                <w:sz w:val="24"/>
                <w:highlight w:val="none"/>
              </w:rPr>
              <w:t>20</w:t>
            </w:r>
            <w:r>
              <w:rPr>
                <w:sz w:val="24"/>
                <w:highlight w:val="none"/>
              </w:rPr>
              <w:t>人，均不</w:t>
            </w:r>
            <w:r>
              <w:rPr>
                <w:sz w:val="24"/>
              </w:rPr>
              <w:t>在厂区食宿，员工用水量按</w:t>
            </w:r>
            <w:r>
              <w:rPr>
                <w:rFonts w:hint="eastAsia"/>
                <w:sz w:val="24"/>
              </w:rPr>
              <w:t>4</w:t>
            </w:r>
            <w:r>
              <w:rPr>
                <w:sz w:val="24"/>
              </w:rPr>
              <w:t>0L/人·d计，则用水量为</w:t>
            </w:r>
            <w:r>
              <w:rPr>
                <w:rFonts w:hint="eastAsia"/>
                <w:sz w:val="24"/>
              </w:rPr>
              <w:t>240m</w:t>
            </w:r>
            <w:r>
              <w:rPr>
                <w:rFonts w:hint="eastAsia"/>
                <w:sz w:val="24"/>
                <w:vertAlign w:val="superscript"/>
              </w:rPr>
              <w:t>3</w:t>
            </w:r>
            <w:r>
              <w:rPr>
                <w:sz w:val="24"/>
              </w:rPr>
              <w:t>/a。废水产生总量按照用水量的80%计算，则废水产生量为</w:t>
            </w:r>
            <w:r>
              <w:rPr>
                <w:rFonts w:hint="eastAsia"/>
                <w:sz w:val="24"/>
              </w:rPr>
              <w:t>192m</w:t>
            </w:r>
            <w:r>
              <w:rPr>
                <w:rFonts w:hint="eastAsia"/>
                <w:sz w:val="24"/>
                <w:vertAlign w:val="superscript"/>
              </w:rPr>
              <w:t>3</w:t>
            </w:r>
            <w:r>
              <w:rPr>
                <w:sz w:val="24"/>
              </w:rPr>
              <w:t>/a</w:t>
            </w:r>
            <w:r>
              <w:rPr>
                <w:rFonts w:hint="eastAsia"/>
                <w:sz w:val="24"/>
              </w:rPr>
              <w:t>，即为0.64m</w:t>
            </w:r>
            <w:r>
              <w:rPr>
                <w:rFonts w:hint="eastAsia"/>
                <w:sz w:val="24"/>
                <w:vertAlign w:val="superscript"/>
              </w:rPr>
              <w:t>3</w:t>
            </w:r>
            <w:r>
              <w:rPr>
                <w:sz w:val="24"/>
              </w:rPr>
              <w:t>/</w:t>
            </w:r>
            <w:r>
              <w:rPr>
                <w:rFonts w:hint="eastAsia"/>
                <w:sz w:val="24"/>
              </w:rPr>
              <w:t>d</w:t>
            </w:r>
            <w:r>
              <w:rPr>
                <w:sz w:val="24"/>
              </w:rPr>
              <w:t>。</w:t>
            </w:r>
          </w:p>
          <w:p>
            <w:pPr>
              <w:tabs>
                <w:tab w:val="left" w:pos="360"/>
                <w:tab w:val="left" w:pos="3225"/>
              </w:tabs>
              <w:spacing w:line="500" w:lineRule="exact"/>
              <w:ind w:firstLine="482" w:firstLineChars="200"/>
              <w:rPr>
                <w:b/>
                <w:bCs/>
                <w:sz w:val="24"/>
                <w:lang w:val="fr-FR"/>
              </w:rPr>
            </w:pPr>
            <w:r>
              <w:rPr>
                <w:b/>
                <w:bCs/>
                <w:sz w:val="24"/>
              </w:rPr>
              <w:t>3、噪声</w:t>
            </w:r>
          </w:p>
          <w:p>
            <w:pPr>
              <w:tabs>
                <w:tab w:val="left" w:pos="5010"/>
              </w:tabs>
              <w:spacing w:line="500" w:lineRule="exact"/>
              <w:ind w:left="1" w:firstLine="450"/>
              <w:rPr>
                <w:b/>
                <w:bCs/>
                <w:szCs w:val="21"/>
              </w:rPr>
            </w:pPr>
            <w:r>
              <w:rPr>
                <w:bCs/>
                <w:sz w:val="24"/>
              </w:rPr>
              <w:t>主要为</w:t>
            </w:r>
            <w:r>
              <w:rPr>
                <w:rFonts w:hint="eastAsia"/>
                <w:sz w:val="24"/>
              </w:rPr>
              <w:t>挤出机</w:t>
            </w:r>
            <w:r>
              <w:rPr>
                <w:sz w:val="24"/>
              </w:rPr>
              <w:t>、</w:t>
            </w:r>
            <w:r>
              <w:rPr>
                <w:rFonts w:hint="eastAsia"/>
                <w:sz w:val="24"/>
              </w:rPr>
              <w:t>拌面机</w:t>
            </w:r>
            <w:r>
              <w:rPr>
                <w:sz w:val="24"/>
              </w:rPr>
              <w:t>、</w:t>
            </w:r>
            <w:r>
              <w:rPr>
                <w:rFonts w:hint="eastAsia"/>
                <w:sz w:val="24"/>
              </w:rPr>
              <w:t>膨化机、拌料机、成型机</w:t>
            </w:r>
            <w:r>
              <w:rPr>
                <w:bCs/>
                <w:sz w:val="24"/>
              </w:rPr>
              <w:t>等设备运行过程中产生的噪声，其噪声源强为7</w:t>
            </w:r>
            <w:r>
              <w:rPr>
                <w:rFonts w:hint="eastAsia"/>
                <w:bCs/>
                <w:sz w:val="24"/>
              </w:rPr>
              <w:t>5</w:t>
            </w:r>
            <w:r>
              <w:rPr>
                <w:bCs/>
                <w:sz w:val="24"/>
              </w:rPr>
              <w:t>～90dB（A），</w:t>
            </w:r>
            <w:r>
              <w:rPr>
                <w:sz w:val="24"/>
              </w:rPr>
              <w:t>主要噪声源强情况见下表。</w:t>
            </w:r>
          </w:p>
          <w:p>
            <w:pPr>
              <w:spacing w:before="156" w:beforeLines="50"/>
              <w:ind w:firstLine="2741" w:firstLineChars="1300"/>
              <w:rPr>
                <w:b/>
                <w:bCs/>
                <w:sz w:val="18"/>
                <w:szCs w:val="21"/>
              </w:rPr>
            </w:pPr>
            <w:r>
              <w:rPr>
                <w:b/>
                <w:bCs/>
                <w:szCs w:val="21"/>
              </w:rPr>
              <w:t>表</w:t>
            </w:r>
            <w:r>
              <w:rPr>
                <w:rFonts w:hint="eastAsia"/>
                <w:b/>
                <w:bCs/>
                <w:szCs w:val="21"/>
              </w:rPr>
              <w:t>26</w:t>
            </w:r>
            <w:r>
              <w:rPr>
                <w:b/>
                <w:bCs/>
                <w:szCs w:val="21"/>
              </w:rPr>
              <w:t xml:space="preserve">  本项目主要噪声源强表</w:t>
            </w:r>
          </w:p>
          <w:tbl>
            <w:tblPr>
              <w:tblStyle w:val="28"/>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277"/>
              <w:gridCol w:w="1567"/>
              <w:gridCol w:w="1485"/>
              <w:gridCol w:w="2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2160" w:type="dxa"/>
                  <w:vAlign w:val="center"/>
                </w:tcPr>
                <w:p>
                  <w:pPr>
                    <w:spacing w:line="0" w:lineRule="atLeast"/>
                    <w:jc w:val="center"/>
                    <w:rPr>
                      <w:szCs w:val="21"/>
                    </w:rPr>
                  </w:pPr>
                  <w:r>
                    <w:rPr>
                      <w:szCs w:val="21"/>
                    </w:rPr>
                    <w:t>名称</w:t>
                  </w:r>
                </w:p>
              </w:tc>
              <w:tc>
                <w:tcPr>
                  <w:tcW w:w="1277" w:type="dxa"/>
                  <w:vAlign w:val="center"/>
                </w:tcPr>
                <w:p>
                  <w:pPr>
                    <w:spacing w:line="0" w:lineRule="atLeast"/>
                    <w:jc w:val="center"/>
                    <w:rPr>
                      <w:szCs w:val="21"/>
                    </w:rPr>
                  </w:pPr>
                  <w:r>
                    <w:rPr>
                      <w:szCs w:val="21"/>
                    </w:rPr>
                    <w:t>设备数量（台·套）</w:t>
                  </w:r>
                </w:p>
              </w:tc>
              <w:tc>
                <w:tcPr>
                  <w:tcW w:w="1567" w:type="dxa"/>
                  <w:vAlign w:val="center"/>
                </w:tcPr>
                <w:p>
                  <w:pPr>
                    <w:pStyle w:val="37"/>
                    <w:adjustRightInd/>
                    <w:spacing w:line="240" w:lineRule="auto"/>
                    <w:ind w:firstLine="0"/>
                    <w:jc w:val="center"/>
                    <w:rPr>
                      <w:sz w:val="21"/>
                      <w:szCs w:val="21"/>
                    </w:rPr>
                  </w:pPr>
                  <w:r>
                    <w:rPr>
                      <w:sz w:val="21"/>
                      <w:szCs w:val="21"/>
                    </w:rPr>
                    <w:t>单台源强</w:t>
                  </w:r>
                </w:p>
                <w:p>
                  <w:pPr>
                    <w:pStyle w:val="37"/>
                    <w:adjustRightInd/>
                    <w:spacing w:line="240" w:lineRule="auto"/>
                    <w:ind w:firstLine="0"/>
                    <w:jc w:val="center"/>
                    <w:rPr>
                      <w:szCs w:val="21"/>
                    </w:rPr>
                  </w:pPr>
                  <w:r>
                    <w:rPr>
                      <w:sz w:val="21"/>
                      <w:szCs w:val="21"/>
                    </w:rPr>
                    <w:t>dB (A)</w:t>
                  </w:r>
                </w:p>
              </w:tc>
              <w:tc>
                <w:tcPr>
                  <w:tcW w:w="1485" w:type="dxa"/>
                  <w:vAlign w:val="center"/>
                </w:tcPr>
                <w:p>
                  <w:pPr>
                    <w:spacing w:line="0" w:lineRule="atLeast"/>
                    <w:jc w:val="center"/>
                    <w:rPr>
                      <w:szCs w:val="21"/>
                    </w:rPr>
                  </w:pPr>
                  <w:r>
                    <w:rPr>
                      <w:szCs w:val="21"/>
                    </w:rPr>
                    <w:t>位置</w:t>
                  </w:r>
                </w:p>
              </w:tc>
              <w:tc>
                <w:tcPr>
                  <w:tcW w:w="2551" w:type="dxa"/>
                  <w:vAlign w:val="center"/>
                </w:tcPr>
                <w:p>
                  <w:pPr>
                    <w:spacing w:line="0" w:lineRule="atLeast"/>
                    <w:jc w:val="center"/>
                    <w:rPr>
                      <w:szCs w:val="21"/>
                    </w:rPr>
                  </w:pPr>
                  <w:r>
                    <w:rPr>
                      <w:szCs w:val="21"/>
                    </w:rPr>
                    <w:t>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160" w:type="dxa"/>
                  <w:vAlign w:val="center"/>
                </w:tcPr>
                <w:p>
                  <w:pPr>
                    <w:jc w:val="center"/>
                    <w:rPr>
                      <w:rFonts w:hint="eastAsia"/>
                      <w:bCs/>
                      <w:szCs w:val="21"/>
                    </w:rPr>
                  </w:pPr>
                  <w:r>
                    <w:rPr>
                      <w:rFonts w:hint="eastAsia"/>
                      <w:szCs w:val="21"/>
                    </w:rPr>
                    <w:t>挤出机</w:t>
                  </w:r>
                </w:p>
              </w:tc>
              <w:tc>
                <w:tcPr>
                  <w:tcW w:w="1277" w:type="dxa"/>
                  <w:vAlign w:val="center"/>
                </w:tcPr>
                <w:p>
                  <w:pPr>
                    <w:jc w:val="center"/>
                    <w:rPr>
                      <w:bCs/>
                      <w:szCs w:val="21"/>
                    </w:rPr>
                  </w:pPr>
                  <w:r>
                    <w:rPr>
                      <w:rFonts w:hint="eastAsia"/>
                      <w:szCs w:val="21"/>
                    </w:rPr>
                    <w:t>8台</w:t>
                  </w:r>
                </w:p>
              </w:tc>
              <w:tc>
                <w:tcPr>
                  <w:tcW w:w="1567" w:type="dxa"/>
                  <w:vAlign w:val="center"/>
                </w:tcPr>
                <w:p>
                  <w:pPr>
                    <w:jc w:val="center"/>
                    <w:rPr>
                      <w:bCs/>
                      <w:szCs w:val="21"/>
                    </w:rPr>
                  </w:pPr>
                  <w:r>
                    <w:rPr>
                      <w:szCs w:val="21"/>
                    </w:rPr>
                    <w:t>80～90</w:t>
                  </w:r>
                </w:p>
              </w:tc>
              <w:tc>
                <w:tcPr>
                  <w:tcW w:w="1485" w:type="dxa"/>
                  <w:vMerge w:val="restart"/>
                  <w:vAlign w:val="center"/>
                </w:tcPr>
                <w:p>
                  <w:pPr>
                    <w:tabs>
                      <w:tab w:val="left" w:pos="5475"/>
                    </w:tabs>
                    <w:jc w:val="center"/>
                    <w:rPr>
                      <w:rFonts w:hint="eastAsia"/>
                      <w:bCs/>
                      <w:szCs w:val="21"/>
                    </w:rPr>
                  </w:pPr>
                  <w:r>
                    <w:rPr>
                      <w:rFonts w:hint="eastAsia"/>
                      <w:bCs/>
                      <w:szCs w:val="21"/>
                    </w:rPr>
                    <w:t>生产车间</w:t>
                  </w:r>
                </w:p>
                <w:p>
                  <w:pPr>
                    <w:tabs>
                      <w:tab w:val="left" w:pos="5475"/>
                    </w:tabs>
                    <w:jc w:val="center"/>
                    <w:rPr>
                      <w:rFonts w:hint="eastAsia"/>
                      <w:bCs/>
                      <w:szCs w:val="21"/>
                    </w:rPr>
                  </w:pPr>
                  <w:r>
                    <w:rPr>
                      <w:rFonts w:hint="eastAsia"/>
                      <w:bCs/>
                      <w:szCs w:val="21"/>
                    </w:rPr>
                    <w:t>内部</w:t>
                  </w:r>
                </w:p>
                <w:p>
                  <w:pPr>
                    <w:tabs>
                      <w:tab w:val="left" w:pos="5475"/>
                    </w:tabs>
                    <w:rPr>
                      <w:rFonts w:hint="eastAsia"/>
                      <w:bCs/>
                      <w:szCs w:val="21"/>
                      <w:highlight w:val="green"/>
                    </w:rPr>
                  </w:pPr>
                </w:p>
              </w:tc>
              <w:tc>
                <w:tcPr>
                  <w:tcW w:w="2551" w:type="dxa"/>
                  <w:vMerge w:val="restart"/>
                  <w:vAlign w:val="center"/>
                </w:tcPr>
                <w:p>
                  <w:pPr>
                    <w:tabs>
                      <w:tab w:val="left" w:pos="5475"/>
                    </w:tabs>
                    <w:jc w:val="center"/>
                    <w:rPr>
                      <w:bCs/>
                      <w:szCs w:val="21"/>
                    </w:rPr>
                  </w:pPr>
                  <w:r>
                    <w:rPr>
                      <w:szCs w:val="21"/>
                    </w:rPr>
                    <w:t>选用低噪声设备，设备安装时采取基础减振措施，车间墙体隔声措施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160" w:type="dxa"/>
                  <w:vAlign w:val="center"/>
                </w:tcPr>
                <w:p>
                  <w:pPr>
                    <w:jc w:val="center"/>
                    <w:rPr>
                      <w:bCs/>
                      <w:szCs w:val="21"/>
                    </w:rPr>
                  </w:pPr>
                  <w:r>
                    <w:rPr>
                      <w:rFonts w:hint="eastAsia"/>
                    </w:rPr>
                    <w:t>拌面机</w:t>
                  </w:r>
                </w:p>
              </w:tc>
              <w:tc>
                <w:tcPr>
                  <w:tcW w:w="1277" w:type="dxa"/>
                  <w:vAlign w:val="center"/>
                </w:tcPr>
                <w:p>
                  <w:pPr>
                    <w:jc w:val="center"/>
                    <w:rPr>
                      <w:bCs/>
                      <w:szCs w:val="21"/>
                    </w:rPr>
                  </w:pPr>
                  <w:r>
                    <w:rPr>
                      <w:rFonts w:hint="eastAsia"/>
                      <w:szCs w:val="21"/>
                    </w:rPr>
                    <w:t>3台</w:t>
                  </w:r>
                </w:p>
              </w:tc>
              <w:tc>
                <w:tcPr>
                  <w:tcW w:w="1567" w:type="dxa"/>
                  <w:vAlign w:val="center"/>
                </w:tcPr>
                <w:p>
                  <w:pPr>
                    <w:jc w:val="center"/>
                    <w:rPr>
                      <w:bCs/>
                      <w:szCs w:val="21"/>
                    </w:rPr>
                  </w:pPr>
                  <w:r>
                    <w:rPr>
                      <w:szCs w:val="21"/>
                    </w:rPr>
                    <w:t>80～85</w:t>
                  </w:r>
                </w:p>
              </w:tc>
              <w:tc>
                <w:tcPr>
                  <w:tcW w:w="1485" w:type="dxa"/>
                  <w:vMerge w:val="continue"/>
                  <w:vAlign w:val="center"/>
                </w:tcPr>
                <w:p>
                  <w:pPr>
                    <w:tabs>
                      <w:tab w:val="left" w:pos="5475"/>
                    </w:tabs>
                    <w:jc w:val="center"/>
                    <w:rPr>
                      <w:bCs/>
                      <w:szCs w:val="21"/>
                    </w:rPr>
                  </w:pPr>
                </w:p>
              </w:tc>
              <w:tc>
                <w:tcPr>
                  <w:tcW w:w="2551" w:type="dxa"/>
                  <w:vMerge w:val="continue"/>
                  <w:vAlign w:val="center"/>
                </w:tcPr>
                <w:p>
                  <w:pPr>
                    <w:tabs>
                      <w:tab w:val="left" w:pos="5475"/>
                    </w:tabs>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60" w:type="dxa"/>
                  <w:vAlign w:val="center"/>
                </w:tcPr>
                <w:p>
                  <w:pPr>
                    <w:jc w:val="center"/>
                    <w:rPr>
                      <w:bCs/>
                      <w:szCs w:val="21"/>
                    </w:rPr>
                  </w:pPr>
                  <w:r>
                    <w:rPr>
                      <w:rFonts w:hint="eastAsia"/>
                      <w:szCs w:val="21"/>
                    </w:rPr>
                    <w:t>膨化机</w:t>
                  </w:r>
                </w:p>
              </w:tc>
              <w:tc>
                <w:tcPr>
                  <w:tcW w:w="1277" w:type="dxa"/>
                  <w:vAlign w:val="center"/>
                </w:tcPr>
                <w:p>
                  <w:pPr>
                    <w:jc w:val="center"/>
                    <w:rPr>
                      <w:bCs/>
                      <w:szCs w:val="21"/>
                    </w:rPr>
                  </w:pPr>
                  <w:r>
                    <w:rPr>
                      <w:rFonts w:hint="eastAsia"/>
                    </w:rPr>
                    <w:t>6</w:t>
                  </w:r>
                  <w:r>
                    <w:t>台</w:t>
                  </w:r>
                </w:p>
              </w:tc>
              <w:tc>
                <w:tcPr>
                  <w:tcW w:w="1567" w:type="dxa"/>
                  <w:vAlign w:val="center"/>
                </w:tcPr>
                <w:p>
                  <w:pPr>
                    <w:jc w:val="center"/>
                    <w:rPr>
                      <w:bCs/>
                      <w:szCs w:val="21"/>
                    </w:rPr>
                  </w:pPr>
                  <w:r>
                    <w:rPr>
                      <w:rFonts w:hint="eastAsia"/>
                      <w:szCs w:val="21"/>
                    </w:rPr>
                    <w:t>80</w:t>
                  </w:r>
                  <w:r>
                    <w:rPr>
                      <w:szCs w:val="21"/>
                    </w:rPr>
                    <w:t>～</w:t>
                  </w:r>
                  <w:r>
                    <w:rPr>
                      <w:rFonts w:hint="eastAsia"/>
                      <w:szCs w:val="21"/>
                    </w:rPr>
                    <w:t>90</w:t>
                  </w:r>
                </w:p>
              </w:tc>
              <w:tc>
                <w:tcPr>
                  <w:tcW w:w="1485" w:type="dxa"/>
                  <w:vMerge w:val="continue"/>
                  <w:vAlign w:val="center"/>
                </w:tcPr>
                <w:p>
                  <w:pPr>
                    <w:tabs>
                      <w:tab w:val="left" w:pos="5475"/>
                    </w:tabs>
                    <w:jc w:val="center"/>
                    <w:rPr>
                      <w:bCs/>
                      <w:szCs w:val="21"/>
                    </w:rPr>
                  </w:pPr>
                </w:p>
              </w:tc>
              <w:tc>
                <w:tcPr>
                  <w:tcW w:w="2551" w:type="dxa"/>
                  <w:vMerge w:val="continue"/>
                  <w:vAlign w:val="center"/>
                </w:tcPr>
                <w:p>
                  <w:pPr>
                    <w:tabs>
                      <w:tab w:val="left" w:pos="5475"/>
                    </w:tabs>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60" w:type="dxa"/>
                  <w:vAlign w:val="center"/>
                </w:tcPr>
                <w:p>
                  <w:pPr>
                    <w:jc w:val="center"/>
                    <w:rPr>
                      <w:rFonts w:hint="eastAsia"/>
                      <w:szCs w:val="21"/>
                    </w:rPr>
                  </w:pPr>
                  <w:r>
                    <w:rPr>
                      <w:rFonts w:hint="eastAsia"/>
                      <w:szCs w:val="21"/>
                    </w:rPr>
                    <w:t>拌料机</w:t>
                  </w:r>
                </w:p>
              </w:tc>
              <w:tc>
                <w:tcPr>
                  <w:tcW w:w="1277" w:type="dxa"/>
                  <w:vAlign w:val="center"/>
                </w:tcPr>
                <w:p>
                  <w:pPr>
                    <w:jc w:val="center"/>
                    <w:rPr>
                      <w:rFonts w:hint="eastAsia"/>
                    </w:rPr>
                  </w:pPr>
                  <w:r>
                    <w:rPr>
                      <w:rFonts w:hint="eastAsia"/>
                      <w:szCs w:val="21"/>
                    </w:rPr>
                    <w:t>3台</w:t>
                  </w:r>
                </w:p>
              </w:tc>
              <w:tc>
                <w:tcPr>
                  <w:tcW w:w="1567" w:type="dxa"/>
                  <w:vAlign w:val="center"/>
                </w:tcPr>
                <w:p>
                  <w:pPr>
                    <w:jc w:val="center"/>
                    <w:rPr>
                      <w:rFonts w:hint="eastAsia"/>
                      <w:szCs w:val="21"/>
                    </w:rPr>
                  </w:pPr>
                  <w:r>
                    <w:rPr>
                      <w:rFonts w:hint="eastAsia"/>
                      <w:szCs w:val="21"/>
                    </w:rPr>
                    <w:t>75</w:t>
                  </w:r>
                  <w:r>
                    <w:rPr>
                      <w:szCs w:val="21"/>
                    </w:rPr>
                    <w:t>～85</w:t>
                  </w:r>
                </w:p>
              </w:tc>
              <w:tc>
                <w:tcPr>
                  <w:tcW w:w="1485" w:type="dxa"/>
                  <w:vMerge w:val="continue"/>
                  <w:vAlign w:val="center"/>
                </w:tcPr>
                <w:p>
                  <w:pPr>
                    <w:tabs>
                      <w:tab w:val="left" w:pos="5475"/>
                    </w:tabs>
                    <w:jc w:val="center"/>
                    <w:rPr>
                      <w:bCs/>
                      <w:szCs w:val="21"/>
                    </w:rPr>
                  </w:pPr>
                </w:p>
              </w:tc>
              <w:tc>
                <w:tcPr>
                  <w:tcW w:w="2551" w:type="dxa"/>
                  <w:vMerge w:val="continue"/>
                  <w:vAlign w:val="center"/>
                </w:tcPr>
                <w:p>
                  <w:pPr>
                    <w:tabs>
                      <w:tab w:val="left" w:pos="5475"/>
                    </w:tabs>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160" w:type="dxa"/>
                  <w:vAlign w:val="center"/>
                </w:tcPr>
                <w:p>
                  <w:pPr>
                    <w:jc w:val="center"/>
                    <w:rPr>
                      <w:rFonts w:hint="eastAsia"/>
                      <w:szCs w:val="21"/>
                    </w:rPr>
                  </w:pPr>
                  <w:r>
                    <w:rPr>
                      <w:rFonts w:hint="eastAsia"/>
                      <w:szCs w:val="21"/>
                    </w:rPr>
                    <w:t>成型机</w:t>
                  </w:r>
                </w:p>
              </w:tc>
              <w:tc>
                <w:tcPr>
                  <w:tcW w:w="1277" w:type="dxa"/>
                  <w:vAlign w:val="center"/>
                </w:tcPr>
                <w:p>
                  <w:pPr>
                    <w:tabs>
                      <w:tab w:val="left" w:pos="5475"/>
                    </w:tabs>
                    <w:jc w:val="center"/>
                    <w:rPr>
                      <w:rFonts w:hint="eastAsia"/>
                      <w:szCs w:val="21"/>
                    </w:rPr>
                  </w:pPr>
                  <w:r>
                    <w:rPr>
                      <w:rFonts w:hint="eastAsia"/>
                      <w:szCs w:val="21"/>
                    </w:rPr>
                    <w:t>6</w:t>
                  </w:r>
                  <w:r>
                    <w:rPr>
                      <w:szCs w:val="21"/>
                    </w:rPr>
                    <w:t>台</w:t>
                  </w:r>
                </w:p>
              </w:tc>
              <w:tc>
                <w:tcPr>
                  <w:tcW w:w="1567" w:type="dxa"/>
                  <w:vAlign w:val="center"/>
                </w:tcPr>
                <w:p>
                  <w:pPr>
                    <w:jc w:val="center"/>
                    <w:rPr>
                      <w:szCs w:val="21"/>
                    </w:rPr>
                  </w:pPr>
                  <w:r>
                    <w:rPr>
                      <w:rFonts w:hint="eastAsia"/>
                      <w:szCs w:val="21"/>
                    </w:rPr>
                    <w:t>80</w:t>
                  </w:r>
                  <w:r>
                    <w:rPr>
                      <w:szCs w:val="21"/>
                    </w:rPr>
                    <w:t>～</w:t>
                  </w:r>
                  <w:r>
                    <w:rPr>
                      <w:rFonts w:hint="eastAsia"/>
                      <w:szCs w:val="21"/>
                    </w:rPr>
                    <w:t>90</w:t>
                  </w:r>
                </w:p>
              </w:tc>
              <w:tc>
                <w:tcPr>
                  <w:tcW w:w="1485" w:type="dxa"/>
                  <w:vMerge w:val="continue"/>
                  <w:vAlign w:val="center"/>
                </w:tcPr>
                <w:p>
                  <w:pPr>
                    <w:tabs>
                      <w:tab w:val="left" w:pos="5475"/>
                    </w:tabs>
                    <w:jc w:val="center"/>
                    <w:rPr>
                      <w:rFonts w:hint="eastAsia"/>
                      <w:bCs/>
                      <w:szCs w:val="21"/>
                      <w:highlight w:val="green"/>
                    </w:rPr>
                  </w:pPr>
                </w:p>
              </w:tc>
              <w:tc>
                <w:tcPr>
                  <w:tcW w:w="2551" w:type="dxa"/>
                  <w:vMerge w:val="continue"/>
                  <w:vAlign w:val="center"/>
                </w:tcPr>
                <w:p>
                  <w:pPr>
                    <w:tabs>
                      <w:tab w:val="left" w:pos="5475"/>
                    </w:tabs>
                    <w:jc w:val="center"/>
                    <w:rPr>
                      <w:bCs/>
                      <w:szCs w:val="21"/>
                      <w:highlight w:val="gree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160" w:type="dxa"/>
                  <w:vAlign w:val="center"/>
                </w:tcPr>
                <w:p>
                  <w:pPr>
                    <w:jc w:val="center"/>
                    <w:rPr>
                      <w:rFonts w:hint="eastAsia"/>
                      <w:szCs w:val="21"/>
                    </w:rPr>
                  </w:pPr>
                  <w:r>
                    <w:rPr>
                      <w:rFonts w:hint="eastAsia"/>
                      <w:szCs w:val="21"/>
                    </w:rPr>
                    <w:t>撒粉机</w:t>
                  </w:r>
                </w:p>
              </w:tc>
              <w:tc>
                <w:tcPr>
                  <w:tcW w:w="1277" w:type="dxa"/>
                  <w:vAlign w:val="center"/>
                </w:tcPr>
                <w:p>
                  <w:pPr>
                    <w:tabs>
                      <w:tab w:val="left" w:pos="5475"/>
                    </w:tabs>
                    <w:jc w:val="center"/>
                    <w:rPr>
                      <w:rFonts w:hint="eastAsia"/>
                      <w:szCs w:val="21"/>
                    </w:rPr>
                  </w:pPr>
                  <w:r>
                    <w:rPr>
                      <w:rFonts w:hint="eastAsia"/>
                      <w:szCs w:val="21"/>
                    </w:rPr>
                    <w:t>3台</w:t>
                  </w:r>
                </w:p>
              </w:tc>
              <w:tc>
                <w:tcPr>
                  <w:tcW w:w="1567" w:type="dxa"/>
                  <w:vAlign w:val="center"/>
                </w:tcPr>
                <w:p>
                  <w:pPr>
                    <w:jc w:val="center"/>
                    <w:rPr>
                      <w:rFonts w:hint="eastAsia"/>
                      <w:szCs w:val="21"/>
                    </w:rPr>
                  </w:pPr>
                  <w:r>
                    <w:rPr>
                      <w:rFonts w:hint="eastAsia"/>
                      <w:szCs w:val="21"/>
                    </w:rPr>
                    <w:t>75</w:t>
                  </w:r>
                  <w:r>
                    <w:rPr>
                      <w:szCs w:val="21"/>
                    </w:rPr>
                    <w:t>～85</w:t>
                  </w:r>
                </w:p>
              </w:tc>
              <w:tc>
                <w:tcPr>
                  <w:tcW w:w="1485" w:type="dxa"/>
                  <w:vMerge w:val="continue"/>
                  <w:vAlign w:val="center"/>
                </w:tcPr>
                <w:p>
                  <w:pPr>
                    <w:tabs>
                      <w:tab w:val="left" w:pos="5475"/>
                    </w:tabs>
                    <w:jc w:val="center"/>
                    <w:rPr>
                      <w:rFonts w:hint="eastAsia"/>
                      <w:bCs/>
                      <w:szCs w:val="21"/>
                      <w:highlight w:val="green"/>
                    </w:rPr>
                  </w:pPr>
                </w:p>
              </w:tc>
              <w:tc>
                <w:tcPr>
                  <w:tcW w:w="2551" w:type="dxa"/>
                  <w:vMerge w:val="continue"/>
                  <w:vAlign w:val="center"/>
                </w:tcPr>
                <w:p>
                  <w:pPr>
                    <w:tabs>
                      <w:tab w:val="left" w:pos="5475"/>
                    </w:tabs>
                    <w:jc w:val="center"/>
                    <w:rPr>
                      <w:szCs w:val="21"/>
                      <w:highlight w:val="gree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160" w:type="dxa"/>
                  <w:vAlign w:val="center"/>
                </w:tcPr>
                <w:p>
                  <w:pPr>
                    <w:jc w:val="center"/>
                    <w:rPr>
                      <w:rFonts w:hint="eastAsia"/>
                      <w:szCs w:val="21"/>
                    </w:rPr>
                  </w:pPr>
                  <w:r>
                    <w:rPr>
                      <w:rFonts w:hint="eastAsia"/>
                      <w:szCs w:val="21"/>
                    </w:rPr>
                    <w:t>全自动包装机</w:t>
                  </w:r>
                </w:p>
              </w:tc>
              <w:tc>
                <w:tcPr>
                  <w:tcW w:w="1277" w:type="dxa"/>
                  <w:vAlign w:val="center"/>
                </w:tcPr>
                <w:p>
                  <w:pPr>
                    <w:tabs>
                      <w:tab w:val="left" w:pos="5475"/>
                    </w:tabs>
                    <w:jc w:val="center"/>
                    <w:rPr>
                      <w:rFonts w:hint="eastAsia"/>
                      <w:szCs w:val="21"/>
                    </w:rPr>
                  </w:pPr>
                  <w:r>
                    <w:rPr>
                      <w:rFonts w:hint="eastAsia"/>
                      <w:szCs w:val="21"/>
                    </w:rPr>
                    <w:t>15台</w:t>
                  </w:r>
                </w:p>
              </w:tc>
              <w:tc>
                <w:tcPr>
                  <w:tcW w:w="1567" w:type="dxa"/>
                  <w:vAlign w:val="center"/>
                </w:tcPr>
                <w:p>
                  <w:pPr>
                    <w:jc w:val="center"/>
                    <w:rPr>
                      <w:rFonts w:hint="eastAsia"/>
                      <w:szCs w:val="21"/>
                    </w:rPr>
                  </w:pPr>
                  <w:r>
                    <w:rPr>
                      <w:rFonts w:hint="eastAsia"/>
                      <w:szCs w:val="21"/>
                    </w:rPr>
                    <w:t>75</w:t>
                  </w:r>
                  <w:r>
                    <w:rPr>
                      <w:szCs w:val="21"/>
                    </w:rPr>
                    <w:t>～85</w:t>
                  </w:r>
                </w:p>
              </w:tc>
              <w:tc>
                <w:tcPr>
                  <w:tcW w:w="1485" w:type="dxa"/>
                  <w:vMerge w:val="continue"/>
                  <w:vAlign w:val="center"/>
                </w:tcPr>
                <w:p>
                  <w:pPr>
                    <w:tabs>
                      <w:tab w:val="left" w:pos="5475"/>
                    </w:tabs>
                    <w:jc w:val="center"/>
                    <w:rPr>
                      <w:rFonts w:hint="eastAsia"/>
                      <w:bCs/>
                      <w:szCs w:val="21"/>
                      <w:highlight w:val="green"/>
                    </w:rPr>
                  </w:pPr>
                </w:p>
              </w:tc>
              <w:tc>
                <w:tcPr>
                  <w:tcW w:w="2551" w:type="dxa"/>
                  <w:vMerge w:val="continue"/>
                  <w:vAlign w:val="center"/>
                </w:tcPr>
                <w:p>
                  <w:pPr>
                    <w:tabs>
                      <w:tab w:val="left" w:pos="5475"/>
                    </w:tabs>
                    <w:jc w:val="center"/>
                    <w:rPr>
                      <w:szCs w:val="21"/>
                      <w:highlight w:val="green"/>
                    </w:rPr>
                  </w:pPr>
                </w:p>
              </w:tc>
            </w:tr>
          </w:tbl>
          <w:p>
            <w:pPr>
              <w:tabs>
                <w:tab w:val="left" w:pos="5010"/>
              </w:tabs>
              <w:spacing w:line="500" w:lineRule="exact"/>
              <w:ind w:left="1" w:firstLine="450"/>
              <w:rPr>
                <w:b/>
                <w:bCs/>
                <w:sz w:val="24"/>
              </w:rPr>
            </w:pPr>
            <w:r>
              <w:rPr>
                <w:b/>
                <w:bCs/>
                <w:sz w:val="24"/>
              </w:rPr>
              <w:t>4、固废</w:t>
            </w:r>
          </w:p>
          <w:p>
            <w:pPr>
              <w:tabs>
                <w:tab w:val="left" w:pos="5010"/>
              </w:tabs>
              <w:ind w:firstLine="448"/>
              <w:rPr>
                <w:rFonts w:hint="eastAsia"/>
                <w:sz w:val="24"/>
              </w:rPr>
            </w:pPr>
            <w:r>
              <w:rPr>
                <w:sz w:val="24"/>
              </w:rPr>
              <w:t>4.1</w:t>
            </w:r>
            <w:r>
              <w:rPr>
                <w:rFonts w:hint="eastAsia"/>
                <w:sz w:val="24"/>
                <w:lang w:val="fr-FR"/>
              </w:rPr>
              <w:t>包装废料</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sz w:val="24"/>
              </w:rPr>
            </w:pPr>
            <w:r>
              <w:rPr>
                <w:rFonts w:hint="eastAsia"/>
                <w:sz w:val="24"/>
              </w:rPr>
              <w:t>4</w:t>
            </w:r>
            <w:r>
              <w:rPr>
                <w:sz w:val="24"/>
              </w:rPr>
              <w:t>.1.1</w:t>
            </w:r>
            <w:r>
              <w:rPr>
                <w:rFonts w:hint="eastAsia"/>
                <w:sz w:val="24"/>
              </w:rPr>
              <w:t>原料包装废料</w:t>
            </w:r>
          </w:p>
          <w:p>
            <w:pPr>
              <w:spacing w:line="500" w:lineRule="exact"/>
              <w:ind w:firstLine="480" w:firstLineChars="200"/>
              <w:rPr>
                <w:sz w:val="24"/>
              </w:rPr>
            </w:pPr>
            <w:r>
              <w:rPr>
                <w:rFonts w:hint="eastAsia"/>
                <w:sz w:val="24"/>
              </w:rPr>
              <w:t>项目外购原料均为袋装，在原料使用过程中均会产生一定量包装废料，按每个包装袋0.1kg计算，标准袋每袋物料100kg，则原料包装废料产生量为3t/a，主要成分为塑料。</w:t>
            </w:r>
          </w:p>
          <w:p>
            <w:pPr>
              <w:spacing w:line="500" w:lineRule="exact"/>
              <w:ind w:firstLine="480" w:firstLineChars="200"/>
              <w:rPr>
                <w:rFonts w:hint="eastAsia"/>
                <w:bCs/>
                <w:sz w:val="24"/>
              </w:rPr>
            </w:pPr>
            <w:r>
              <w:rPr>
                <w:bCs/>
                <w:sz w:val="24"/>
              </w:rPr>
              <w:t>4.1.</w:t>
            </w:r>
            <w:r>
              <w:rPr>
                <w:rFonts w:hint="eastAsia"/>
                <w:bCs/>
                <w:sz w:val="24"/>
              </w:rPr>
              <w:t>2产品包装废料</w:t>
            </w:r>
          </w:p>
          <w:p>
            <w:pPr>
              <w:spacing w:line="500" w:lineRule="exact"/>
              <w:ind w:firstLine="480" w:firstLineChars="200"/>
              <w:rPr>
                <w:rFonts w:hint="eastAsia"/>
                <w:bCs/>
                <w:sz w:val="24"/>
              </w:rPr>
            </w:pPr>
            <w:r>
              <w:rPr>
                <w:rFonts w:hint="eastAsia"/>
                <w:bCs/>
                <w:sz w:val="24"/>
              </w:rPr>
              <w:t>项目产品包装分为内包和外包，项目将半成品内包采用塑料袋，外包采用纸箱。根据建设单位提供资料，项目包装袋和包装箱预计用量500吨，损耗约1%，故包装工段包装废料产生量为5t/a，主要成分为塑料、纸。</w:t>
            </w:r>
          </w:p>
          <w:p>
            <w:pPr>
              <w:spacing w:line="500" w:lineRule="exact"/>
              <w:ind w:firstLine="480" w:firstLineChars="200"/>
              <w:rPr>
                <w:rFonts w:hint="eastAsia"/>
                <w:bCs/>
                <w:sz w:val="24"/>
              </w:rPr>
            </w:pPr>
            <w:r>
              <w:rPr>
                <w:rFonts w:hint="eastAsia"/>
                <w:bCs/>
                <w:sz w:val="24"/>
              </w:rPr>
              <w:t>综上所述，项目包装废料产生总量为8t/a，主要成分为塑料、纸，经厂区内集中收集后外售废品回收综合利用。</w:t>
            </w:r>
          </w:p>
          <w:p>
            <w:pPr>
              <w:ind w:firstLine="480" w:firstLineChars="200"/>
              <w:rPr>
                <w:rFonts w:hint="eastAsia"/>
                <w:sz w:val="24"/>
              </w:rPr>
            </w:pPr>
            <w:r>
              <w:rPr>
                <w:rFonts w:hint="eastAsia"/>
                <w:sz w:val="24"/>
              </w:rPr>
              <w:t>4</w:t>
            </w:r>
            <w:r>
              <w:rPr>
                <w:sz w:val="24"/>
              </w:rPr>
              <w:t>.</w:t>
            </w:r>
            <w:r>
              <w:rPr>
                <w:rFonts w:hint="eastAsia"/>
                <w:sz w:val="24"/>
              </w:rPr>
              <w:t>2废油和废油渣</w:t>
            </w:r>
          </w:p>
          <w:p>
            <w:pPr>
              <w:tabs>
                <w:tab w:val="left" w:pos="360"/>
                <w:tab w:val="left" w:pos="3225"/>
              </w:tabs>
              <w:spacing w:line="500" w:lineRule="exact"/>
              <w:ind w:firstLine="480" w:firstLineChars="200"/>
              <w:rPr>
                <w:rFonts w:hint="eastAsia"/>
                <w:sz w:val="24"/>
              </w:rPr>
            </w:pPr>
            <w:r>
              <w:rPr>
                <w:rFonts w:hint="eastAsia"/>
                <w:sz w:val="24"/>
              </w:rPr>
              <w:t>本项目油炸过程会产生部分废油和废油渣。依据《食用植物油煎炸过程中的卫生标准》（GB7102.1-2003）中的有关规定，油炸使用的植物油酸价（KOH）超过5mg/g即为废油。根据建设单位提供资料，油炸锅植物油在线量为1.2t，每天结束油炸工序时需要用炸锅上的筛网过滤油炸（主要是废油渣），根据建设单位提供数据，其产生量约占产品年产量的0.1%，即3t/a。过滤后的植物油酸价不超过5mg/g时，则添加新油至1.2t，循环使用，若超过5mg/g时，则进</w:t>
            </w:r>
            <w:r>
              <w:rPr>
                <w:rFonts w:hint="eastAsia"/>
                <w:sz w:val="24"/>
                <w:highlight w:val="none"/>
              </w:rPr>
              <w:t>行更换，一般更换频次为2次/月，废</w:t>
            </w:r>
            <w:r>
              <w:rPr>
                <w:rFonts w:hint="eastAsia"/>
                <w:sz w:val="24"/>
              </w:rPr>
              <w:t>油产生量为1.2t/次，年废油产生量为24吨。</w:t>
            </w:r>
          </w:p>
          <w:p>
            <w:pPr>
              <w:tabs>
                <w:tab w:val="left" w:pos="360"/>
                <w:tab w:val="left" w:pos="3225"/>
              </w:tabs>
              <w:ind w:firstLine="480" w:firstLineChars="200"/>
              <w:rPr>
                <w:sz w:val="24"/>
              </w:rPr>
            </w:pPr>
            <w:r>
              <w:rPr>
                <w:sz w:val="24"/>
              </w:rPr>
              <w:t>4.</w:t>
            </w:r>
            <w:r>
              <w:rPr>
                <w:rFonts w:hint="eastAsia"/>
                <w:sz w:val="24"/>
              </w:rPr>
              <w:t>3</w:t>
            </w:r>
            <w:r>
              <w:rPr>
                <w:sz w:val="24"/>
              </w:rPr>
              <w:t>生活垃圾</w:t>
            </w:r>
          </w:p>
          <w:p>
            <w:pPr>
              <w:spacing w:line="500" w:lineRule="exact"/>
              <w:ind w:firstLine="470" w:firstLineChars="196"/>
            </w:pPr>
            <w:r>
              <w:rPr>
                <w:sz w:val="24"/>
              </w:rPr>
              <w:t>本项目劳动定员</w:t>
            </w:r>
            <w:r>
              <w:rPr>
                <w:rFonts w:hint="eastAsia"/>
                <w:sz w:val="24"/>
              </w:rPr>
              <w:t>20</w:t>
            </w:r>
            <w:r>
              <w:rPr>
                <w:sz w:val="24"/>
              </w:rPr>
              <w:t>人</w:t>
            </w:r>
            <w:r>
              <w:rPr>
                <w:sz w:val="24"/>
                <w:highlight w:val="none"/>
              </w:rPr>
              <w:t>，年工作</w:t>
            </w:r>
            <w:r>
              <w:rPr>
                <w:rFonts w:hint="eastAsia"/>
                <w:sz w:val="24"/>
                <w:highlight w:val="none"/>
                <w:lang w:val="en-US" w:eastAsia="zh-CN"/>
              </w:rPr>
              <w:t>3</w:t>
            </w:r>
            <w:r>
              <w:rPr>
                <w:rFonts w:hint="eastAsia"/>
                <w:sz w:val="24"/>
                <w:highlight w:val="none"/>
              </w:rPr>
              <w:t>00</w:t>
            </w:r>
            <w:r>
              <w:rPr>
                <w:sz w:val="24"/>
                <w:highlight w:val="none"/>
              </w:rPr>
              <w:t>天，生活垃圾产生量按0.67kg/人·d计算，则产生量为</w:t>
            </w:r>
            <w:r>
              <w:rPr>
                <w:rFonts w:hint="eastAsia"/>
                <w:sz w:val="24"/>
                <w:highlight w:val="none"/>
                <w:lang w:eastAsia="zh-CN"/>
              </w:rPr>
              <w:t>4.02</w:t>
            </w:r>
            <w:r>
              <w:rPr>
                <w:rFonts w:hint="eastAsia"/>
                <w:sz w:val="24"/>
                <w:highlight w:val="none"/>
                <w:lang w:val="en-US" w:eastAsia="zh-CN"/>
              </w:rPr>
              <w:t>t/a</w:t>
            </w:r>
            <w:r>
              <w:rPr>
                <w:sz w:val="24"/>
                <w:highlight w:val="none"/>
              </w:rPr>
              <w:t>。</w:t>
            </w:r>
          </w:p>
        </w:tc>
      </w:tr>
    </w:tbl>
    <w:p>
      <w:pPr>
        <w:spacing w:line="360" w:lineRule="auto"/>
        <w:outlineLvl w:val="0"/>
        <w:rPr>
          <w:b/>
          <w:sz w:val="24"/>
          <w:highlight w:val="red"/>
        </w:rPr>
      </w:pPr>
      <w:r>
        <w:rPr>
          <w:b/>
          <w:sz w:val="28"/>
          <w:szCs w:val="28"/>
        </w:rPr>
        <w:t>项目主要污染物产生及预计排放情况</w:t>
      </w:r>
    </w:p>
    <w:tbl>
      <w:tblPr>
        <w:tblStyle w:val="28"/>
        <w:tblW w:w="94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37"/>
        <w:gridCol w:w="986"/>
        <w:gridCol w:w="1361"/>
        <w:gridCol w:w="742"/>
        <w:gridCol w:w="788"/>
        <w:gridCol w:w="2280"/>
        <w:gridCol w:w="22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84" w:hRule="atLeast"/>
          <w:jc w:val="center"/>
        </w:trPr>
        <w:tc>
          <w:tcPr>
            <w:tcW w:w="1037" w:type="dxa"/>
            <w:tcBorders>
              <w:top w:val="single" w:color="auto" w:sz="6" w:space="0"/>
              <w:left w:val="single" w:color="auto" w:sz="6" w:space="0"/>
              <w:bottom w:val="single" w:color="auto" w:sz="6" w:space="0"/>
              <w:tl2br w:val="single" w:color="auto" w:sz="6" w:space="0"/>
            </w:tcBorders>
            <w:vAlign w:val="center"/>
          </w:tcPr>
          <w:p>
            <w:pPr>
              <w:spacing w:line="420" w:lineRule="exact"/>
              <w:ind w:firstLine="360" w:firstLineChars="150"/>
              <w:rPr>
                <w:sz w:val="24"/>
              </w:rPr>
            </w:pPr>
            <w:r>
              <w:rPr>
                <w:sz w:val="24"/>
              </w:rPr>
              <w:t>内容</w:t>
            </w:r>
          </w:p>
          <w:p>
            <w:pPr>
              <w:spacing w:line="420" w:lineRule="exact"/>
              <w:rPr>
                <w:sz w:val="24"/>
              </w:rPr>
            </w:pPr>
            <w:r>
              <w:rPr>
                <w:sz w:val="24"/>
              </w:rPr>
              <w:t>类型</w:t>
            </w:r>
          </w:p>
        </w:tc>
        <w:tc>
          <w:tcPr>
            <w:tcW w:w="2347" w:type="dxa"/>
            <w:gridSpan w:val="2"/>
            <w:tcBorders>
              <w:top w:val="single" w:color="auto" w:sz="6" w:space="0"/>
              <w:bottom w:val="single" w:color="auto" w:sz="6" w:space="0"/>
            </w:tcBorders>
            <w:vAlign w:val="center"/>
          </w:tcPr>
          <w:p>
            <w:pPr>
              <w:spacing w:line="420" w:lineRule="exact"/>
              <w:jc w:val="center"/>
              <w:rPr>
                <w:sz w:val="24"/>
              </w:rPr>
            </w:pPr>
            <w:r>
              <w:rPr>
                <w:sz w:val="24"/>
              </w:rPr>
              <w:t>排放源</w:t>
            </w:r>
          </w:p>
        </w:tc>
        <w:tc>
          <w:tcPr>
            <w:tcW w:w="1530" w:type="dxa"/>
            <w:gridSpan w:val="2"/>
            <w:tcBorders>
              <w:top w:val="single" w:color="auto" w:sz="6" w:space="0"/>
              <w:bottom w:val="single" w:color="auto" w:sz="6" w:space="0"/>
            </w:tcBorders>
            <w:vAlign w:val="center"/>
          </w:tcPr>
          <w:p>
            <w:pPr>
              <w:spacing w:line="420" w:lineRule="exact"/>
              <w:jc w:val="center"/>
              <w:rPr>
                <w:sz w:val="24"/>
              </w:rPr>
            </w:pPr>
            <w:r>
              <w:rPr>
                <w:sz w:val="24"/>
              </w:rPr>
              <w:t>污染物</w:t>
            </w:r>
          </w:p>
          <w:p>
            <w:pPr>
              <w:spacing w:line="420" w:lineRule="exact"/>
              <w:jc w:val="center"/>
              <w:rPr>
                <w:sz w:val="24"/>
              </w:rPr>
            </w:pPr>
            <w:r>
              <w:rPr>
                <w:sz w:val="24"/>
              </w:rPr>
              <w:t>名称</w:t>
            </w:r>
          </w:p>
        </w:tc>
        <w:tc>
          <w:tcPr>
            <w:tcW w:w="2280" w:type="dxa"/>
            <w:tcBorders>
              <w:top w:val="single" w:color="auto" w:sz="6" w:space="0"/>
              <w:bottom w:val="single" w:color="auto" w:sz="6" w:space="0"/>
            </w:tcBorders>
            <w:vAlign w:val="center"/>
          </w:tcPr>
          <w:p>
            <w:pPr>
              <w:spacing w:line="420" w:lineRule="exact"/>
              <w:jc w:val="center"/>
              <w:rPr>
                <w:sz w:val="24"/>
              </w:rPr>
            </w:pPr>
            <w:r>
              <w:rPr>
                <w:sz w:val="24"/>
              </w:rPr>
              <w:t>处理前</w:t>
            </w:r>
            <w:r>
              <w:rPr>
                <w:rFonts w:hint="eastAsia"/>
                <w:sz w:val="24"/>
              </w:rPr>
              <w:t>浓度及</w:t>
            </w:r>
            <w:r>
              <w:rPr>
                <w:sz w:val="24"/>
              </w:rPr>
              <w:t>产生量</w:t>
            </w:r>
          </w:p>
        </w:tc>
        <w:tc>
          <w:tcPr>
            <w:tcW w:w="2247" w:type="dxa"/>
            <w:tcBorders>
              <w:top w:val="single" w:color="auto" w:sz="6" w:space="0"/>
              <w:bottom w:val="single" w:color="auto" w:sz="6" w:space="0"/>
              <w:right w:val="single" w:color="auto" w:sz="6" w:space="0"/>
            </w:tcBorders>
            <w:vAlign w:val="center"/>
          </w:tcPr>
          <w:p>
            <w:pPr>
              <w:spacing w:line="420" w:lineRule="exact"/>
              <w:jc w:val="center"/>
              <w:rPr>
                <w:sz w:val="24"/>
              </w:rPr>
            </w:pPr>
            <w:r>
              <w:rPr>
                <w:sz w:val="24"/>
              </w:rPr>
              <w:t>处理后排放浓度及排放量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24" w:hRule="atLeast"/>
          <w:jc w:val="center"/>
        </w:trPr>
        <w:tc>
          <w:tcPr>
            <w:tcW w:w="1037" w:type="dxa"/>
            <w:vMerge w:val="restart"/>
            <w:tcBorders>
              <w:top w:val="single" w:color="auto" w:sz="4" w:space="0"/>
              <w:left w:val="single" w:color="auto" w:sz="6" w:space="0"/>
              <w:right w:val="single" w:color="auto" w:sz="6" w:space="0"/>
            </w:tcBorders>
            <w:vAlign w:val="center"/>
          </w:tcPr>
          <w:p>
            <w:pPr>
              <w:spacing w:line="420" w:lineRule="exact"/>
              <w:jc w:val="center"/>
              <w:rPr>
                <w:sz w:val="24"/>
              </w:rPr>
            </w:pPr>
            <w:r>
              <w:rPr>
                <w:sz w:val="24"/>
              </w:rPr>
              <w:t>大气</w:t>
            </w:r>
          </w:p>
          <w:p>
            <w:pPr>
              <w:spacing w:line="420" w:lineRule="exact"/>
              <w:jc w:val="center"/>
              <w:rPr>
                <w:sz w:val="24"/>
              </w:rPr>
            </w:pPr>
            <w:r>
              <w:rPr>
                <w:sz w:val="24"/>
              </w:rPr>
              <w:t>污染物</w:t>
            </w:r>
          </w:p>
        </w:tc>
        <w:tc>
          <w:tcPr>
            <w:tcW w:w="986" w:type="dxa"/>
            <w:tcBorders>
              <w:top w:val="single" w:color="auto" w:sz="4"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施工期</w:t>
            </w:r>
          </w:p>
        </w:tc>
        <w:tc>
          <w:tcPr>
            <w:tcW w:w="1361" w:type="dxa"/>
            <w:tcBorders>
              <w:top w:val="single" w:color="auto" w:sz="4"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物料堆场等</w:t>
            </w:r>
          </w:p>
        </w:tc>
        <w:tc>
          <w:tcPr>
            <w:tcW w:w="1530" w:type="dxa"/>
            <w:gridSpan w:val="2"/>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扬尘</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无组织排放</w:t>
            </w:r>
          </w:p>
        </w:tc>
        <w:tc>
          <w:tcPr>
            <w:tcW w:w="2247"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81" w:hRule="atLeast"/>
          <w:jc w:val="center"/>
        </w:trPr>
        <w:tc>
          <w:tcPr>
            <w:tcW w:w="1037" w:type="dxa"/>
            <w:vMerge w:val="continue"/>
            <w:tcBorders>
              <w:left w:val="single" w:color="auto" w:sz="6" w:space="0"/>
              <w:right w:val="single" w:color="auto" w:sz="6" w:space="0"/>
            </w:tcBorders>
            <w:vAlign w:val="center"/>
          </w:tcPr>
          <w:p>
            <w:pPr>
              <w:spacing w:line="420" w:lineRule="exact"/>
              <w:jc w:val="center"/>
            </w:pPr>
          </w:p>
        </w:tc>
        <w:tc>
          <w:tcPr>
            <w:tcW w:w="986" w:type="dxa"/>
            <w:vMerge w:val="restart"/>
            <w:tcBorders>
              <w:top w:val="single" w:color="auto" w:sz="4"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运营期</w:t>
            </w:r>
          </w:p>
        </w:tc>
        <w:tc>
          <w:tcPr>
            <w:tcW w:w="1361" w:type="dxa"/>
            <w:tcBorders>
              <w:top w:val="single" w:color="auto" w:sz="4"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备料</w:t>
            </w:r>
          </w:p>
        </w:tc>
        <w:tc>
          <w:tcPr>
            <w:tcW w:w="742"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粉尘</w:t>
            </w:r>
          </w:p>
        </w:tc>
        <w:tc>
          <w:tcPr>
            <w:tcW w:w="788"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无组织</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0.</w:t>
            </w:r>
            <w:r>
              <w:rPr>
                <w:rFonts w:hint="eastAsia"/>
                <w:sz w:val="24"/>
                <w:lang w:val="en-US" w:eastAsia="zh-CN"/>
              </w:rPr>
              <w:t>0</w:t>
            </w:r>
            <w:r>
              <w:rPr>
                <w:rFonts w:hint="eastAsia"/>
                <w:sz w:val="24"/>
              </w:rPr>
              <w:t>3t/a</w:t>
            </w:r>
          </w:p>
        </w:tc>
        <w:tc>
          <w:tcPr>
            <w:tcW w:w="2247"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0.</w:t>
            </w:r>
            <w:r>
              <w:rPr>
                <w:rFonts w:hint="eastAsia"/>
                <w:sz w:val="24"/>
                <w:lang w:val="en-US" w:eastAsia="zh-CN"/>
              </w:rPr>
              <w:t>0</w:t>
            </w:r>
            <w:r>
              <w:rPr>
                <w:rFonts w:hint="eastAsia"/>
                <w:sz w:val="24"/>
              </w:rPr>
              <w:t>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94" w:hRule="atLeast"/>
          <w:jc w:val="center"/>
        </w:trPr>
        <w:tc>
          <w:tcPr>
            <w:tcW w:w="1037" w:type="dxa"/>
            <w:vMerge w:val="continue"/>
            <w:tcBorders>
              <w:left w:val="single" w:color="auto" w:sz="6" w:space="0"/>
              <w:right w:val="single" w:color="auto" w:sz="6" w:space="0"/>
            </w:tcBorders>
            <w:vAlign w:val="center"/>
          </w:tcPr>
          <w:p>
            <w:pPr>
              <w:spacing w:line="440" w:lineRule="exact"/>
              <w:jc w:val="center"/>
            </w:pPr>
          </w:p>
        </w:tc>
        <w:tc>
          <w:tcPr>
            <w:tcW w:w="986" w:type="dxa"/>
            <w:vMerge w:val="continue"/>
            <w:tcBorders>
              <w:left w:val="single" w:color="auto" w:sz="6" w:space="0"/>
              <w:right w:val="single" w:color="auto" w:sz="6" w:space="0"/>
            </w:tcBorders>
            <w:vAlign w:val="center"/>
          </w:tcPr>
          <w:p>
            <w:pPr>
              <w:spacing w:line="420" w:lineRule="exact"/>
              <w:jc w:val="center"/>
              <w:rPr>
                <w:sz w:val="24"/>
              </w:rPr>
            </w:pPr>
          </w:p>
        </w:tc>
        <w:tc>
          <w:tcPr>
            <w:tcW w:w="1361"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拌面投料</w:t>
            </w:r>
          </w:p>
        </w:tc>
        <w:tc>
          <w:tcPr>
            <w:tcW w:w="742"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粉尘</w:t>
            </w:r>
          </w:p>
        </w:tc>
        <w:tc>
          <w:tcPr>
            <w:tcW w:w="788"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有组织</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sz w:val="24"/>
                <w:highlight w:val="red"/>
              </w:rPr>
            </w:pPr>
            <w:r>
              <w:rPr>
                <w:rFonts w:hint="eastAsia"/>
                <w:sz w:val="24"/>
              </w:rPr>
              <w:t>767mg/m</w:t>
            </w:r>
            <w:r>
              <w:rPr>
                <w:rFonts w:hint="eastAsia"/>
                <w:sz w:val="24"/>
                <w:vertAlign w:val="superscript"/>
              </w:rPr>
              <w:t>3</w:t>
            </w:r>
            <w:r>
              <w:rPr>
                <w:rFonts w:hint="eastAsia"/>
                <w:sz w:val="24"/>
              </w:rPr>
              <w:t>，4.6t/a</w:t>
            </w:r>
          </w:p>
        </w:tc>
        <w:tc>
          <w:tcPr>
            <w:tcW w:w="2247" w:type="dxa"/>
            <w:tcBorders>
              <w:top w:val="single" w:color="auto" w:sz="6" w:space="0"/>
              <w:left w:val="single" w:color="auto" w:sz="6" w:space="0"/>
              <w:right w:val="single" w:color="auto" w:sz="6" w:space="0"/>
            </w:tcBorders>
            <w:vAlign w:val="center"/>
          </w:tcPr>
          <w:p>
            <w:pPr>
              <w:spacing w:line="420" w:lineRule="exact"/>
              <w:jc w:val="center"/>
              <w:rPr>
                <w:rFonts w:hint="eastAsia"/>
                <w:sz w:val="24"/>
                <w:highlight w:val="red"/>
              </w:rPr>
            </w:pPr>
            <w:r>
              <w:rPr>
                <w:rFonts w:hint="eastAsia"/>
                <w:sz w:val="24"/>
              </w:rPr>
              <w:t>7.67mg/m</w:t>
            </w:r>
            <w:r>
              <w:rPr>
                <w:rFonts w:hint="eastAsia"/>
                <w:sz w:val="24"/>
                <w:vertAlign w:val="superscript"/>
              </w:rPr>
              <w:t>3</w:t>
            </w:r>
            <w:r>
              <w:rPr>
                <w:rFonts w:hint="eastAsia"/>
                <w:sz w:val="24"/>
              </w:rPr>
              <w:t>，0.046t/a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15" w:hRule="atLeast"/>
          <w:jc w:val="center"/>
        </w:trPr>
        <w:tc>
          <w:tcPr>
            <w:tcW w:w="1037" w:type="dxa"/>
            <w:vMerge w:val="continue"/>
            <w:tcBorders>
              <w:left w:val="single" w:color="auto" w:sz="6" w:space="0"/>
              <w:right w:val="single" w:color="auto" w:sz="6" w:space="0"/>
            </w:tcBorders>
            <w:vAlign w:val="center"/>
          </w:tcPr>
          <w:p>
            <w:pPr>
              <w:spacing w:line="420" w:lineRule="exact"/>
              <w:jc w:val="center"/>
            </w:pPr>
          </w:p>
        </w:tc>
        <w:tc>
          <w:tcPr>
            <w:tcW w:w="986" w:type="dxa"/>
            <w:vMerge w:val="continue"/>
            <w:tcBorders>
              <w:left w:val="single" w:color="auto" w:sz="6" w:space="0"/>
              <w:right w:val="single" w:color="auto" w:sz="6" w:space="0"/>
            </w:tcBorders>
            <w:vAlign w:val="center"/>
          </w:tcPr>
          <w:p>
            <w:pPr>
              <w:spacing w:line="420" w:lineRule="exact"/>
              <w:jc w:val="center"/>
              <w:rPr>
                <w:sz w:val="24"/>
              </w:rPr>
            </w:pPr>
          </w:p>
        </w:tc>
        <w:tc>
          <w:tcPr>
            <w:tcW w:w="1361"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油炸</w:t>
            </w:r>
          </w:p>
        </w:tc>
        <w:tc>
          <w:tcPr>
            <w:tcW w:w="742"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油烟</w:t>
            </w:r>
          </w:p>
        </w:tc>
        <w:tc>
          <w:tcPr>
            <w:tcW w:w="788"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有组织</w:t>
            </w:r>
          </w:p>
        </w:tc>
        <w:tc>
          <w:tcPr>
            <w:tcW w:w="2280"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21mg/m</w:t>
            </w:r>
            <w:r>
              <w:rPr>
                <w:rFonts w:hint="eastAsia"/>
                <w:sz w:val="24"/>
                <w:vertAlign w:val="superscript"/>
              </w:rPr>
              <w:t>3</w:t>
            </w:r>
            <w:r>
              <w:rPr>
                <w:rFonts w:hint="eastAsia"/>
                <w:sz w:val="24"/>
              </w:rPr>
              <w:t>，0.42kg/h</w:t>
            </w:r>
          </w:p>
        </w:tc>
        <w:tc>
          <w:tcPr>
            <w:tcW w:w="2247"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1.05mg/m</w:t>
            </w:r>
            <w:r>
              <w:rPr>
                <w:rFonts w:hint="eastAsia"/>
                <w:sz w:val="24"/>
                <w:vertAlign w:val="superscript"/>
              </w:rPr>
              <w:t>3</w:t>
            </w:r>
            <w:r>
              <w:rPr>
                <w:rFonts w:hint="eastAsia"/>
                <w:sz w:val="24"/>
              </w:rPr>
              <w:t>，0.021kg/h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15" w:hRule="atLeast"/>
          <w:jc w:val="center"/>
        </w:trPr>
        <w:tc>
          <w:tcPr>
            <w:tcW w:w="1037" w:type="dxa"/>
            <w:vMerge w:val="continue"/>
            <w:tcBorders>
              <w:left w:val="single" w:color="auto" w:sz="6" w:space="0"/>
              <w:right w:val="single" w:color="auto" w:sz="6" w:space="0"/>
            </w:tcBorders>
            <w:vAlign w:val="center"/>
          </w:tcPr>
          <w:p>
            <w:pPr>
              <w:spacing w:line="420" w:lineRule="exact"/>
              <w:jc w:val="center"/>
            </w:pPr>
          </w:p>
        </w:tc>
        <w:tc>
          <w:tcPr>
            <w:tcW w:w="986" w:type="dxa"/>
            <w:vMerge w:val="continue"/>
            <w:tcBorders>
              <w:left w:val="single" w:color="auto" w:sz="6" w:space="0"/>
              <w:right w:val="single" w:color="auto" w:sz="6" w:space="0"/>
            </w:tcBorders>
            <w:vAlign w:val="center"/>
          </w:tcPr>
          <w:p>
            <w:pPr>
              <w:spacing w:line="420" w:lineRule="exact"/>
              <w:jc w:val="center"/>
            </w:pPr>
          </w:p>
        </w:tc>
        <w:tc>
          <w:tcPr>
            <w:tcW w:w="1361" w:type="dxa"/>
            <w:vMerge w:val="restart"/>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油炸锅燃料废气（2720m</w:t>
            </w:r>
            <w:r>
              <w:rPr>
                <w:rFonts w:hint="eastAsia"/>
                <w:sz w:val="24"/>
                <w:vertAlign w:val="superscript"/>
              </w:rPr>
              <w:t>3</w:t>
            </w:r>
            <w:r>
              <w:rPr>
                <w:rFonts w:hint="eastAsia"/>
                <w:sz w:val="24"/>
              </w:rPr>
              <w:t>/h）</w:t>
            </w:r>
          </w:p>
        </w:tc>
        <w:tc>
          <w:tcPr>
            <w:tcW w:w="742"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颗粒物</w:t>
            </w:r>
          </w:p>
        </w:tc>
        <w:tc>
          <w:tcPr>
            <w:tcW w:w="788" w:type="dxa"/>
            <w:vMerge w:val="restart"/>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有组织</w:t>
            </w:r>
          </w:p>
        </w:tc>
        <w:tc>
          <w:tcPr>
            <w:tcW w:w="2280"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11.2mg/m</w:t>
            </w:r>
            <w:r>
              <w:rPr>
                <w:rFonts w:hint="eastAsia"/>
                <w:sz w:val="24"/>
                <w:vertAlign w:val="superscript"/>
              </w:rPr>
              <w:t>3</w:t>
            </w:r>
            <w:r>
              <w:rPr>
                <w:rFonts w:hint="eastAsia"/>
                <w:sz w:val="24"/>
              </w:rPr>
              <w:t>，0.015t/a</w:t>
            </w:r>
          </w:p>
        </w:tc>
        <w:tc>
          <w:tcPr>
            <w:tcW w:w="2247"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11.2mg/m</w:t>
            </w:r>
            <w:r>
              <w:rPr>
                <w:rFonts w:hint="eastAsia"/>
                <w:sz w:val="24"/>
                <w:vertAlign w:val="superscript"/>
              </w:rPr>
              <w:t>3</w:t>
            </w:r>
            <w:r>
              <w:rPr>
                <w:rFonts w:hint="eastAsia"/>
                <w:sz w:val="24"/>
              </w:rPr>
              <w:t>，0.015t/a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90" w:hRule="atLeast"/>
          <w:jc w:val="center"/>
        </w:trPr>
        <w:tc>
          <w:tcPr>
            <w:tcW w:w="1037" w:type="dxa"/>
            <w:vMerge w:val="continue"/>
            <w:tcBorders>
              <w:left w:val="single" w:color="auto" w:sz="6" w:space="0"/>
              <w:right w:val="single" w:color="auto" w:sz="6" w:space="0"/>
            </w:tcBorders>
            <w:vAlign w:val="center"/>
          </w:tcPr>
          <w:p>
            <w:pPr>
              <w:spacing w:line="420" w:lineRule="exact"/>
              <w:jc w:val="center"/>
            </w:pPr>
          </w:p>
        </w:tc>
        <w:tc>
          <w:tcPr>
            <w:tcW w:w="986" w:type="dxa"/>
            <w:vMerge w:val="continue"/>
            <w:tcBorders>
              <w:left w:val="single" w:color="auto" w:sz="6" w:space="0"/>
              <w:right w:val="single" w:color="auto" w:sz="6" w:space="0"/>
            </w:tcBorders>
            <w:vAlign w:val="center"/>
          </w:tcPr>
          <w:p>
            <w:pPr>
              <w:spacing w:line="420" w:lineRule="exact"/>
              <w:jc w:val="center"/>
            </w:pPr>
          </w:p>
        </w:tc>
        <w:tc>
          <w:tcPr>
            <w:tcW w:w="1361" w:type="dxa"/>
            <w:vMerge w:val="continue"/>
            <w:tcBorders>
              <w:left w:val="single" w:color="auto" w:sz="6" w:space="0"/>
              <w:right w:val="single" w:color="auto" w:sz="6" w:space="0"/>
            </w:tcBorders>
            <w:vAlign w:val="center"/>
          </w:tcPr>
          <w:p>
            <w:pPr>
              <w:spacing w:line="420" w:lineRule="exact"/>
              <w:jc w:val="center"/>
            </w:pPr>
          </w:p>
        </w:tc>
        <w:tc>
          <w:tcPr>
            <w:tcW w:w="742"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SO</w:t>
            </w:r>
            <w:r>
              <w:rPr>
                <w:rFonts w:hint="eastAsia"/>
                <w:sz w:val="24"/>
                <w:vertAlign w:val="subscript"/>
              </w:rPr>
              <w:t>2</w:t>
            </w:r>
          </w:p>
        </w:tc>
        <w:tc>
          <w:tcPr>
            <w:tcW w:w="788" w:type="dxa"/>
            <w:vMerge w:val="continue"/>
            <w:tcBorders>
              <w:left w:val="single" w:color="auto" w:sz="6" w:space="0"/>
              <w:right w:val="single" w:color="auto" w:sz="6" w:space="0"/>
            </w:tcBorders>
            <w:vAlign w:val="center"/>
          </w:tcPr>
          <w:p>
            <w:pPr>
              <w:spacing w:line="420" w:lineRule="exact"/>
              <w:jc w:val="center"/>
              <w:rPr>
                <w:rFonts w:hint="eastAsia"/>
                <w:sz w:val="24"/>
              </w:rPr>
            </w:pPr>
          </w:p>
        </w:tc>
        <w:tc>
          <w:tcPr>
            <w:tcW w:w="2280"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28.6mg/m</w:t>
            </w:r>
            <w:r>
              <w:rPr>
                <w:rFonts w:hint="eastAsia"/>
                <w:sz w:val="24"/>
                <w:vertAlign w:val="superscript"/>
              </w:rPr>
              <w:t>3</w:t>
            </w:r>
            <w:r>
              <w:rPr>
                <w:rFonts w:hint="eastAsia"/>
                <w:sz w:val="24"/>
              </w:rPr>
              <w:t>，0.0384t/a</w:t>
            </w:r>
          </w:p>
        </w:tc>
        <w:tc>
          <w:tcPr>
            <w:tcW w:w="2247"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28.6mg/m</w:t>
            </w:r>
            <w:r>
              <w:rPr>
                <w:rFonts w:hint="eastAsia"/>
                <w:sz w:val="24"/>
                <w:vertAlign w:val="superscript"/>
              </w:rPr>
              <w:t>3</w:t>
            </w:r>
            <w:r>
              <w:rPr>
                <w:rFonts w:hint="eastAsia"/>
                <w:sz w:val="24"/>
              </w:rPr>
              <w:t>，0.0384t/a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15"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rFonts w:hint="eastAsia"/>
                <w:sz w:val="24"/>
              </w:rPr>
            </w:pPr>
          </w:p>
        </w:tc>
        <w:tc>
          <w:tcPr>
            <w:tcW w:w="986" w:type="dxa"/>
            <w:vMerge w:val="continue"/>
            <w:tcBorders>
              <w:left w:val="single" w:color="auto" w:sz="6" w:space="0"/>
              <w:right w:val="single" w:color="auto" w:sz="6" w:space="0"/>
            </w:tcBorders>
            <w:vAlign w:val="center"/>
          </w:tcPr>
          <w:p>
            <w:pPr>
              <w:spacing w:line="420" w:lineRule="exact"/>
              <w:jc w:val="center"/>
              <w:rPr>
                <w:rFonts w:hint="eastAsia"/>
                <w:sz w:val="24"/>
              </w:rPr>
            </w:pPr>
          </w:p>
        </w:tc>
        <w:tc>
          <w:tcPr>
            <w:tcW w:w="1361" w:type="dxa"/>
            <w:vMerge w:val="continue"/>
            <w:tcBorders>
              <w:left w:val="single" w:color="auto" w:sz="6" w:space="0"/>
              <w:right w:val="single" w:color="auto" w:sz="6" w:space="0"/>
            </w:tcBorders>
            <w:vAlign w:val="center"/>
          </w:tcPr>
          <w:p>
            <w:pPr>
              <w:spacing w:line="420" w:lineRule="exact"/>
              <w:jc w:val="center"/>
              <w:rPr>
                <w:rFonts w:hint="eastAsia"/>
                <w:sz w:val="24"/>
              </w:rPr>
            </w:pPr>
          </w:p>
        </w:tc>
        <w:tc>
          <w:tcPr>
            <w:tcW w:w="742"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NO</w:t>
            </w:r>
            <w:r>
              <w:rPr>
                <w:rFonts w:hint="eastAsia"/>
                <w:sz w:val="24"/>
                <w:vertAlign w:val="subscript"/>
              </w:rPr>
              <w:t>X</w:t>
            </w:r>
          </w:p>
        </w:tc>
        <w:tc>
          <w:tcPr>
            <w:tcW w:w="788" w:type="dxa"/>
            <w:vMerge w:val="continue"/>
            <w:tcBorders>
              <w:left w:val="single" w:color="auto" w:sz="6" w:space="0"/>
              <w:right w:val="single" w:color="auto" w:sz="6" w:space="0"/>
            </w:tcBorders>
            <w:vAlign w:val="center"/>
          </w:tcPr>
          <w:p>
            <w:pPr>
              <w:spacing w:line="420" w:lineRule="exact"/>
              <w:jc w:val="center"/>
              <w:rPr>
                <w:rFonts w:hint="eastAsia"/>
                <w:sz w:val="24"/>
              </w:rPr>
            </w:pPr>
          </w:p>
        </w:tc>
        <w:tc>
          <w:tcPr>
            <w:tcW w:w="2280" w:type="dxa"/>
            <w:tcBorders>
              <w:left w:val="single" w:color="auto" w:sz="6" w:space="0"/>
              <w:right w:val="single" w:color="auto" w:sz="6" w:space="0"/>
            </w:tcBorders>
            <w:vAlign w:val="center"/>
          </w:tcPr>
          <w:p>
            <w:pPr>
              <w:spacing w:line="420" w:lineRule="exact"/>
              <w:rPr>
                <w:rFonts w:hint="eastAsia"/>
                <w:sz w:val="24"/>
              </w:rPr>
            </w:pPr>
            <w:r>
              <w:rPr>
                <w:rFonts w:hint="eastAsia"/>
                <w:sz w:val="24"/>
              </w:rPr>
              <w:t>134.0mg/m，0.18t/a</w:t>
            </w:r>
          </w:p>
        </w:tc>
        <w:tc>
          <w:tcPr>
            <w:tcW w:w="2247"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134.0mg/m，0.18t/a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45" w:hRule="atLeast"/>
          <w:jc w:val="center"/>
        </w:trPr>
        <w:tc>
          <w:tcPr>
            <w:tcW w:w="1037" w:type="dxa"/>
            <w:vMerge w:val="restart"/>
            <w:tcBorders>
              <w:left w:val="single" w:color="auto" w:sz="6" w:space="0"/>
              <w:right w:val="single" w:color="auto" w:sz="6" w:space="0"/>
            </w:tcBorders>
            <w:vAlign w:val="center"/>
          </w:tcPr>
          <w:p>
            <w:pPr>
              <w:spacing w:line="420" w:lineRule="exact"/>
              <w:jc w:val="center"/>
              <w:rPr>
                <w:sz w:val="24"/>
              </w:rPr>
            </w:pPr>
            <w:r>
              <w:rPr>
                <w:sz w:val="24"/>
              </w:rPr>
              <w:t>水</w:t>
            </w:r>
          </w:p>
          <w:p>
            <w:pPr>
              <w:spacing w:line="420" w:lineRule="exact"/>
              <w:jc w:val="center"/>
              <w:rPr>
                <w:sz w:val="24"/>
              </w:rPr>
            </w:pPr>
            <w:r>
              <w:rPr>
                <w:sz w:val="24"/>
              </w:rPr>
              <w:t>污</w:t>
            </w:r>
          </w:p>
          <w:p>
            <w:pPr>
              <w:spacing w:line="420" w:lineRule="exact"/>
              <w:jc w:val="center"/>
              <w:rPr>
                <w:sz w:val="24"/>
              </w:rPr>
            </w:pPr>
            <w:r>
              <w:rPr>
                <w:sz w:val="24"/>
              </w:rPr>
              <w:t>染</w:t>
            </w:r>
          </w:p>
          <w:p>
            <w:pPr>
              <w:spacing w:line="420" w:lineRule="exact"/>
              <w:jc w:val="center"/>
              <w:rPr>
                <w:sz w:val="24"/>
              </w:rPr>
            </w:pPr>
            <w:r>
              <w:rPr>
                <w:sz w:val="24"/>
              </w:rPr>
              <w:t>物</w:t>
            </w:r>
          </w:p>
          <w:p>
            <w:pPr>
              <w:spacing w:line="420" w:lineRule="exact"/>
              <w:jc w:val="center"/>
              <w:rPr>
                <w:rFonts w:hint="eastAsia"/>
                <w:sz w:val="24"/>
              </w:rPr>
            </w:pPr>
          </w:p>
        </w:tc>
        <w:tc>
          <w:tcPr>
            <w:tcW w:w="986" w:type="dxa"/>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施工期</w:t>
            </w:r>
          </w:p>
        </w:tc>
        <w:tc>
          <w:tcPr>
            <w:tcW w:w="1361" w:type="dxa"/>
            <w:tcBorders>
              <w:top w:val="single" w:color="auto" w:sz="4"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洗漱废水与设备冲洗水</w:t>
            </w:r>
          </w:p>
        </w:tc>
        <w:tc>
          <w:tcPr>
            <w:tcW w:w="1530" w:type="dxa"/>
            <w:gridSpan w:val="2"/>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SS</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highlight w:val="none"/>
              </w:rPr>
              <w:t>少量</w:t>
            </w:r>
          </w:p>
        </w:tc>
        <w:tc>
          <w:tcPr>
            <w:tcW w:w="2247"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用于泼洒地面抑尘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8"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rFonts w:hint="eastAsia"/>
                <w:sz w:val="24"/>
              </w:rPr>
            </w:pPr>
          </w:p>
        </w:tc>
        <w:tc>
          <w:tcPr>
            <w:tcW w:w="986" w:type="dxa"/>
            <w:vMerge w:val="restart"/>
            <w:tcBorders>
              <w:top w:val="single" w:color="auto" w:sz="4"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运营期</w:t>
            </w:r>
          </w:p>
        </w:tc>
        <w:tc>
          <w:tcPr>
            <w:tcW w:w="1361" w:type="dxa"/>
            <w:vMerge w:val="restart"/>
            <w:tcBorders>
              <w:top w:val="single" w:color="auto" w:sz="4" w:space="0"/>
              <w:left w:val="single" w:color="auto" w:sz="6" w:space="0"/>
              <w:right w:val="single" w:color="auto" w:sz="6" w:space="0"/>
            </w:tcBorders>
            <w:vAlign w:val="center"/>
          </w:tcPr>
          <w:p>
            <w:pPr>
              <w:spacing w:line="420" w:lineRule="exact"/>
              <w:jc w:val="center"/>
              <w:rPr>
                <w:rFonts w:hint="eastAsia"/>
                <w:spacing w:val="-8"/>
                <w:sz w:val="24"/>
              </w:rPr>
            </w:pPr>
            <w:r>
              <w:rPr>
                <w:rFonts w:hint="eastAsia"/>
                <w:spacing w:val="-8"/>
                <w:sz w:val="24"/>
              </w:rPr>
              <w:t>生活污水（</w:t>
            </w:r>
            <w:r>
              <w:rPr>
                <w:rFonts w:hint="eastAsia"/>
                <w:color w:val="000000"/>
                <w:kern w:val="0"/>
                <w:sz w:val="24"/>
                <w:lang w:bidi="ar"/>
              </w:rPr>
              <w:t>128</w:t>
            </w:r>
            <w:r>
              <w:rPr>
                <w:sz w:val="24"/>
              </w:rPr>
              <w:t>m</w:t>
            </w:r>
            <w:r>
              <w:rPr>
                <w:sz w:val="24"/>
                <w:vertAlign w:val="superscript"/>
              </w:rPr>
              <w:t>3</w:t>
            </w:r>
            <w:r>
              <w:rPr>
                <w:spacing w:val="-8"/>
                <w:sz w:val="24"/>
              </w:rPr>
              <w:t>/a</w:t>
            </w:r>
            <w:r>
              <w:rPr>
                <w:rFonts w:hint="eastAsia"/>
                <w:spacing w:val="-8"/>
                <w:sz w:val="24"/>
              </w:rPr>
              <w:t>）</w:t>
            </w:r>
          </w:p>
        </w:tc>
        <w:tc>
          <w:tcPr>
            <w:tcW w:w="1530" w:type="dxa"/>
            <w:gridSpan w:val="2"/>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sz w:val="24"/>
              </w:rPr>
              <w:t>COD</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300</w:t>
            </w:r>
            <w:r>
              <w:rPr>
                <w:sz w:val="24"/>
              </w:rPr>
              <w:t>mg/L，</w:t>
            </w:r>
            <w:r>
              <w:rPr>
                <w:rFonts w:hint="eastAsia"/>
                <w:sz w:val="24"/>
              </w:rPr>
              <w:t>0.0576</w:t>
            </w:r>
            <w:r>
              <w:rPr>
                <w:spacing w:val="-6"/>
                <w:sz w:val="24"/>
              </w:rPr>
              <w:t>t/a</w:t>
            </w:r>
          </w:p>
        </w:tc>
        <w:tc>
          <w:tcPr>
            <w:tcW w:w="2247" w:type="dxa"/>
            <w:vMerge w:val="restart"/>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Ansi="宋体"/>
              </w:rPr>
              <w:t>经化粪池处理后，定期清运，沤制农家肥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8"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sz w:val="24"/>
              </w:rPr>
            </w:pPr>
          </w:p>
        </w:tc>
        <w:tc>
          <w:tcPr>
            <w:tcW w:w="986" w:type="dxa"/>
            <w:vMerge w:val="continue"/>
            <w:tcBorders>
              <w:left w:val="single" w:color="auto" w:sz="6" w:space="0"/>
              <w:right w:val="single" w:color="auto" w:sz="6" w:space="0"/>
            </w:tcBorders>
            <w:vAlign w:val="center"/>
          </w:tcPr>
          <w:p>
            <w:pPr>
              <w:spacing w:line="420" w:lineRule="exact"/>
              <w:jc w:val="center"/>
              <w:rPr>
                <w:sz w:val="24"/>
              </w:rPr>
            </w:pPr>
          </w:p>
        </w:tc>
        <w:tc>
          <w:tcPr>
            <w:tcW w:w="1361" w:type="dxa"/>
            <w:vMerge w:val="continue"/>
            <w:tcBorders>
              <w:left w:val="single" w:color="auto" w:sz="6" w:space="0"/>
              <w:right w:val="single" w:color="auto" w:sz="6" w:space="0"/>
            </w:tcBorders>
            <w:vAlign w:val="center"/>
          </w:tcPr>
          <w:p>
            <w:pPr>
              <w:spacing w:line="420" w:lineRule="exact"/>
              <w:jc w:val="center"/>
              <w:rPr>
                <w:sz w:val="24"/>
              </w:rPr>
            </w:pPr>
          </w:p>
        </w:tc>
        <w:tc>
          <w:tcPr>
            <w:tcW w:w="1530" w:type="dxa"/>
            <w:gridSpan w:val="2"/>
            <w:tcBorders>
              <w:top w:val="single" w:color="auto" w:sz="6" w:space="0"/>
              <w:left w:val="single" w:color="auto" w:sz="6" w:space="0"/>
              <w:right w:val="single" w:color="auto" w:sz="6" w:space="0"/>
            </w:tcBorders>
            <w:vAlign w:val="center"/>
          </w:tcPr>
          <w:p>
            <w:pPr>
              <w:spacing w:line="420" w:lineRule="exact"/>
              <w:jc w:val="center"/>
              <w:rPr>
                <w:sz w:val="24"/>
              </w:rPr>
            </w:pPr>
            <w:r>
              <w:rPr>
                <w:sz w:val="24"/>
              </w:rPr>
              <w:t>NH</w:t>
            </w:r>
            <w:r>
              <w:rPr>
                <w:sz w:val="24"/>
                <w:vertAlign w:val="subscript"/>
              </w:rPr>
              <w:t>3</w:t>
            </w:r>
            <w:r>
              <w:rPr>
                <w:sz w:val="24"/>
              </w:rPr>
              <w:t>-N</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25</w:t>
            </w:r>
            <w:r>
              <w:rPr>
                <w:sz w:val="24"/>
              </w:rPr>
              <w:t>mg/L，</w:t>
            </w:r>
            <w:r>
              <w:rPr>
                <w:rFonts w:hint="eastAsia"/>
                <w:sz w:val="24"/>
              </w:rPr>
              <w:t>0.0048</w:t>
            </w:r>
            <w:r>
              <w:rPr>
                <w:spacing w:val="-6"/>
                <w:sz w:val="24"/>
              </w:rPr>
              <w:t>t/a</w:t>
            </w:r>
          </w:p>
        </w:tc>
        <w:tc>
          <w:tcPr>
            <w:tcW w:w="2247" w:type="dxa"/>
            <w:vMerge w:val="continue"/>
            <w:tcBorders>
              <w:left w:val="single" w:color="auto" w:sz="6" w:space="0"/>
              <w:right w:val="single" w:color="auto" w:sz="6" w:space="0"/>
            </w:tcBorders>
            <w:vAlign w:val="center"/>
          </w:tcPr>
          <w:p>
            <w:pPr>
              <w:spacing w:line="42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8"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sz w:val="24"/>
              </w:rPr>
            </w:pPr>
          </w:p>
        </w:tc>
        <w:tc>
          <w:tcPr>
            <w:tcW w:w="986" w:type="dxa"/>
            <w:vMerge w:val="continue"/>
            <w:tcBorders>
              <w:left w:val="single" w:color="auto" w:sz="6" w:space="0"/>
              <w:right w:val="single" w:color="auto" w:sz="6" w:space="0"/>
            </w:tcBorders>
            <w:vAlign w:val="center"/>
          </w:tcPr>
          <w:p>
            <w:pPr>
              <w:spacing w:line="420" w:lineRule="exact"/>
              <w:jc w:val="center"/>
              <w:rPr>
                <w:sz w:val="24"/>
              </w:rPr>
            </w:pPr>
          </w:p>
        </w:tc>
        <w:tc>
          <w:tcPr>
            <w:tcW w:w="1361" w:type="dxa"/>
            <w:vMerge w:val="continue"/>
            <w:tcBorders>
              <w:left w:val="single" w:color="auto" w:sz="6" w:space="0"/>
              <w:right w:val="single" w:color="auto" w:sz="6" w:space="0"/>
            </w:tcBorders>
            <w:vAlign w:val="center"/>
          </w:tcPr>
          <w:p>
            <w:pPr>
              <w:spacing w:line="420" w:lineRule="exact"/>
              <w:jc w:val="center"/>
              <w:rPr>
                <w:sz w:val="24"/>
              </w:rPr>
            </w:pPr>
          </w:p>
        </w:tc>
        <w:tc>
          <w:tcPr>
            <w:tcW w:w="1530" w:type="dxa"/>
            <w:gridSpan w:val="2"/>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SS</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200</w:t>
            </w:r>
            <w:r>
              <w:rPr>
                <w:sz w:val="24"/>
              </w:rPr>
              <w:t>mg/L，</w:t>
            </w:r>
            <w:r>
              <w:rPr>
                <w:rFonts w:hint="eastAsia"/>
                <w:sz w:val="24"/>
              </w:rPr>
              <w:t>0.0384</w:t>
            </w:r>
            <w:r>
              <w:rPr>
                <w:spacing w:val="-6"/>
                <w:sz w:val="24"/>
              </w:rPr>
              <w:t>t/a</w:t>
            </w:r>
          </w:p>
        </w:tc>
        <w:tc>
          <w:tcPr>
            <w:tcW w:w="2247" w:type="dxa"/>
            <w:vMerge w:val="continue"/>
            <w:tcBorders>
              <w:left w:val="single" w:color="auto" w:sz="6" w:space="0"/>
              <w:right w:val="single" w:color="auto" w:sz="6" w:space="0"/>
            </w:tcBorders>
            <w:vAlign w:val="center"/>
          </w:tcPr>
          <w:p>
            <w:pPr>
              <w:spacing w:line="42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50"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rFonts w:hint="eastAsia"/>
                <w:sz w:val="24"/>
              </w:rPr>
            </w:pPr>
          </w:p>
        </w:tc>
        <w:tc>
          <w:tcPr>
            <w:tcW w:w="986" w:type="dxa"/>
            <w:vMerge w:val="continue"/>
            <w:tcBorders>
              <w:left w:val="single" w:color="auto" w:sz="6" w:space="0"/>
              <w:right w:val="single" w:color="auto" w:sz="6" w:space="0"/>
            </w:tcBorders>
            <w:vAlign w:val="center"/>
          </w:tcPr>
          <w:p>
            <w:pPr>
              <w:spacing w:line="420" w:lineRule="exact"/>
              <w:jc w:val="center"/>
              <w:rPr>
                <w:rFonts w:hint="eastAsia"/>
                <w:sz w:val="24"/>
              </w:rPr>
            </w:pPr>
          </w:p>
        </w:tc>
        <w:tc>
          <w:tcPr>
            <w:tcW w:w="1361" w:type="dxa"/>
            <w:vMerge w:val="continue"/>
            <w:tcBorders>
              <w:left w:val="single" w:color="auto" w:sz="6" w:space="0"/>
              <w:right w:val="single" w:color="auto" w:sz="6" w:space="0"/>
            </w:tcBorders>
            <w:vAlign w:val="center"/>
          </w:tcPr>
          <w:p>
            <w:pPr>
              <w:spacing w:line="420" w:lineRule="exact"/>
              <w:jc w:val="center"/>
              <w:rPr>
                <w:sz w:val="24"/>
              </w:rPr>
            </w:pPr>
          </w:p>
        </w:tc>
        <w:tc>
          <w:tcPr>
            <w:tcW w:w="1530" w:type="dxa"/>
            <w:gridSpan w:val="2"/>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动植物油</w:t>
            </w:r>
          </w:p>
        </w:tc>
        <w:tc>
          <w:tcPr>
            <w:tcW w:w="2280" w:type="dxa"/>
            <w:tcBorders>
              <w:top w:val="single" w:color="auto" w:sz="6" w:space="0"/>
              <w:left w:val="single" w:color="auto" w:sz="6" w:space="0"/>
              <w:right w:val="single" w:color="auto" w:sz="6" w:space="0"/>
            </w:tcBorders>
            <w:vAlign w:val="center"/>
          </w:tcPr>
          <w:p>
            <w:pPr>
              <w:spacing w:line="420" w:lineRule="exact"/>
              <w:jc w:val="center"/>
              <w:rPr>
                <w:sz w:val="24"/>
              </w:rPr>
            </w:pPr>
            <w:r>
              <w:rPr>
                <w:rFonts w:hint="eastAsia"/>
                <w:sz w:val="24"/>
              </w:rPr>
              <w:t>10</w:t>
            </w:r>
            <w:r>
              <w:rPr>
                <w:sz w:val="24"/>
              </w:rPr>
              <w:t>mg/L，</w:t>
            </w:r>
            <w:r>
              <w:rPr>
                <w:rFonts w:hint="eastAsia"/>
                <w:sz w:val="24"/>
              </w:rPr>
              <w:t>0.0019</w:t>
            </w:r>
            <w:r>
              <w:rPr>
                <w:spacing w:val="-6"/>
                <w:sz w:val="24"/>
              </w:rPr>
              <w:t>t/a</w:t>
            </w:r>
          </w:p>
        </w:tc>
        <w:tc>
          <w:tcPr>
            <w:tcW w:w="2247" w:type="dxa"/>
            <w:vMerge w:val="continue"/>
            <w:tcBorders>
              <w:left w:val="single" w:color="auto" w:sz="6" w:space="0"/>
              <w:right w:val="single" w:color="auto" w:sz="6" w:space="0"/>
            </w:tcBorders>
            <w:vAlign w:val="center"/>
          </w:tcPr>
          <w:p>
            <w:pPr>
              <w:spacing w:line="42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90" w:hRule="atLeast"/>
          <w:jc w:val="center"/>
        </w:trPr>
        <w:tc>
          <w:tcPr>
            <w:tcW w:w="1037" w:type="dxa"/>
            <w:vMerge w:val="restart"/>
            <w:tcBorders>
              <w:left w:val="single" w:color="auto" w:sz="6" w:space="0"/>
              <w:right w:val="single" w:color="auto" w:sz="6" w:space="0"/>
            </w:tcBorders>
            <w:vAlign w:val="center"/>
          </w:tcPr>
          <w:p>
            <w:pPr>
              <w:spacing w:line="420" w:lineRule="exact"/>
              <w:jc w:val="center"/>
              <w:rPr>
                <w:sz w:val="24"/>
              </w:rPr>
            </w:pPr>
            <w:r>
              <w:rPr>
                <w:sz w:val="24"/>
              </w:rPr>
              <w:t>固</w:t>
            </w:r>
          </w:p>
          <w:p>
            <w:pPr>
              <w:spacing w:line="420" w:lineRule="exact"/>
              <w:jc w:val="center"/>
              <w:rPr>
                <w:sz w:val="24"/>
              </w:rPr>
            </w:pPr>
            <w:r>
              <w:rPr>
                <w:sz w:val="24"/>
              </w:rPr>
              <w:t>体</w:t>
            </w:r>
          </w:p>
          <w:p>
            <w:pPr>
              <w:spacing w:line="420" w:lineRule="exact"/>
              <w:jc w:val="center"/>
              <w:rPr>
                <w:sz w:val="24"/>
              </w:rPr>
            </w:pPr>
            <w:r>
              <w:rPr>
                <w:sz w:val="24"/>
              </w:rPr>
              <w:t>废</w:t>
            </w:r>
          </w:p>
          <w:p>
            <w:pPr>
              <w:spacing w:line="420" w:lineRule="exact"/>
              <w:jc w:val="center"/>
              <w:rPr>
                <w:sz w:val="24"/>
              </w:rPr>
            </w:pPr>
            <w:r>
              <w:rPr>
                <w:sz w:val="24"/>
              </w:rPr>
              <w:t>物</w:t>
            </w:r>
          </w:p>
        </w:tc>
        <w:tc>
          <w:tcPr>
            <w:tcW w:w="986" w:type="dxa"/>
            <w:vMerge w:val="restart"/>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施工期</w:t>
            </w:r>
          </w:p>
        </w:tc>
        <w:tc>
          <w:tcPr>
            <w:tcW w:w="1361" w:type="dxa"/>
            <w:vMerge w:val="restart"/>
            <w:tcBorders>
              <w:left w:val="single" w:color="auto" w:sz="6" w:space="0"/>
              <w:right w:val="single" w:color="auto" w:sz="6" w:space="0"/>
            </w:tcBorders>
            <w:vAlign w:val="center"/>
          </w:tcPr>
          <w:p>
            <w:pPr>
              <w:spacing w:line="420" w:lineRule="exact"/>
              <w:jc w:val="center"/>
              <w:rPr>
                <w:rFonts w:hint="eastAsia"/>
                <w:sz w:val="24"/>
              </w:rPr>
            </w:pPr>
            <w:r>
              <w:rPr>
                <w:rFonts w:hint="eastAsia"/>
                <w:sz w:val="24"/>
              </w:rPr>
              <w:t>施工场地</w:t>
            </w:r>
          </w:p>
        </w:tc>
        <w:tc>
          <w:tcPr>
            <w:tcW w:w="1530" w:type="dxa"/>
            <w:gridSpan w:val="2"/>
            <w:tcBorders>
              <w:top w:val="single" w:color="auto" w:sz="4" w:space="0"/>
              <w:left w:val="single" w:color="auto" w:sz="6" w:space="0"/>
              <w:right w:val="single" w:color="auto" w:sz="6" w:space="0"/>
            </w:tcBorders>
            <w:vAlign w:val="center"/>
          </w:tcPr>
          <w:p>
            <w:pPr>
              <w:spacing w:line="380" w:lineRule="exact"/>
              <w:jc w:val="center"/>
              <w:rPr>
                <w:rFonts w:hint="eastAsia"/>
                <w:sz w:val="24"/>
              </w:rPr>
            </w:pPr>
            <w:r>
              <w:rPr>
                <w:rFonts w:hint="eastAsia"/>
                <w:sz w:val="24"/>
              </w:rPr>
              <w:t>建筑垃圾</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77.4t</w:t>
            </w:r>
          </w:p>
        </w:tc>
        <w:tc>
          <w:tcPr>
            <w:tcW w:w="2247"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sz w:val="24"/>
              </w:rPr>
              <w:t>运至建筑垃圾堆放场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45"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sz w:val="24"/>
              </w:rPr>
            </w:pPr>
          </w:p>
        </w:tc>
        <w:tc>
          <w:tcPr>
            <w:tcW w:w="986" w:type="dxa"/>
            <w:vMerge w:val="continue"/>
            <w:tcBorders>
              <w:left w:val="single" w:color="auto" w:sz="6" w:space="0"/>
              <w:bottom w:val="single" w:color="auto" w:sz="6" w:space="0"/>
              <w:right w:val="single" w:color="auto" w:sz="6" w:space="0"/>
            </w:tcBorders>
            <w:vAlign w:val="center"/>
          </w:tcPr>
          <w:p>
            <w:pPr>
              <w:spacing w:line="420" w:lineRule="exact"/>
              <w:jc w:val="center"/>
              <w:rPr>
                <w:rFonts w:hint="eastAsia"/>
                <w:sz w:val="24"/>
              </w:rPr>
            </w:pPr>
          </w:p>
        </w:tc>
        <w:tc>
          <w:tcPr>
            <w:tcW w:w="1361" w:type="dxa"/>
            <w:vMerge w:val="continue"/>
            <w:tcBorders>
              <w:left w:val="single" w:color="auto" w:sz="6" w:space="0"/>
              <w:bottom w:val="single" w:color="auto" w:sz="6" w:space="0"/>
              <w:right w:val="single" w:color="auto" w:sz="6" w:space="0"/>
            </w:tcBorders>
            <w:vAlign w:val="center"/>
          </w:tcPr>
          <w:p>
            <w:pPr>
              <w:spacing w:line="420" w:lineRule="exact"/>
              <w:jc w:val="center"/>
              <w:rPr>
                <w:sz w:val="24"/>
              </w:rPr>
            </w:pPr>
          </w:p>
        </w:tc>
        <w:tc>
          <w:tcPr>
            <w:tcW w:w="1530" w:type="dxa"/>
            <w:gridSpan w:val="2"/>
            <w:tcBorders>
              <w:top w:val="single" w:color="auto" w:sz="4" w:space="0"/>
              <w:left w:val="single" w:color="auto" w:sz="6" w:space="0"/>
              <w:right w:val="single" w:color="auto" w:sz="6" w:space="0"/>
            </w:tcBorders>
            <w:vAlign w:val="center"/>
          </w:tcPr>
          <w:p>
            <w:pPr>
              <w:spacing w:line="380" w:lineRule="exact"/>
              <w:jc w:val="center"/>
              <w:rPr>
                <w:rFonts w:hint="eastAsia"/>
                <w:sz w:val="24"/>
              </w:rPr>
            </w:pPr>
            <w:r>
              <w:rPr>
                <w:rFonts w:hint="eastAsia"/>
                <w:sz w:val="24"/>
              </w:rPr>
              <w:t>生活垃圾</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0.3t</w:t>
            </w:r>
          </w:p>
        </w:tc>
        <w:tc>
          <w:tcPr>
            <w:tcW w:w="2247" w:type="dxa"/>
            <w:vMerge w:val="restart"/>
            <w:tcBorders>
              <w:top w:val="single" w:color="auto" w:sz="6" w:space="0"/>
              <w:left w:val="single" w:color="auto" w:sz="6" w:space="0"/>
              <w:right w:val="single" w:color="auto" w:sz="6" w:space="0"/>
            </w:tcBorders>
            <w:vAlign w:val="center"/>
          </w:tcPr>
          <w:p>
            <w:pPr>
              <w:spacing w:line="420" w:lineRule="exact"/>
              <w:jc w:val="center"/>
              <w:rPr>
                <w:sz w:val="24"/>
              </w:rPr>
            </w:pPr>
            <w:r>
              <w:rPr>
                <w:sz w:val="24"/>
              </w:rPr>
              <w:t>收集后交当地环卫部门统一处理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15"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sz w:val="24"/>
              </w:rPr>
            </w:pPr>
          </w:p>
        </w:tc>
        <w:tc>
          <w:tcPr>
            <w:tcW w:w="986" w:type="dxa"/>
            <w:vMerge w:val="restart"/>
            <w:tcBorders>
              <w:top w:val="single" w:color="auto" w:sz="4"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运营期</w:t>
            </w:r>
          </w:p>
        </w:tc>
        <w:tc>
          <w:tcPr>
            <w:tcW w:w="1361" w:type="dxa"/>
            <w:tcBorders>
              <w:top w:val="single" w:color="auto" w:sz="4" w:space="0"/>
              <w:left w:val="single" w:color="auto" w:sz="6" w:space="0"/>
              <w:right w:val="single" w:color="auto" w:sz="6" w:space="0"/>
            </w:tcBorders>
            <w:vAlign w:val="center"/>
          </w:tcPr>
          <w:p>
            <w:pPr>
              <w:spacing w:line="420" w:lineRule="exact"/>
              <w:jc w:val="center"/>
              <w:rPr>
                <w:sz w:val="24"/>
              </w:rPr>
            </w:pPr>
            <w:r>
              <w:rPr>
                <w:rFonts w:hint="eastAsia"/>
                <w:sz w:val="24"/>
              </w:rPr>
              <w:t>办公</w:t>
            </w:r>
            <w:r>
              <w:rPr>
                <w:sz w:val="24"/>
              </w:rPr>
              <w:t>区</w:t>
            </w:r>
          </w:p>
        </w:tc>
        <w:tc>
          <w:tcPr>
            <w:tcW w:w="1530" w:type="dxa"/>
            <w:gridSpan w:val="2"/>
            <w:tcBorders>
              <w:top w:val="single" w:color="auto" w:sz="6" w:space="0"/>
              <w:left w:val="single" w:color="auto" w:sz="6" w:space="0"/>
              <w:right w:val="single" w:color="auto" w:sz="6" w:space="0"/>
            </w:tcBorders>
            <w:vAlign w:val="center"/>
          </w:tcPr>
          <w:p>
            <w:pPr>
              <w:spacing w:line="420" w:lineRule="exact"/>
              <w:jc w:val="center"/>
              <w:rPr>
                <w:sz w:val="24"/>
              </w:rPr>
            </w:pPr>
            <w:r>
              <w:rPr>
                <w:sz w:val="24"/>
              </w:rPr>
              <w:t>生活垃圾</w:t>
            </w:r>
          </w:p>
        </w:tc>
        <w:tc>
          <w:tcPr>
            <w:tcW w:w="2280" w:type="dxa"/>
            <w:tcBorders>
              <w:top w:val="single" w:color="auto" w:sz="6" w:space="0"/>
              <w:left w:val="single" w:color="auto" w:sz="6" w:space="0"/>
              <w:right w:val="single" w:color="auto" w:sz="6" w:space="0"/>
            </w:tcBorders>
            <w:vAlign w:val="center"/>
          </w:tcPr>
          <w:p>
            <w:pPr>
              <w:spacing w:line="420" w:lineRule="exact"/>
              <w:jc w:val="center"/>
              <w:rPr>
                <w:rFonts w:hint="eastAsia" w:eastAsia="宋体"/>
                <w:sz w:val="24"/>
                <w:lang w:eastAsia="zh-CN"/>
              </w:rPr>
            </w:pPr>
            <w:r>
              <w:rPr>
                <w:rFonts w:hint="eastAsia"/>
                <w:sz w:val="24"/>
                <w:lang w:eastAsia="zh-CN"/>
              </w:rPr>
              <w:t>4.02</w:t>
            </w:r>
            <w:r>
              <w:rPr>
                <w:sz w:val="24"/>
              </w:rPr>
              <w:t>t/a</w:t>
            </w:r>
          </w:p>
        </w:tc>
        <w:tc>
          <w:tcPr>
            <w:tcW w:w="2247" w:type="dxa"/>
            <w:vMerge w:val="continue"/>
            <w:tcBorders>
              <w:left w:val="single" w:color="auto" w:sz="6" w:space="0"/>
              <w:right w:val="single" w:color="auto" w:sz="6" w:space="0"/>
            </w:tcBorders>
            <w:vAlign w:val="center"/>
          </w:tcPr>
          <w:p>
            <w:pPr>
              <w:spacing w:line="420" w:lineRule="exact"/>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810"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sz w:val="24"/>
              </w:rPr>
            </w:pPr>
          </w:p>
        </w:tc>
        <w:tc>
          <w:tcPr>
            <w:tcW w:w="986" w:type="dxa"/>
            <w:vMerge w:val="continue"/>
            <w:tcBorders>
              <w:left w:val="single" w:color="auto" w:sz="6" w:space="0"/>
              <w:right w:val="single" w:color="auto" w:sz="6" w:space="0"/>
            </w:tcBorders>
            <w:vAlign w:val="center"/>
          </w:tcPr>
          <w:p>
            <w:pPr>
              <w:spacing w:line="420" w:lineRule="exact"/>
              <w:jc w:val="center"/>
              <w:rPr>
                <w:sz w:val="24"/>
              </w:rPr>
            </w:pPr>
          </w:p>
        </w:tc>
        <w:tc>
          <w:tcPr>
            <w:tcW w:w="1361" w:type="dxa"/>
            <w:vMerge w:val="restart"/>
            <w:tcBorders>
              <w:left w:val="single" w:color="auto" w:sz="6" w:space="0"/>
              <w:right w:val="single" w:color="auto" w:sz="6" w:space="0"/>
            </w:tcBorders>
            <w:vAlign w:val="center"/>
          </w:tcPr>
          <w:p>
            <w:pPr>
              <w:spacing w:line="420" w:lineRule="exact"/>
              <w:jc w:val="center"/>
              <w:rPr>
                <w:sz w:val="24"/>
              </w:rPr>
            </w:pPr>
            <w:r>
              <w:rPr>
                <w:sz w:val="24"/>
              </w:rPr>
              <w:t>一般工业固</w:t>
            </w:r>
            <w:r>
              <w:rPr>
                <w:rFonts w:hint="eastAsia"/>
                <w:sz w:val="24"/>
              </w:rPr>
              <w:t>体</w:t>
            </w:r>
            <w:r>
              <w:rPr>
                <w:sz w:val="24"/>
              </w:rPr>
              <w:t>废</w:t>
            </w:r>
            <w:r>
              <w:rPr>
                <w:rFonts w:hint="eastAsia"/>
                <w:sz w:val="24"/>
              </w:rPr>
              <w:t>物</w:t>
            </w:r>
          </w:p>
        </w:tc>
        <w:tc>
          <w:tcPr>
            <w:tcW w:w="1530" w:type="dxa"/>
            <w:gridSpan w:val="2"/>
            <w:tcBorders>
              <w:top w:val="single" w:color="auto" w:sz="6" w:space="0"/>
              <w:left w:val="single" w:color="auto" w:sz="6" w:space="0"/>
              <w:right w:val="single" w:color="auto" w:sz="6" w:space="0"/>
            </w:tcBorders>
            <w:vAlign w:val="center"/>
          </w:tcPr>
          <w:p>
            <w:pPr>
              <w:spacing w:line="420" w:lineRule="exact"/>
              <w:jc w:val="center"/>
              <w:rPr>
                <w:rFonts w:hint="eastAsia"/>
                <w:sz w:val="24"/>
              </w:rPr>
            </w:pPr>
            <w:r>
              <w:rPr>
                <w:rFonts w:hint="eastAsia"/>
                <w:sz w:val="24"/>
              </w:rPr>
              <w:t>废包装材料</w:t>
            </w:r>
          </w:p>
        </w:tc>
        <w:tc>
          <w:tcPr>
            <w:tcW w:w="2280" w:type="dxa"/>
            <w:tcBorders>
              <w:top w:val="single" w:color="auto" w:sz="6" w:space="0"/>
              <w:left w:val="single" w:color="auto" w:sz="6" w:space="0"/>
              <w:right w:val="single" w:color="auto" w:sz="6" w:space="0"/>
            </w:tcBorders>
            <w:vAlign w:val="center"/>
          </w:tcPr>
          <w:p>
            <w:pPr>
              <w:spacing w:line="420" w:lineRule="exact"/>
              <w:jc w:val="center"/>
              <w:rPr>
                <w:sz w:val="24"/>
              </w:rPr>
            </w:pPr>
            <w:r>
              <w:rPr>
                <w:rFonts w:hint="eastAsia"/>
                <w:sz w:val="24"/>
              </w:rPr>
              <w:t>8</w:t>
            </w:r>
            <w:r>
              <w:rPr>
                <w:sz w:val="24"/>
              </w:rPr>
              <w:t>t/a</w:t>
            </w:r>
          </w:p>
        </w:tc>
        <w:tc>
          <w:tcPr>
            <w:tcW w:w="2247" w:type="dxa"/>
            <w:tcBorders>
              <w:left w:val="single" w:color="auto" w:sz="6" w:space="0"/>
              <w:right w:val="single" w:color="auto" w:sz="6" w:space="0"/>
            </w:tcBorders>
            <w:vAlign w:val="center"/>
          </w:tcPr>
          <w:p>
            <w:pPr>
              <w:spacing w:line="420" w:lineRule="exact"/>
              <w:jc w:val="center"/>
              <w:rPr>
                <w:sz w:val="24"/>
              </w:rPr>
            </w:pPr>
            <w:r>
              <w:rPr>
                <w:color w:val="000000"/>
                <w:sz w:val="24"/>
              </w:rPr>
              <w:t>设置临时固废堆放</w:t>
            </w:r>
            <w:r>
              <w:rPr>
                <w:rFonts w:hint="eastAsia"/>
                <w:color w:val="000000"/>
                <w:sz w:val="24"/>
              </w:rPr>
              <w:t>场</w:t>
            </w:r>
            <w:r>
              <w:rPr>
                <w:color w:val="000000"/>
                <w:sz w:val="24"/>
              </w:rPr>
              <w:t>，</w:t>
            </w:r>
            <w:r>
              <w:rPr>
                <w:rFonts w:hint="eastAsia"/>
                <w:color w:val="000000"/>
                <w:sz w:val="24"/>
              </w:rPr>
              <w:t>收集后出售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80"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sz w:val="24"/>
              </w:rPr>
            </w:pPr>
          </w:p>
        </w:tc>
        <w:tc>
          <w:tcPr>
            <w:tcW w:w="986" w:type="dxa"/>
            <w:vMerge w:val="continue"/>
            <w:tcBorders>
              <w:left w:val="single" w:color="auto" w:sz="6" w:space="0"/>
              <w:right w:val="single" w:color="auto" w:sz="6" w:space="0"/>
            </w:tcBorders>
            <w:vAlign w:val="center"/>
          </w:tcPr>
          <w:p>
            <w:pPr>
              <w:spacing w:line="420" w:lineRule="exact"/>
              <w:jc w:val="center"/>
              <w:rPr>
                <w:sz w:val="24"/>
              </w:rPr>
            </w:pPr>
          </w:p>
        </w:tc>
        <w:tc>
          <w:tcPr>
            <w:tcW w:w="1361" w:type="dxa"/>
            <w:vMerge w:val="continue"/>
            <w:tcBorders>
              <w:left w:val="single" w:color="auto" w:sz="6" w:space="0"/>
              <w:right w:val="single" w:color="auto" w:sz="6" w:space="0"/>
            </w:tcBorders>
            <w:vAlign w:val="center"/>
          </w:tcPr>
          <w:p>
            <w:pPr>
              <w:spacing w:line="420" w:lineRule="exact"/>
              <w:jc w:val="center"/>
              <w:rPr>
                <w:sz w:val="24"/>
              </w:rPr>
            </w:pPr>
          </w:p>
        </w:tc>
        <w:tc>
          <w:tcPr>
            <w:tcW w:w="1530" w:type="dxa"/>
            <w:gridSpan w:val="2"/>
            <w:tcBorders>
              <w:top w:val="single" w:color="auto" w:sz="6" w:space="0"/>
              <w:left w:val="single" w:color="auto" w:sz="6" w:space="0"/>
              <w:right w:val="single" w:color="auto" w:sz="6" w:space="0"/>
            </w:tcBorders>
            <w:vAlign w:val="center"/>
          </w:tcPr>
          <w:p>
            <w:pPr>
              <w:jc w:val="center"/>
              <w:rPr>
                <w:rFonts w:hint="eastAsia"/>
                <w:sz w:val="24"/>
              </w:rPr>
            </w:pPr>
            <w:r>
              <w:rPr>
                <w:rFonts w:hint="eastAsia"/>
                <w:sz w:val="24"/>
              </w:rPr>
              <w:t>废油渣</w:t>
            </w:r>
          </w:p>
        </w:tc>
        <w:tc>
          <w:tcPr>
            <w:tcW w:w="2280" w:type="dxa"/>
            <w:tcBorders>
              <w:top w:val="single" w:color="auto" w:sz="6" w:space="0"/>
              <w:left w:val="single" w:color="auto" w:sz="6" w:space="0"/>
              <w:right w:val="single" w:color="auto" w:sz="6" w:space="0"/>
            </w:tcBorders>
            <w:vAlign w:val="center"/>
          </w:tcPr>
          <w:p>
            <w:pPr>
              <w:jc w:val="center"/>
              <w:rPr>
                <w:rFonts w:hint="eastAsia"/>
                <w:sz w:val="24"/>
              </w:rPr>
            </w:pPr>
            <w:r>
              <w:rPr>
                <w:rFonts w:hint="eastAsia"/>
                <w:sz w:val="24"/>
              </w:rPr>
              <w:t>3</w:t>
            </w:r>
            <w:r>
              <w:rPr>
                <w:sz w:val="24"/>
              </w:rPr>
              <w:t>t/a</w:t>
            </w:r>
          </w:p>
        </w:tc>
        <w:tc>
          <w:tcPr>
            <w:tcW w:w="2247" w:type="dxa"/>
            <w:tcBorders>
              <w:left w:val="single" w:color="auto" w:sz="6" w:space="0"/>
              <w:right w:val="single" w:color="auto" w:sz="6" w:space="0"/>
            </w:tcBorders>
            <w:vAlign w:val="center"/>
          </w:tcPr>
          <w:p>
            <w:pPr>
              <w:jc w:val="center"/>
              <w:rPr>
                <w:rFonts w:hint="eastAsia"/>
                <w:color w:val="000000"/>
                <w:sz w:val="24"/>
              </w:rPr>
            </w:pPr>
            <w:r>
              <w:rPr>
                <w:rFonts w:hint="eastAsia"/>
                <w:color w:val="000000"/>
                <w:sz w:val="24"/>
              </w:rPr>
              <w:t>固定容器收集，养殖场作饲料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733" w:hRule="atLeast"/>
          <w:jc w:val="center"/>
        </w:trPr>
        <w:tc>
          <w:tcPr>
            <w:tcW w:w="1037" w:type="dxa"/>
            <w:vMerge w:val="continue"/>
            <w:tcBorders>
              <w:left w:val="single" w:color="auto" w:sz="6" w:space="0"/>
              <w:right w:val="single" w:color="auto" w:sz="6" w:space="0"/>
            </w:tcBorders>
            <w:vAlign w:val="center"/>
          </w:tcPr>
          <w:p>
            <w:pPr>
              <w:spacing w:line="420" w:lineRule="exact"/>
              <w:jc w:val="center"/>
              <w:rPr>
                <w:sz w:val="24"/>
              </w:rPr>
            </w:pPr>
          </w:p>
        </w:tc>
        <w:tc>
          <w:tcPr>
            <w:tcW w:w="986" w:type="dxa"/>
            <w:vMerge w:val="continue"/>
            <w:tcBorders>
              <w:left w:val="single" w:color="auto" w:sz="6" w:space="0"/>
              <w:right w:val="single" w:color="auto" w:sz="6" w:space="0"/>
            </w:tcBorders>
            <w:vAlign w:val="center"/>
          </w:tcPr>
          <w:p>
            <w:pPr>
              <w:spacing w:line="420" w:lineRule="exact"/>
              <w:jc w:val="center"/>
              <w:rPr>
                <w:sz w:val="24"/>
              </w:rPr>
            </w:pPr>
          </w:p>
        </w:tc>
        <w:tc>
          <w:tcPr>
            <w:tcW w:w="1361" w:type="dxa"/>
            <w:vMerge w:val="continue"/>
            <w:tcBorders>
              <w:left w:val="single" w:color="auto" w:sz="6" w:space="0"/>
              <w:right w:val="single" w:color="auto" w:sz="6" w:space="0"/>
            </w:tcBorders>
            <w:vAlign w:val="center"/>
          </w:tcPr>
          <w:p>
            <w:pPr>
              <w:spacing w:line="420" w:lineRule="exact"/>
              <w:jc w:val="center"/>
              <w:rPr>
                <w:sz w:val="24"/>
              </w:rPr>
            </w:pPr>
          </w:p>
        </w:tc>
        <w:tc>
          <w:tcPr>
            <w:tcW w:w="1530" w:type="dxa"/>
            <w:gridSpan w:val="2"/>
            <w:tcBorders>
              <w:top w:val="single" w:color="auto" w:sz="6" w:space="0"/>
              <w:left w:val="single" w:color="auto" w:sz="6" w:space="0"/>
              <w:right w:val="single" w:color="auto" w:sz="6" w:space="0"/>
            </w:tcBorders>
            <w:vAlign w:val="center"/>
          </w:tcPr>
          <w:p>
            <w:pPr>
              <w:jc w:val="center"/>
              <w:rPr>
                <w:rFonts w:hint="eastAsia"/>
                <w:sz w:val="24"/>
              </w:rPr>
            </w:pPr>
            <w:r>
              <w:rPr>
                <w:rFonts w:hint="eastAsia"/>
                <w:sz w:val="24"/>
              </w:rPr>
              <w:t>废油</w:t>
            </w:r>
          </w:p>
        </w:tc>
        <w:tc>
          <w:tcPr>
            <w:tcW w:w="2280" w:type="dxa"/>
            <w:tcBorders>
              <w:top w:val="single" w:color="auto" w:sz="6" w:space="0"/>
              <w:left w:val="single" w:color="auto" w:sz="6" w:space="0"/>
              <w:right w:val="single" w:color="auto" w:sz="6" w:space="0"/>
            </w:tcBorders>
            <w:vAlign w:val="center"/>
          </w:tcPr>
          <w:p>
            <w:pPr>
              <w:jc w:val="center"/>
              <w:rPr>
                <w:rFonts w:hint="eastAsia"/>
                <w:sz w:val="24"/>
              </w:rPr>
            </w:pPr>
            <w:r>
              <w:rPr>
                <w:rFonts w:hint="eastAsia"/>
                <w:sz w:val="24"/>
              </w:rPr>
              <w:t>24t/a</w:t>
            </w:r>
          </w:p>
        </w:tc>
        <w:tc>
          <w:tcPr>
            <w:tcW w:w="2247" w:type="dxa"/>
            <w:tcBorders>
              <w:left w:val="single" w:color="auto" w:sz="6" w:space="0"/>
              <w:right w:val="single" w:color="auto" w:sz="6" w:space="0"/>
            </w:tcBorders>
            <w:vAlign w:val="center"/>
          </w:tcPr>
          <w:p>
            <w:pPr>
              <w:jc w:val="center"/>
              <w:rPr>
                <w:rFonts w:hint="eastAsia"/>
                <w:sz w:val="24"/>
              </w:rPr>
            </w:pPr>
            <w:r>
              <w:rPr>
                <w:rFonts w:hint="eastAsia"/>
                <w:sz w:val="24"/>
              </w:rPr>
              <w:t>专用容器收集，定期交由废油脂集中处置的单位回收处置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812" w:hRule="atLeast"/>
          <w:jc w:val="center"/>
        </w:trPr>
        <w:tc>
          <w:tcPr>
            <w:tcW w:w="1037" w:type="dxa"/>
            <w:vMerge w:val="restart"/>
            <w:tcBorders>
              <w:top w:val="single" w:color="auto" w:sz="6" w:space="0"/>
              <w:left w:val="single" w:color="auto" w:sz="6" w:space="0"/>
              <w:right w:val="single" w:color="auto" w:sz="6" w:space="0"/>
            </w:tcBorders>
            <w:vAlign w:val="center"/>
          </w:tcPr>
          <w:p>
            <w:pPr>
              <w:spacing w:line="420" w:lineRule="exact"/>
              <w:jc w:val="center"/>
              <w:rPr>
                <w:sz w:val="24"/>
              </w:rPr>
            </w:pPr>
            <w:r>
              <w:rPr>
                <w:sz w:val="24"/>
              </w:rPr>
              <w:t>噪</w:t>
            </w:r>
          </w:p>
          <w:p>
            <w:pPr>
              <w:spacing w:line="420" w:lineRule="exact"/>
              <w:jc w:val="center"/>
              <w:rPr>
                <w:sz w:val="24"/>
              </w:rPr>
            </w:pPr>
            <w:r>
              <w:rPr>
                <w:sz w:val="24"/>
              </w:rPr>
              <w:t>声</w:t>
            </w:r>
          </w:p>
        </w:tc>
        <w:tc>
          <w:tcPr>
            <w:tcW w:w="986" w:type="dxa"/>
            <w:tcBorders>
              <w:top w:val="single" w:color="auto" w:sz="6" w:space="0"/>
              <w:left w:val="single" w:color="auto" w:sz="6" w:space="0"/>
              <w:bottom w:val="single" w:color="auto" w:sz="6" w:space="0"/>
              <w:right w:val="single" w:color="auto" w:sz="6" w:space="0"/>
            </w:tcBorders>
            <w:vAlign w:val="center"/>
          </w:tcPr>
          <w:p>
            <w:pPr>
              <w:spacing w:line="420" w:lineRule="exact"/>
              <w:jc w:val="center"/>
              <w:rPr>
                <w:sz w:val="24"/>
              </w:rPr>
            </w:pPr>
            <w:r>
              <w:rPr>
                <w:rFonts w:hint="eastAsia"/>
                <w:sz w:val="24"/>
              </w:rPr>
              <w:t>施工期</w:t>
            </w:r>
          </w:p>
        </w:tc>
        <w:tc>
          <w:tcPr>
            <w:tcW w:w="7418" w:type="dxa"/>
            <w:gridSpan w:val="5"/>
            <w:tcBorders>
              <w:top w:val="single" w:color="auto" w:sz="6" w:space="0"/>
              <w:left w:val="single" w:color="auto" w:sz="6" w:space="0"/>
              <w:bottom w:val="single" w:color="auto" w:sz="6" w:space="0"/>
              <w:right w:val="single" w:color="auto" w:sz="6" w:space="0"/>
            </w:tcBorders>
            <w:vAlign w:val="center"/>
          </w:tcPr>
          <w:p>
            <w:pPr>
              <w:spacing w:line="520" w:lineRule="exact"/>
              <w:ind w:firstLine="480" w:firstLineChars="200"/>
              <w:rPr>
                <w:rFonts w:hint="eastAsia"/>
                <w:sz w:val="24"/>
                <w:highlight w:val="red"/>
              </w:rPr>
            </w:pPr>
            <w:r>
              <w:rPr>
                <w:rFonts w:hint="eastAsia"/>
                <w:sz w:val="24"/>
              </w:rPr>
              <w:t>施工期主要为施工机械噪声和运输物料车辆产生的噪声，经距离衰减、采取降噪措施后可以达到《建筑施工场界环境噪声排放标准》（GB12523-2011）（昼间70dB(A)、夜间55dB(A)）。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812" w:hRule="atLeast"/>
          <w:jc w:val="center"/>
        </w:trPr>
        <w:tc>
          <w:tcPr>
            <w:tcW w:w="1037" w:type="dxa"/>
            <w:vMerge w:val="continue"/>
            <w:tcBorders>
              <w:left w:val="single" w:color="auto" w:sz="6" w:space="0"/>
              <w:bottom w:val="single" w:color="auto" w:sz="6" w:space="0"/>
              <w:right w:val="single" w:color="auto" w:sz="6" w:space="0"/>
            </w:tcBorders>
            <w:vAlign w:val="center"/>
          </w:tcPr>
          <w:p>
            <w:pPr>
              <w:spacing w:line="520" w:lineRule="exact"/>
              <w:ind w:firstLine="420" w:firstLineChars="200"/>
            </w:pPr>
          </w:p>
        </w:tc>
        <w:tc>
          <w:tcPr>
            <w:tcW w:w="986" w:type="dxa"/>
            <w:tcBorders>
              <w:top w:val="single" w:color="auto" w:sz="6" w:space="0"/>
              <w:left w:val="single" w:color="auto" w:sz="6" w:space="0"/>
              <w:bottom w:val="single" w:color="auto" w:sz="6" w:space="0"/>
              <w:right w:val="single" w:color="auto" w:sz="6" w:space="0"/>
            </w:tcBorders>
            <w:vAlign w:val="center"/>
          </w:tcPr>
          <w:p>
            <w:pPr>
              <w:spacing w:line="420" w:lineRule="exact"/>
              <w:jc w:val="center"/>
              <w:rPr>
                <w:rFonts w:hint="eastAsia"/>
                <w:color w:val="0000FF"/>
                <w:sz w:val="24"/>
              </w:rPr>
            </w:pPr>
            <w:r>
              <w:rPr>
                <w:rFonts w:hint="eastAsia"/>
                <w:sz w:val="24"/>
              </w:rPr>
              <w:t>运营期</w:t>
            </w:r>
          </w:p>
        </w:tc>
        <w:tc>
          <w:tcPr>
            <w:tcW w:w="7418" w:type="dxa"/>
            <w:gridSpan w:val="5"/>
            <w:tcBorders>
              <w:top w:val="single" w:color="auto" w:sz="6" w:space="0"/>
              <w:left w:val="single" w:color="auto" w:sz="6" w:space="0"/>
              <w:bottom w:val="single" w:color="auto" w:sz="6" w:space="0"/>
              <w:right w:val="single" w:color="auto" w:sz="6" w:space="0"/>
            </w:tcBorders>
            <w:vAlign w:val="center"/>
          </w:tcPr>
          <w:p>
            <w:pPr>
              <w:spacing w:line="520" w:lineRule="exact"/>
              <w:ind w:firstLine="480" w:firstLineChars="200"/>
              <w:rPr>
                <w:rFonts w:hint="eastAsia"/>
                <w:sz w:val="24"/>
              </w:rPr>
            </w:pPr>
            <w:r>
              <w:rPr>
                <w:rFonts w:hint="eastAsia"/>
                <w:sz w:val="24"/>
              </w:rPr>
              <w:t>运营期</w:t>
            </w:r>
            <w:r>
              <w:rPr>
                <w:bCs/>
                <w:sz w:val="24"/>
              </w:rPr>
              <w:t>主要为</w:t>
            </w:r>
            <w:r>
              <w:rPr>
                <w:rFonts w:hint="eastAsia"/>
                <w:sz w:val="24"/>
              </w:rPr>
              <w:t>挤出机</w:t>
            </w:r>
            <w:r>
              <w:rPr>
                <w:sz w:val="24"/>
              </w:rPr>
              <w:t>、</w:t>
            </w:r>
            <w:r>
              <w:rPr>
                <w:rFonts w:hint="eastAsia"/>
                <w:sz w:val="24"/>
              </w:rPr>
              <w:t>拌面机</w:t>
            </w:r>
            <w:r>
              <w:rPr>
                <w:sz w:val="24"/>
              </w:rPr>
              <w:t>、</w:t>
            </w:r>
            <w:r>
              <w:rPr>
                <w:rFonts w:hint="eastAsia"/>
                <w:sz w:val="24"/>
              </w:rPr>
              <w:t>膨化机、拌料机、成型机</w:t>
            </w:r>
            <w:r>
              <w:rPr>
                <w:bCs/>
                <w:sz w:val="24"/>
              </w:rPr>
              <w:t>等运行过程中产生的噪声，</w:t>
            </w:r>
            <w:r>
              <w:rPr>
                <w:sz w:val="24"/>
              </w:rPr>
              <w:t>噪声源强在7</w:t>
            </w:r>
            <w:r>
              <w:rPr>
                <w:rFonts w:hint="eastAsia"/>
                <w:sz w:val="24"/>
              </w:rPr>
              <w:t>5</w:t>
            </w:r>
            <w:r>
              <w:rPr>
                <w:sz w:val="24"/>
              </w:rPr>
              <w:t>～</w:t>
            </w:r>
            <w:r>
              <w:rPr>
                <w:rFonts w:hint="eastAsia"/>
                <w:sz w:val="24"/>
              </w:rPr>
              <w:t>90</w:t>
            </w:r>
            <w:r>
              <w:rPr>
                <w:sz w:val="24"/>
              </w:rPr>
              <w:t>dB(A)之间，经采取</w:t>
            </w:r>
            <w:r>
              <w:rPr>
                <w:rFonts w:hint="eastAsia"/>
                <w:sz w:val="24"/>
              </w:rPr>
              <w:t>减振</w:t>
            </w:r>
            <w:r>
              <w:rPr>
                <w:sz w:val="24"/>
              </w:rPr>
              <w:t>垫、厂房隔音</w:t>
            </w:r>
            <w:r>
              <w:rPr>
                <w:rFonts w:hint="eastAsia"/>
                <w:sz w:val="24"/>
              </w:rPr>
              <w:t>等措施</w:t>
            </w:r>
            <w:r>
              <w:rPr>
                <w:sz w:val="24"/>
              </w:rPr>
              <w:t>，项目厂界可以达到《工业企业厂界环境噪声排放标准》（GB12348</w:t>
            </w:r>
            <w:r>
              <w:rPr>
                <w:rFonts w:hint="eastAsia"/>
                <w:sz w:val="24"/>
              </w:rPr>
              <w:t>-</w:t>
            </w:r>
            <w:r>
              <w:rPr>
                <w:sz w:val="24"/>
              </w:rPr>
              <w:t>2008）</w:t>
            </w:r>
            <w:r>
              <w:rPr>
                <w:rFonts w:hint="eastAsia"/>
                <w:sz w:val="24"/>
              </w:rPr>
              <w:t>2</w:t>
            </w:r>
            <w:r>
              <w:rPr>
                <w:sz w:val="24"/>
              </w:rPr>
              <w:t>类标准</w:t>
            </w: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133" w:hRule="atLeast"/>
          <w:jc w:val="center"/>
        </w:trPr>
        <w:tc>
          <w:tcPr>
            <w:tcW w:w="9441" w:type="dxa"/>
            <w:gridSpan w:val="7"/>
            <w:tcBorders>
              <w:top w:val="single" w:color="auto" w:sz="6" w:space="0"/>
              <w:left w:val="single" w:color="auto" w:sz="6" w:space="0"/>
              <w:bottom w:val="single" w:color="auto" w:sz="6" w:space="0"/>
              <w:right w:val="single" w:color="auto" w:sz="6" w:space="0"/>
            </w:tcBorders>
            <w:vAlign w:val="center"/>
          </w:tcPr>
          <w:p>
            <w:pPr>
              <w:spacing w:line="420" w:lineRule="exact"/>
              <w:jc w:val="left"/>
              <w:rPr>
                <w:b/>
                <w:bCs/>
              </w:rPr>
            </w:pPr>
            <w:r>
              <w:rPr>
                <w:b/>
                <w:bCs/>
              </w:rPr>
              <w:t>主要生态影响</w:t>
            </w:r>
          </w:p>
          <w:p>
            <w:pPr>
              <w:spacing w:line="520" w:lineRule="exact"/>
              <w:ind w:firstLine="480" w:firstLineChars="200"/>
              <w:jc w:val="left"/>
              <w:rPr>
                <w:rFonts w:hint="eastAsia"/>
              </w:rPr>
            </w:pPr>
            <w:r>
              <w:rPr>
                <w:sz w:val="24"/>
              </w:rPr>
              <w:t>由于长期人为活动和自然条件的影响，区域天然植被几乎无残存，以人为绿化为主，区域内未发现珍稀动物存在，附近无划定的自然生态保护区</w:t>
            </w:r>
            <w:r>
              <w:rPr>
                <w:rFonts w:hint="eastAsia"/>
                <w:sz w:val="24"/>
              </w:rPr>
              <w:t>。</w:t>
            </w:r>
            <w:r>
              <w:rPr>
                <w:sz w:val="24"/>
              </w:rPr>
              <w:t>本项目的建设对生态环境的影响很小</w:t>
            </w:r>
            <w:r>
              <w:rPr>
                <w:rFonts w:hint="eastAsia"/>
                <w:sz w:val="24"/>
              </w:rPr>
              <w:t>。</w:t>
            </w:r>
          </w:p>
          <w:p>
            <w:pPr>
              <w:spacing w:line="420" w:lineRule="exact"/>
              <w:ind w:firstLine="420" w:firstLineChars="200"/>
              <w:jc w:val="left"/>
              <w:rPr>
                <w:rFonts w:hint="eastAsia"/>
              </w:rPr>
            </w:pPr>
          </w:p>
          <w:p>
            <w:pPr>
              <w:spacing w:line="420" w:lineRule="exact"/>
              <w:ind w:firstLine="420" w:firstLineChars="200"/>
              <w:jc w:val="left"/>
              <w:rPr>
                <w:rFonts w:hint="eastAsia"/>
              </w:rPr>
            </w:pPr>
          </w:p>
          <w:p>
            <w:pPr>
              <w:spacing w:line="420" w:lineRule="exact"/>
              <w:ind w:firstLine="420" w:firstLineChars="200"/>
              <w:jc w:val="left"/>
              <w:rPr>
                <w:rFonts w:hint="eastAsia"/>
              </w:rPr>
            </w:pPr>
          </w:p>
          <w:p>
            <w:pPr>
              <w:spacing w:line="420" w:lineRule="exact"/>
              <w:ind w:firstLine="420" w:firstLineChars="200"/>
              <w:jc w:val="left"/>
              <w:rPr>
                <w:rFonts w:hint="eastAsia"/>
              </w:rPr>
            </w:pPr>
          </w:p>
          <w:p>
            <w:pPr>
              <w:pStyle w:val="2"/>
              <w:rPr>
                <w:rFonts w:hint="eastAsia"/>
              </w:rPr>
            </w:pPr>
          </w:p>
          <w:p>
            <w:pPr>
              <w:rPr>
                <w:rFonts w:hint="eastAsia"/>
              </w:rPr>
            </w:pPr>
          </w:p>
          <w:p>
            <w:pPr>
              <w:pStyle w:val="17"/>
              <w:ind w:left="0" w:leftChars="0" w:firstLine="0"/>
            </w:pPr>
          </w:p>
        </w:tc>
      </w:tr>
    </w:tbl>
    <w:p>
      <w:pPr>
        <w:spacing w:line="360" w:lineRule="auto"/>
        <w:outlineLvl w:val="0"/>
        <w:rPr>
          <w:b/>
          <w:sz w:val="24"/>
        </w:rPr>
      </w:pPr>
    </w:p>
    <w:p>
      <w:pPr>
        <w:spacing w:line="360" w:lineRule="auto"/>
        <w:outlineLvl w:val="0"/>
        <w:rPr>
          <w:b/>
          <w:sz w:val="24"/>
        </w:rPr>
      </w:pPr>
    </w:p>
    <w:p>
      <w:pPr>
        <w:spacing w:line="360" w:lineRule="auto"/>
        <w:outlineLvl w:val="0"/>
        <w:rPr>
          <w:b/>
          <w:sz w:val="24"/>
        </w:rPr>
      </w:pPr>
    </w:p>
    <w:p>
      <w:pPr>
        <w:spacing w:line="360" w:lineRule="auto"/>
        <w:outlineLvl w:val="0"/>
        <w:rPr>
          <w:b/>
          <w:sz w:val="24"/>
        </w:rPr>
      </w:pPr>
    </w:p>
    <w:p>
      <w:pPr>
        <w:spacing w:line="360" w:lineRule="auto"/>
        <w:outlineLvl w:val="0"/>
        <w:rPr>
          <w:b/>
          <w:sz w:val="24"/>
        </w:rPr>
      </w:pPr>
    </w:p>
    <w:p>
      <w:pPr>
        <w:spacing w:line="360" w:lineRule="auto"/>
        <w:outlineLvl w:val="0"/>
        <w:rPr>
          <w:b/>
          <w:sz w:val="24"/>
        </w:rPr>
      </w:pPr>
    </w:p>
    <w:p>
      <w:pPr>
        <w:spacing w:line="360" w:lineRule="auto"/>
        <w:outlineLvl w:val="0"/>
        <w:rPr>
          <w:b/>
          <w:sz w:val="24"/>
        </w:rPr>
      </w:pPr>
    </w:p>
    <w:p>
      <w:pPr>
        <w:spacing w:line="360" w:lineRule="auto"/>
        <w:outlineLvl w:val="0"/>
        <w:rPr>
          <w:b/>
          <w:sz w:val="24"/>
        </w:rPr>
      </w:pPr>
    </w:p>
    <w:p>
      <w:pPr>
        <w:spacing w:line="360" w:lineRule="auto"/>
        <w:outlineLvl w:val="0"/>
        <w:rPr>
          <w:b/>
          <w:sz w:val="24"/>
        </w:rPr>
      </w:pPr>
    </w:p>
    <w:p>
      <w:pPr>
        <w:spacing w:line="360" w:lineRule="auto"/>
        <w:outlineLvl w:val="0"/>
        <w:rPr>
          <w:b/>
          <w:sz w:val="24"/>
        </w:rPr>
      </w:pPr>
      <w:r>
        <w:rPr>
          <w:b/>
          <w:sz w:val="24"/>
        </w:rPr>
        <w:t>环境影响分析</w:t>
      </w:r>
    </w:p>
    <w:tbl>
      <w:tblPr>
        <w:tblStyle w:val="28"/>
        <w:tblW w:w="928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86" w:type="dxa"/>
            <w:vAlign w:val="top"/>
          </w:tcPr>
          <w:p>
            <w:pPr>
              <w:spacing w:line="520" w:lineRule="exact"/>
              <w:ind w:firstLine="482" w:firstLineChars="200"/>
              <w:rPr>
                <w:b/>
                <w:bCs/>
                <w:sz w:val="24"/>
              </w:rPr>
            </w:pPr>
            <w:r>
              <w:rPr>
                <w:b/>
                <w:bCs/>
                <w:sz w:val="24"/>
              </w:rPr>
              <w:t>施工期环境影响分析：</w:t>
            </w:r>
          </w:p>
          <w:p>
            <w:pPr>
              <w:spacing w:line="500" w:lineRule="exact"/>
              <w:ind w:firstLine="480" w:firstLineChars="200"/>
              <w:rPr>
                <w:rFonts w:hint="eastAsia"/>
                <w:sz w:val="24"/>
              </w:rPr>
            </w:pPr>
            <w:r>
              <w:rPr>
                <w:rFonts w:hint="eastAsia"/>
                <w:sz w:val="24"/>
              </w:rPr>
              <w:t>项目施工期包括生产厂房（成品库、包装间、油炸间、膨化间、原料库、拌面间）、</w:t>
            </w:r>
            <w:r>
              <w:rPr>
                <w:rFonts w:hint="eastAsia"/>
                <w:sz w:val="24"/>
                <w:lang w:val="zh-CN"/>
              </w:rPr>
              <w:t>办公楼和厕所等</w:t>
            </w:r>
            <w:r>
              <w:rPr>
                <w:rFonts w:hint="eastAsia"/>
                <w:sz w:val="24"/>
              </w:rPr>
              <w:t>的建设。</w:t>
            </w:r>
          </w:p>
          <w:p>
            <w:pPr>
              <w:spacing w:line="500" w:lineRule="exact"/>
              <w:ind w:left="560"/>
              <w:rPr>
                <w:b/>
                <w:color w:val="000000"/>
                <w:sz w:val="24"/>
              </w:rPr>
            </w:pPr>
            <w:r>
              <w:rPr>
                <w:b/>
                <w:color w:val="000000"/>
                <w:sz w:val="24"/>
              </w:rPr>
              <w:t>1、大气环境影响分析</w:t>
            </w:r>
          </w:p>
          <w:p>
            <w:pPr>
              <w:spacing w:line="520" w:lineRule="exact"/>
              <w:ind w:firstLine="480" w:firstLineChars="200"/>
              <w:rPr>
                <w:sz w:val="24"/>
              </w:rPr>
            </w:pPr>
            <w:r>
              <w:rPr>
                <w:sz w:val="24"/>
              </w:rPr>
              <w:t>施工期废气主要是施工场地清理、平整、开挖、回填、建材的运输、露天堆放、装卸等过程中产生的扬尘。</w:t>
            </w:r>
          </w:p>
          <w:p>
            <w:pPr>
              <w:spacing w:line="520" w:lineRule="exact"/>
              <w:ind w:firstLine="480" w:firstLineChars="200"/>
              <w:rPr>
                <w:sz w:val="24"/>
              </w:rPr>
            </w:pPr>
            <w:r>
              <w:rPr>
                <w:sz w:val="24"/>
              </w:rPr>
              <w:t>施工期间产生的扬尘主要影响项目所在地块周围，扬尘的影响范围比较广，主要表现为空气中总悬浮颗粒浓度增大，特别是在天气干燥、风速较大时影响更为显著。施工期间产生的扬尘主要集中在土建施工阶段，按气沉原因可分为风力扬尘和动力扬尘。</w:t>
            </w:r>
          </w:p>
          <w:p>
            <w:pPr>
              <w:spacing w:line="520" w:lineRule="exact"/>
              <w:ind w:firstLine="480" w:firstLineChars="200"/>
              <w:rPr>
                <w:sz w:val="24"/>
              </w:rPr>
            </w:pPr>
            <w:r>
              <w:rPr>
                <w:rStyle w:val="27"/>
                <w:rFonts w:hint="eastAsia"/>
                <w:sz w:val="24"/>
                <w:szCs w:val="24"/>
              </w:rPr>
              <w:t>（1）</w:t>
            </w:r>
            <w:r>
              <w:rPr>
                <w:sz w:val="24"/>
              </w:rPr>
              <w:t>风力扬尘</w:t>
            </w:r>
          </w:p>
          <w:p>
            <w:pPr>
              <w:spacing w:line="520" w:lineRule="exact"/>
              <w:ind w:firstLine="480" w:firstLineChars="200"/>
              <w:rPr>
                <w:sz w:val="24"/>
              </w:rPr>
            </w:pPr>
            <w:r>
              <w:rPr>
                <w:sz w:val="24"/>
              </w:rPr>
              <w:t>主要为物料存放过程及表层土壤需要人工开挖、堆放且在气候干燥有风的情况下产生扬尘。表</w:t>
            </w:r>
            <w:r>
              <w:rPr>
                <w:rFonts w:hint="eastAsia"/>
                <w:sz w:val="24"/>
              </w:rPr>
              <w:t>27</w:t>
            </w:r>
            <w:r>
              <w:rPr>
                <w:sz w:val="24"/>
              </w:rPr>
              <w:t>为完全干燥、无风速影响条件下不同粒径的尘粒的沉降速度。</w:t>
            </w:r>
          </w:p>
          <w:p>
            <w:pPr>
              <w:spacing w:line="520" w:lineRule="exact"/>
              <w:ind w:firstLine="200"/>
              <w:jc w:val="center"/>
              <w:rPr>
                <w:rFonts w:hint="eastAsia" w:ascii="宋体" w:hAnsi="宋体" w:cs="宋体"/>
                <w:b/>
                <w:bCs/>
                <w:szCs w:val="21"/>
              </w:rPr>
            </w:pPr>
            <w:r>
              <w:rPr>
                <w:rFonts w:hint="eastAsia" w:ascii="宋体" w:hAnsi="宋体" w:cs="宋体"/>
                <w:b/>
                <w:bCs/>
                <w:szCs w:val="21"/>
              </w:rPr>
              <w:t>表27  不同粒径尘粒的沉降速度</w:t>
            </w:r>
          </w:p>
          <w:tbl>
            <w:tblPr>
              <w:tblStyle w:val="28"/>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056"/>
              <w:gridCol w:w="1055"/>
              <w:gridCol w:w="1055"/>
              <w:gridCol w:w="1054"/>
              <w:gridCol w:w="1055"/>
              <w:gridCol w:w="1056"/>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74" w:type="dxa"/>
                  <w:vAlign w:val="center"/>
                </w:tcPr>
                <w:p>
                  <w:pPr>
                    <w:jc w:val="center"/>
                    <w:rPr>
                      <w:szCs w:val="21"/>
                    </w:rPr>
                  </w:pPr>
                  <w:r>
                    <w:rPr>
                      <w:szCs w:val="21"/>
                    </w:rPr>
                    <w:t>粒径（μm）</w:t>
                  </w:r>
                </w:p>
              </w:tc>
              <w:tc>
                <w:tcPr>
                  <w:tcW w:w="1056" w:type="dxa"/>
                  <w:vAlign w:val="center"/>
                </w:tcPr>
                <w:p>
                  <w:pPr>
                    <w:jc w:val="center"/>
                    <w:rPr>
                      <w:szCs w:val="21"/>
                    </w:rPr>
                  </w:pPr>
                  <w:r>
                    <w:rPr>
                      <w:szCs w:val="21"/>
                    </w:rPr>
                    <w:t>10</w:t>
                  </w:r>
                </w:p>
              </w:tc>
              <w:tc>
                <w:tcPr>
                  <w:tcW w:w="1055" w:type="dxa"/>
                  <w:vAlign w:val="center"/>
                </w:tcPr>
                <w:p>
                  <w:pPr>
                    <w:jc w:val="center"/>
                    <w:rPr>
                      <w:szCs w:val="21"/>
                    </w:rPr>
                  </w:pPr>
                  <w:r>
                    <w:rPr>
                      <w:szCs w:val="21"/>
                    </w:rPr>
                    <w:t>20</w:t>
                  </w:r>
                </w:p>
              </w:tc>
              <w:tc>
                <w:tcPr>
                  <w:tcW w:w="1055" w:type="dxa"/>
                  <w:vAlign w:val="center"/>
                </w:tcPr>
                <w:p>
                  <w:pPr>
                    <w:jc w:val="center"/>
                    <w:rPr>
                      <w:szCs w:val="21"/>
                    </w:rPr>
                  </w:pPr>
                  <w:r>
                    <w:rPr>
                      <w:szCs w:val="21"/>
                    </w:rPr>
                    <w:t>30</w:t>
                  </w:r>
                </w:p>
              </w:tc>
              <w:tc>
                <w:tcPr>
                  <w:tcW w:w="1054" w:type="dxa"/>
                  <w:vAlign w:val="center"/>
                </w:tcPr>
                <w:p>
                  <w:pPr>
                    <w:jc w:val="center"/>
                    <w:rPr>
                      <w:szCs w:val="21"/>
                    </w:rPr>
                  </w:pPr>
                  <w:r>
                    <w:rPr>
                      <w:szCs w:val="21"/>
                    </w:rPr>
                    <w:t>40</w:t>
                  </w:r>
                </w:p>
              </w:tc>
              <w:tc>
                <w:tcPr>
                  <w:tcW w:w="1055" w:type="dxa"/>
                  <w:vAlign w:val="center"/>
                </w:tcPr>
                <w:p>
                  <w:pPr>
                    <w:jc w:val="center"/>
                    <w:rPr>
                      <w:szCs w:val="21"/>
                    </w:rPr>
                  </w:pPr>
                  <w:r>
                    <w:rPr>
                      <w:szCs w:val="21"/>
                    </w:rPr>
                    <w:t>50</w:t>
                  </w:r>
                </w:p>
              </w:tc>
              <w:tc>
                <w:tcPr>
                  <w:tcW w:w="1056" w:type="dxa"/>
                  <w:vAlign w:val="center"/>
                </w:tcPr>
                <w:p>
                  <w:pPr>
                    <w:jc w:val="center"/>
                    <w:rPr>
                      <w:szCs w:val="21"/>
                    </w:rPr>
                  </w:pPr>
                  <w:r>
                    <w:rPr>
                      <w:szCs w:val="21"/>
                    </w:rPr>
                    <w:t>60</w:t>
                  </w:r>
                </w:p>
              </w:tc>
              <w:tc>
                <w:tcPr>
                  <w:tcW w:w="1055" w:type="dxa"/>
                  <w:vAlign w:val="center"/>
                </w:tcPr>
                <w:p>
                  <w:pPr>
                    <w:jc w:val="center"/>
                    <w:rPr>
                      <w:szCs w:val="21"/>
                    </w:rPr>
                  </w:pPr>
                  <w:r>
                    <w:rPr>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74" w:type="dxa"/>
                  <w:vAlign w:val="center"/>
                </w:tcPr>
                <w:p>
                  <w:pPr>
                    <w:jc w:val="center"/>
                    <w:rPr>
                      <w:szCs w:val="21"/>
                    </w:rPr>
                  </w:pPr>
                  <w:r>
                    <w:rPr>
                      <w:szCs w:val="21"/>
                    </w:rPr>
                    <w:t>沉降速度（m/s）</w:t>
                  </w:r>
                </w:p>
              </w:tc>
              <w:tc>
                <w:tcPr>
                  <w:tcW w:w="1056" w:type="dxa"/>
                  <w:vAlign w:val="center"/>
                </w:tcPr>
                <w:p>
                  <w:pPr>
                    <w:jc w:val="center"/>
                    <w:rPr>
                      <w:szCs w:val="21"/>
                    </w:rPr>
                  </w:pPr>
                  <w:r>
                    <w:rPr>
                      <w:szCs w:val="21"/>
                    </w:rPr>
                    <w:t>0.03</w:t>
                  </w:r>
                </w:p>
              </w:tc>
              <w:tc>
                <w:tcPr>
                  <w:tcW w:w="1055" w:type="dxa"/>
                  <w:vAlign w:val="center"/>
                </w:tcPr>
                <w:p>
                  <w:pPr>
                    <w:jc w:val="center"/>
                    <w:rPr>
                      <w:szCs w:val="21"/>
                    </w:rPr>
                  </w:pPr>
                  <w:r>
                    <w:rPr>
                      <w:szCs w:val="21"/>
                    </w:rPr>
                    <w:t>0.012</w:t>
                  </w:r>
                </w:p>
              </w:tc>
              <w:tc>
                <w:tcPr>
                  <w:tcW w:w="1055" w:type="dxa"/>
                  <w:vAlign w:val="center"/>
                </w:tcPr>
                <w:p>
                  <w:pPr>
                    <w:jc w:val="center"/>
                    <w:rPr>
                      <w:szCs w:val="21"/>
                    </w:rPr>
                  </w:pPr>
                  <w:r>
                    <w:rPr>
                      <w:szCs w:val="21"/>
                    </w:rPr>
                    <w:t>0.027</w:t>
                  </w:r>
                </w:p>
              </w:tc>
              <w:tc>
                <w:tcPr>
                  <w:tcW w:w="1054" w:type="dxa"/>
                  <w:vAlign w:val="center"/>
                </w:tcPr>
                <w:p>
                  <w:pPr>
                    <w:jc w:val="center"/>
                    <w:rPr>
                      <w:szCs w:val="21"/>
                    </w:rPr>
                  </w:pPr>
                  <w:r>
                    <w:rPr>
                      <w:szCs w:val="21"/>
                    </w:rPr>
                    <w:t>0.048</w:t>
                  </w:r>
                </w:p>
              </w:tc>
              <w:tc>
                <w:tcPr>
                  <w:tcW w:w="1055" w:type="dxa"/>
                  <w:vAlign w:val="center"/>
                </w:tcPr>
                <w:p>
                  <w:pPr>
                    <w:jc w:val="center"/>
                    <w:rPr>
                      <w:szCs w:val="21"/>
                    </w:rPr>
                  </w:pPr>
                  <w:r>
                    <w:rPr>
                      <w:szCs w:val="21"/>
                    </w:rPr>
                    <w:t>0.075</w:t>
                  </w:r>
                </w:p>
              </w:tc>
              <w:tc>
                <w:tcPr>
                  <w:tcW w:w="1056" w:type="dxa"/>
                  <w:vAlign w:val="center"/>
                </w:tcPr>
                <w:p>
                  <w:pPr>
                    <w:jc w:val="center"/>
                    <w:rPr>
                      <w:szCs w:val="21"/>
                    </w:rPr>
                  </w:pPr>
                  <w:r>
                    <w:rPr>
                      <w:szCs w:val="21"/>
                    </w:rPr>
                    <w:t>0.108</w:t>
                  </w:r>
                </w:p>
              </w:tc>
              <w:tc>
                <w:tcPr>
                  <w:tcW w:w="1055" w:type="dxa"/>
                  <w:vAlign w:val="center"/>
                </w:tcPr>
                <w:p>
                  <w:pPr>
                    <w:jc w:val="center"/>
                    <w:rPr>
                      <w:szCs w:val="21"/>
                    </w:rPr>
                  </w:pPr>
                  <w:r>
                    <w:rPr>
                      <w:szCs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74" w:type="dxa"/>
                  <w:vAlign w:val="center"/>
                </w:tcPr>
                <w:p>
                  <w:pPr>
                    <w:jc w:val="center"/>
                    <w:rPr>
                      <w:szCs w:val="21"/>
                    </w:rPr>
                  </w:pPr>
                  <w:r>
                    <w:rPr>
                      <w:szCs w:val="21"/>
                    </w:rPr>
                    <w:t>粒径（μm）</w:t>
                  </w:r>
                </w:p>
              </w:tc>
              <w:tc>
                <w:tcPr>
                  <w:tcW w:w="1056" w:type="dxa"/>
                  <w:vAlign w:val="center"/>
                </w:tcPr>
                <w:p>
                  <w:pPr>
                    <w:jc w:val="center"/>
                    <w:rPr>
                      <w:szCs w:val="21"/>
                    </w:rPr>
                  </w:pPr>
                  <w:r>
                    <w:rPr>
                      <w:szCs w:val="21"/>
                    </w:rPr>
                    <w:t>80</w:t>
                  </w:r>
                </w:p>
              </w:tc>
              <w:tc>
                <w:tcPr>
                  <w:tcW w:w="1055" w:type="dxa"/>
                  <w:vAlign w:val="center"/>
                </w:tcPr>
                <w:p>
                  <w:pPr>
                    <w:jc w:val="center"/>
                    <w:rPr>
                      <w:szCs w:val="21"/>
                    </w:rPr>
                  </w:pPr>
                  <w:r>
                    <w:rPr>
                      <w:szCs w:val="21"/>
                    </w:rPr>
                    <w:t>90</w:t>
                  </w:r>
                </w:p>
              </w:tc>
              <w:tc>
                <w:tcPr>
                  <w:tcW w:w="1055" w:type="dxa"/>
                  <w:vAlign w:val="center"/>
                </w:tcPr>
                <w:p>
                  <w:pPr>
                    <w:jc w:val="center"/>
                    <w:rPr>
                      <w:szCs w:val="21"/>
                    </w:rPr>
                  </w:pPr>
                  <w:r>
                    <w:rPr>
                      <w:szCs w:val="21"/>
                    </w:rPr>
                    <w:t>100</w:t>
                  </w:r>
                </w:p>
              </w:tc>
              <w:tc>
                <w:tcPr>
                  <w:tcW w:w="1054" w:type="dxa"/>
                  <w:vAlign w:val="center"/>
                </w:tcPr>
                <w:p>
                  <w:pPr>
                    <w:jc w:val="center"/>
                    <w:rPr>
                      <w:szCs w:val="21"/>
                    </w:rPr>
                  </w:pPr>
                  <w:r>
                    <w:rPr>
                      <w:szCs w:val="21"/>
                    </w:rPr>
                    <w:t>150</w:t>
                  </w:r>
                </w:p>
              </w:tc>
              <w:tc>
                <w:tcPr>
                  <w:tcW w:w="1055" w:type="dxa"/>
                  <w:vAlign w:val="center"/>
                </w:tcPr>
                <w:p>
                  <w:pPr>
                    <w:jc w:val="center"/>
                    <w:rPr>
                      <w:szCs w:val="21"/>
                    </w:rPr>
                  </w:pPr>
                  <w:r>
                    <w:rPr>
                      <w:szCs w:val="21"/>
                    </w:rPr>
                    <w:t>200</w:t>
                  </w:r>
                </w:p>
              </w:tc>
              <w:tc>
                <w:tcPr>
                  <w:tcW w:w="1056" w:type="dxa"/>
                  <w:vAlign w:val="center"/>
                </w:tcPr>
                <w:p>
                  <w:pPr>
                    <w:jc w:val="center"/>
                    <w:rPr>
                      <w:szCs w:val="21"/>
                    </w:rPr>
                  </w:pPr>
                  <w:r>
                    <w:rPr>
                      <w:szCs w:val="21"/>
                    </w:rPr>
                    <w:t>250</w:t>
                  </w:r>
                </w:p>
              </w:tc>
              <w:tc>
                <w:tcPr>
                  <w:tcW w:w="1055" w:type="dxa"/>
                  <w:vAlign w:val="center"/>
                </w:tcPr>
                <w:p>
                  <w:pPr>
                    <w:jc w:val="center"/>
                    <w:rPr>
                      <w:szCs w:val="21"/>
                    </w:rPr>
                  </w:pPr>
                  <w:r>
                    <w:rPr>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74" w:type="dxa"/>
                  <w:vAlign w:val="center"/>
                </w:tcPr>
                <w:p>
                  <w:pPr>
                    <w:jc w:val="center"/>
                    <w:rPr>
                      <w:szCs w:val="21"/>
                    </w:rPr>
                  </w:pPr>
                  <w:r>
                    <w:rPr>
                      <w:szCs w:val="21"/>
                    </w:rPr>
                    <w:t>沉降速度（m/s）</w:t>
                  </w:r>
                </w:p>
              </w:tc>
              <w:tc>
                <w:tcPr>
                  <w:tcW w:w="1056" w:type="dxa"/>
                  <w:vAlign w:val="center"/>
                </w:tcPr>
                <w:p>
                  <w:pPr>
                    <w:jc w:val="center"/>
                    <w:rPr>
                      <w:szCs w:val="21"/>
                    </w:rPr>
                  </w:pPr>
                  <w:r>
                    <w:rPr>
                      <w:szCs w:val="21"/>
                    </w:rPr>
                    <w:t>0.158</w:t>
                  </w:r>
                </w:p>
              </w:tc>
              <w:tc>
                <w:tcPr>
                  <w:tcW w:w="1055" w:type="dxa"/>
                  <w:vAlign w:val="center"/>
                </w:tcPr>
                <w:p>
                  <w:pPr>
                    <w:jc w:val="center"/>
                    <w:rPr>
                      <w:szCs w:val="21"/>
                    </w:rPr>
                  </w:pPr>
                  <w:r>
                    <w:rPr>
                      <w:szCs w:val="21"/>
                    </w:rPr>
                    <w:t>0.17</w:t>
                  </w:r>
                </w:p>
              </w:tc>
              <w:tc>
                <w:tcPr>
                  <w:tcW w:w="1055" w:type="dxa"/>
                  <w:vAlign w:val="center"/>
                </w:tcPr>
                <w:p>
                  <w:pPr>
                    <w:jc w:val="center"/>
                    <w:rPr>
                      <w:szCs w:val="21"/>
                    </w:rPr>
                  </w:pPr>
                  <w:r>
                    <w:rPr>
                      <w:szCs w:val="21"/>
                    </w:rPr>
                    <w:t>0.12</w:t>
                  </w:r>
                </w:p>
              </w:tc>
              <w:tc>
                <w:tcPr>
                  <w:tcW w:w="1054" w:type="dxa"/>
                  <w:vAlign w:val="center"/>
                </w:tcPr>
                <w:p>
                  <w:pPr>
                    <w:jc w:val="center"/>
                    <w:rPr>
                      <w:szCs w:val="21"/>
                    </w:rPr>
                  </w:pPr>
                  <w:r>
                    <w:rPr>
                      <w:szCs w:val="21"/>
                    </w:rPr>
                    <w:t>0.239</w:t>
                  </w:r>
                </w:p>
              </w:tc>
              <w:tc>
                <w:tcPr>
                  <w:tcW w:w="1055" w:type="dxa"/>
                  <w:vAlign w:val="center"/>
                </w:tcPr>
                <w:p>
                  <w:pPr>
                    <w:jc w:val="center"/>
                    <w:rPr>
                      <w:szCs w:val="21"/>
                    </w:rPr>
                  </w:pPr>
                  <w:r>
                    <w:rPr>
                      <w:szCs w:val="21"/>
                    </w:rPr>
                    <w:t>0.804</w:t>
                  </w:r>
                </w:p>
              </w:tc>
              <w:tc>
                <w:tcPr>
                  <w:tcW w:w="1056" w:type="dxa"/>
                  <w:vAlign w:val="center"/>
                </w:tcPr>
                <w:p>
                  <w:pPr>
                    <w:jc w:val="center"/>
                    <w:rPr>
                      <w:szCs w:val="21"/>
                    </w:rPr>
                  </w:pPr>
                  <w:r>
                    <w:rPr>
                      <w:szCs w:val="21"/>
                    </w:rPr>
                    <w:t>1.005</w:t>
                  </w:r>
                </w:p>
              </w:tc>
              <w:tc>
                <w:tcPr>
                  <w:tcW w:w="1055" w:type="dxa"/>
                  <w:vAlign w:val="center"/>
                </w:tcPr>
                <w:p>
                  <w:pPr>
                    <w:jc w:val="center"/>
                    <w:rPr>
                      <w:szCs w:val="21"/>
                    </w:rPr>
                  </w:pPr>
                  <w:r>
                    <w:rPr>
                      <w:szCs w:val="21"/>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74" w:type="dxa"/>
                  <w:vAlign w:val="center"/>
                </w:tcPr>
                <w:p>
                  <w:pPr>
                    <w:jc w:val="center"/>
                    <w:rPr>
                      <w:szCs w:val="21"/>
                    </w:rPr>
                  </w:pPr>
                  <w:r>
                    <w:rPr>
                      <w:szCs w:val="21"/>
                    </w:rPr>
                    <w:t>粒径（μm）</w:t>
                  </w:r>
                </w:p>
              </w:tc>
              <w:tc>
                <w:tcPr>
                  <w:tcW w:w="1056" w:type="dxa"/>
                  <w:vAlign w:val="center"/>
                </w:tcPr>
                <w:p>
                  <w:pPr>
                    <w:jc w:val="center"/>
                    <w:rPr>
                      <w:szCs w:val="21"/>
                    </w:rPr>
                  </w:pPr>
                  <w:r>
                    <w:rPr>
                      <w:szCs w:val="21"/>
                    </w:rPr>
                    <w:t>450</w:t>
                  </w:r>
                </w:p>
              </w:tc>
              <w:tc>
                <w:tcPr>
                  <w:tcW w:w="1055" w:type="dxa"/>
                  <w:vAlign w:val="center"/>
                </w:tcPr>
                <w:p>
                  <w:pPr>
                    <w:jc w:val="center"/>
                    <w:rPr>
                      <w:szCs w:val="21"/>
                    </w:rPr>
                  </w:pPr>
                  <w:r>
                    <w:rPr>
                      <w:szCs w:val="21"/>
                    </w:rPr>
                    <w:t>550</w:t>
                  </w:r>
                </w:p>
              </w:tc>
              <w:tc>
                <w:tcPr>
                  <w:tcW w:w="1055" w:type="dxa"/>
                  <w:vAlign w:val="center"/>
                </w:tcPr>
                <w:p>
                  <w:pPr>
                    <w:jc w:val="center"/>
                    <w:rPr>
                      <w:szCs w:val="21"/>
                    </w:rPr>
                  </w:pPr>
                  <w:r>
                    <w:rPr>
                      <w:szCs w:val="21"/>
                    </w:rPr>
                    <w:t>276</w:t>
                  </w:r>
                </w:p>
              </w:tc>
              <w:tc>
                <w:tcPr>
                  <w:tcW w:w="1054" w:type="dxa"/>
                  <w:vAlign w:val="center"/>
                </w:tcPr>
                <w:p>
                  <w:pPr>
                    <w:jc w:val="center"/>
                    <w:rPr>
                      <w:szCs w:val="21"/>
                    </w:rPr>
                  </w:pPr>
                  <w:r>
                    <w:rPr>
                      <w:szCs w:val="21"/>
                    </w:rPr>
                    <w:t>750</w:t>
                  </w:r>
                </w:p>
              </w:tc>
              <w:tc>
                <w:tcPr>
                  <w:tcW w:w="1055" w:type="dxa"/>
                  <w:vAlign w:val="center"/>
                </w:tcPr>
                <w:p>
                  <w:pPr>
                    <w:jc w:val="center"/>
                    <w:rPr>
                      <w:szCs w:val="21"/>
                    </w:rPr>
                  </w:pPr>
                  <w:r>
                    <w:rPr>
                      <w:szCs w:val="21"/>
                    </w:rPr>
                    <w:t>850</w:t>
                  </w:r>
                </w:p>
              </w:tc>
              <w:tc>
                <w:tcPr>
                  <w:tcW w:w="1056" w:type="dxa"/>
                  <w:vAlign w:val="center"/>
                </w:tcPr>
                <w:p>
                  <w:pPr>
                    <w:jc w:val="center"/>
                    <w:rPr>
                      <w:szCs w:val="21"/>
                    </w:rPr>
                  </w:pPr>
                  <w:r>
                    <w:rPr>
                      <w:szCs w:val="21"/>
                    </w:rPr>
                    <w:t>95</w:t>
                  </w:r>
                </w:p>
              </w:tc>
              <w:tc>
                <w:tcPr>
                  <w:tcW w:w="1055" w:type="dxa"/>
                  <w:vAlign w:val="center"/>
                </w:tcPr>
                <w:p>
                  <w:pPr>
                    <w:jc w:val="center"/>
                    <w:rPr>
                      <w:szCs w:val="21"/>
                    </w:rPr>
                  </w:pPr>
                  <w:r>
                    <w:rPr>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74" w:type="dxa"/>
                  <w:vAlign w:val="center"/>
                </w:tcPr>
                <w:p>
                  <w:pPr>
                    <w:jc w:val="center"/>
                    <w:rPr>
                      <w:szCs w:val="21"/>
                    </w:rPr>
                  </w:pPr>
                  <w:r>
                    <w:rPr>
                      <w:szCs w:val="21"/>
                    </w:rPr>
                    <w:t>沉降速度（m/s）</w:t>
                  </w:r>
                </w:p>
              </w:tc>
              <w:tc>
                <w:tcPr>
                  <w:tcW w:w="1056" w:type="dxa"/>
                  <w:vAlign w:val="center"/>
                </w:tcPr>
                <w:p>
                  <w:pPr>
                    <w:jc w:val="center"/>
                    <w:rPr>
                      <w:szCs w:val="21"/>
                    </w:rPr>
                  </w:pPr>
                  <w:r>
                    <w:rPr>
                      <w:szCs w:val="21"/>
                    </w:rPr>
                    <w:t>2.211</w:t>
                  </w:r>
                </w:p>
              </w:tc>
              <w:tc>
                <w:tcPr>
                  <w:tcW w:w="1055" w:type="dxa"/>
                  <w:vAlign w:val="center"/>
                </w:tcPr>
                <w:p>
                  <w:pPr>
                    <w:jc w:val="center"/>
                    <w:rPr>
                      <w:szCs w:val="21"/>
                    </w:rPr>
                  </w:pPr>
                  <w:r>
                    <w:rPr>
                      <w:szCs w:val="21"/>
                    </w:rPr>
                    <w:t>2.614</w:t>
                  </w:r>
                </w:p>
              </w:tc>
              <w:tc>
                <w:tcPr>
                  <w:tcW w:w="1055" w:type="dxa"/>
                  <w:vAlign w:val="center"/>
                </w:tcPr>
                <w:p>
                  <w:pPr>
                    <w:jc w:val="center"/>
                    <w:rPr>
                      <w:szCs w:val="21"/>
                    </w:rPr>
                  </w:pPr>
                  <w:r>
                    <w:rPr>
                      <w:szCs w:val="21"/>
                    </w:rPr>
                    <w:t>3.016</w:t>
                  </w:r>
                </w:p>
              </w:tc>
              <w:tc>
                <w:tcPr>
                  <w:tcW w:w="1054" w:type="dxa"/>
                  <w:vAlign w:val="center"/>
                </w:tcPr>
                <w:p>
                  <w:pPr>
                    <w:jc w:val="center"/>
                    <w:rPr>
                      <w:szCs w:val="21"/>
                    </w:rPr>
                  </w:pPr>
                  <w:r>
                    <w:rPr>
                      <w:szCs w:val="21"/>
                    </w:rPr>
                    <w:t>3.418</w:t>
                  </w:r>
                </w:p>
              </w:tc>
              <w:tc>
                <w:tcPr>
                  <w:tcW w:w="1055" w:type="dxa"/>
                  <w:vAlign w:val="center"/>
                </w:tcPr>
                <w:p>
                  <w:pPr>
                    <w:jc w:val="center"/>
                    <w:rPr>
                      <w:szCs w:val="21"/>
                    </w:rPr>
                  </w:pPr>
                  <w:r>
                    <w:rPr>
                      <w:szCs w:val="21"/>
                    </w:rPr>
                    <w:t>3.82</w:t>
                  </w:r>
                </w:p>
              </w:tc>
              <w:tc>
                <w:tcPr>
                  <w:tcW w:w="1056" w:type="dxa"/>
                  <w:vAlign w:val="center"/>
                </w:tcPr>
                <w:p>
                  <w:pPr>
                    <w:jc w:val="center"/>
                    <w:rPr>
                      <w:szCs w:val="21"/>
                    </w:rPr>
                  </w:pPr>
                  <w:r>
                    <w:rPr>
                      <w:szCs w:val="21"/>
                    </w:rPr>
                    <w:t>4.22</w:t>
                  </w:r>
                </w:p>
              </w:tc>
              <w:tc>
                <w:tcPr>
                  <w:tcW w:w="1055" w:type="dxa"/>
                  <w:vAlign w:val="center"/>
                </w:tcPr>
                <w:p>
                  <w:pPr>
                    <w:jc w:val="center"/>
                    <w:rPr>
                      <w:szCs w:val="21"/>
                    </w:rPr>
                  </w:pPr>
                  <w:r>
                    <w:rPr>
                      <w:szCs w:val="21"/>
                    </w:rPr>
                    <w:t>4.62</w:t>
                  </w:r>
                </w:p>
              </w:tc>
            </w:tr>
          </w:tbl>
          <w:p>
            <w:pPr>
              <w:spacing w:line="520" w:lineRule="exact"/>
              <w:ind w:firstLine="480" w:firstLineChars="200"/>
              <w:rPr>
                <w:sz w:val="24"/>
              </w:rPr>
            </w:pPr>
            <w:r>
              <w:rPr>
                <w:sz w:val="24"/>
              </w:rPr>
              <w:t>由表</w:t>
            </w:r>
            <w:r>
              <w:rPr>
                <w:rFonts w:hint="eastAsia"/>
                <w:sz w:val="24"/>
              </w:rPr>
              <w:t>27</w:t>
            </w:r>
            <w:r>
              <w:rPr>
                <w:sz w:val="24"/>
              </w:rPr>
              <w:t>可知，尘粒的沉降速度随着粒径的增大而迅速增大，当粒径大于250μm时，主要影响范围在扬尘点下风向近距离范围内，对外环境影响的主要为微小尘粒，由于施工季节的不同，其影响范围和方向也不同。</w:t>
            </w:r>
            <w:r>
              <w:rPr>
                <w:rFonts w:hint="eastAsia"/>
                <w:sz w:val="24"/>
              </w:rPr>
              <w:t>滑</w:t>
            </w:r>
            <w:r>
              <w:rPr>
                <w:sz w:val="24"/>
              </w:rPr>
              <w:t>县每年春、秋季节风力较大，在施工期间可能会对环境敏感点产生一定的影响。</w:t>
            </w:r>
          </w:p>
          <w:p>
            <w:pPr>
              <w:spacing w:line="520" w:lineRule="exact"/>
              <w:ind w:firstLine="482"/>
              <w:rPr>
                <w:sz w:val="24"/>
              </w:rPr>
            </w:pPr>
            <w:r>
              <w:rPr>
                <w:rFonts w:hint="eastAsia"/>
                <w:sz w:val="24"/>
              </w:rPr>
              <w:t>（2）</w:t>
            </w:r>
            <w:r>
              <w:rPr>
                <w:sz w:val="24"/>
              </w:rPr>
              <w:t>动力起尘</w:t>
            </w:r>
          </w:p>
          <w:p>
            <w:pPr>
              <w:spacing w:line="520" w:lineRule="exact"/>
              <w:ind w:firstLine="482"/>
              <w:rPr>
                <w:sz w:val="24"/>
              </w:rPr>
            </w:pPr>
            <w:r>
              <w:rPr>
                <w:sz w:val="24"/>
              </w:rPr>
              <w:t>动力起尘主要为来往运输车辆行驶产生的扬尘，根据车型、车速、路况的不同，产生的扬尘量也不同。在同样路面情况下，车速越快扬尘量越大；而在同样车速的情况下，路面清洁度越差，扬尘量越大。</w:t>
            </w:r>
          </w:p>
          <w:p>
            <w:pPr>
              <w:spacing w:line="520" w:lineRule="exact"/>
              <w:ind w:firstLine="482"/>
              <w:rPr>
                <w:sz w:val="24"/>
              </w:rPr>
            </w:pPr>
            <w:r>
              <w:rPr>
                <w:sz w:val="24"/>
              </w:rPr>
              <w:t>施工期间经洒水抑尘，可以大大降低扬尘的产生，表</w:t>
            </w:r>
            <w:r>
              <w:rPr>
                <w:rFonts w:hint="eastAsia"/>
                <w:sz w:val="24"/>
              </w:rPr>
              <w:t>28</w:t>
            </w:r>
            <w:r>
              <w:rPr>
                <w:sz w:val="24"/>
              </w:rPr>
              <w:t>为天气干燥、风速3m/s条件下施工场地洒水抑尘试验结果。</w:t>
            </w:r>
          </w:p>
          <w:p>
            <w:pPr>
              <w:spacing w:line="520" w:lineRule="exact"/>
              <w:jc w:val="center"/>
              <w:rPr>
                <w:rFonts w:hint="eastAsia" w:ascii="宋体" w:hAnsi="宋体" w:cs="宋体"/>
                <w:b/>
                <w:bCs/>
                <w:szCs w:val="21"/>
              </w:rPr>
            </w:pPr>
            <w:r>
              <w:rPr>
                <w:rFonts w:hint="eastAsia" w:ascii="宋体" w:hAnsi="宋体" w:cs="宋体"/>
                <w:b/>
                <w:bCs/>
                <w:szCs w:val="21"/>
              </w:rPr>
              <w:t>表28  施工场地洒水抑尘试验结果</w:t>
            </w:r>
          </w:p>
          <w:tbl>
            <w:tblPr>
              <w:tblStyle w:val="28"/>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398"/>
              <w:gridCol w:w="1397"/>
              <w:gridCol w:w="1554"/>
              <w:gridCol w:w="1551"/>
              <w:gridCol w:w="13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39" w:type="dxa"/>
                  <w:gridSpan w:val="2"/>
                  <w:vAlign w:val="top"/>
                </w:tcPr>
                <w:p>
                  <w:pPr>
                    <w:jc w:val="center"/>
                    <w:rPr>
                      <w:szCs w:val="21"/>
                    </w:rPr>
                  </w:pPr>
                  <w:r>
                    <w:rPr>
                      <w:szCs w:val="21"/>
                    </w:rPr>
                    <w:t>距离（m）</w:t>
                  </w:r>
                </w:p>
              </w:tc>
              <w:tc>
                <w:tcPr>
                  <w:tcW w:w="1397" w:type="dxa"/>
                  <w:vAlign w:val="top"/>
                </w:tcPr>
                <w:p>
                  <w:pPr>
                    <w:jc w:val="center"/>
                    <w:rPr>
                      <w:szCs w:val="21"/>
                    </w:rPr>
                  </w:pPr>
                  <w:r>
                    <w:rPr>
                      <w:szCs w:val="21"/>
                    </w:rPr>
                    <w:t>5</w:t>
                  </w:r>
                </w:p>
              </w:tc>
              <w:tc>
                <w:tcPr>
                  <w:tcW w:w="1554" w:type="dxa"/>
                  <w:vAlign w:val="top"/>
                </w:tcPr>
                <w:p>
                  <w:pPr>
                    <w:jc w:val="center"/>
                    <w:rPr>
                      <w:szCs w:val="21"/>
                    </w:rPr>
                  </w:pPr>
                  <w:r>
                    <w:rPr>
                      <w:szCs w:val="21"/>
                    </w:rPr>
                    <w:t>20</w:t>
                  </w:r>
                </w:p>
              </w:tc>
              <w:tc>
                <w:tcPr>
                  <w:tcW w:w="1551" w:type="dxa"/>
                  <w:vAlign w:val="top"/>
                </w:tcPr>
                <w:p>
                  <w:pPr>
                    <w:jc w:val="center"/>
                    <w:rPr>
                      <w:szCs w:val="21"/>
                    </w:rPr>
                  </w:pPr>
                  <w:r>
                    <w:rPr>
                      <w:szCs w:val="21"/>
                    </w:rPr>
                    <w:t>50</w:t>
                  </w:r>
                </w:p>
              </w:tc>
              <w:tc>
                <w:tcPr>
                  <w:tcW w:w="1399" w:type="dxa"/>
                  <w:vAlign w:val="top"/>
                </w:tcPr>
                <w:p>
                  <w:pPr>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41" w:type="dxa"/>
                  <w:vMerge w:val="restart"/>
                  <w:vAlign w:val="top"/>
                </w:tcPr>
                <w:p>
                  <w:pPr>
                    <w:jc w:val="center"/>
                    <w:rPr>
                      <w:szCs w:val="21"/>
                    </w:rPr>
                  </w:pPr>
                  <w:r>
                    <w:rPr>
                      <w:szCs w:val="21"/>
                    </w:rPr>
                    <w:t>TSP小时平均浓度（mg/m</w:t>
                  </w:r>
                  <w:r>
                    <w:rPr>
                      <w:szCs w:val="21"/>
                      <w:vertAlign w:val="superscript"/>
                    </w:rPr>
                    <w:t>3</w:t>
                  </w:r>
                  <w:r>
                    <w:rPr>
                      <w:szCs w:val="21"/>
                    </w:rPr>
                    <w:t>）</w:t>
                  </w:r>
                </w:p>
              </w:tc>
              <w:tc>
                <w:tcPr>
                  <w:tcW w:w="1398" w:type="dxa"/>
                  <w:vAlign w:val="top"/>
                </w:tcPr>
                <w:p>
                  <w:pPr>
                    <w:jc w:val="center"/>
                    <w:rPr>
                      <w:szCs w:val="21"/>
                    </w:rPr>
                  </w:pPr>
                  <w:r>
                    <w:rPr>
                      <w:szCs w:val="21"/>
                    </w:rPr>
                    <w:t>不洒水</w:t>
                  </w:r>
                </w:p>
              </w:tc>
              <w:tc>
                <w:tcPr>
                  <w:tcW w:w="1397" w:type="dxa"/>
                  <w:vAlign w:val="top"/>
                </w:tcPr>
                <w:p>
                  <w:pPr>
                    <w:jc w:val="center"/>
                    <w:rPr>
                      <w:szCs w:val="21"/>
                    </w:rPr>
                  </w:pPr>
                  <w:r>
                    <w:rPr>
                      <w:szCs w:val="21"/>
                    </w:rPr>
                    <w:t>10.14</w:t>
                  </w:r>
                </w:p>
              </w:tc>
              <w:tc>
                <w:tcPr>
                  <w:tcW w:w="1554" w:type="dxa"/>
                  <w:vAlign w:val="top"/>
                </w:tcPr>
                <w:p>
                  <w:pPr>
                    <w:jc w:val="center"/>
                    <w:rPr>
                      <w:szCs w:val="21"/>
                    </w:rPr>
                  </w:pPr>
                  <w:r>
                    <w:rPr>
                      <w:szCs w:val="21"/>
                    </w:rPr>
                    <w:t>2.89</w:t>
                  </w:r>
                </w:p>
              </w:tc>
              <w:tc>
                <w:tcPr>
                  <w:tcW w:w="1551" w:type="dxa"/>
                  <w:vAlign w:val="top"/>
                </w:tcPr>
                <w:p>
                  <w:pPr>
                    <w:jc w:val="center"/>
                    <w:rPr>
                      <w:szCs w:val="21"/>
                    </w:rPr>
                  </w:pPr>
                  <w:r>
                    <w:rPr>
                      <w:szCs w:val="21"/>
                    </w:rPr>
                    <w:t>1.15</w:t>
                  </w:r>
                </w:p>
              </w:tc>
              <w:tc>
                <w:tcPr>
                  <w:tcW w:w="1399" w:type="dxa"/>
                  <w:vAlign w:val="top"/>
                </w:tcPr>
                <w:p>
                  <w:pPr>
                    <w:jc w:val="center"/>
                    <w:rPr>
                      <w:szCs w:val="21"/>
                    </w:rPr>
                  </w:pPr>
                  <w:r>
                    <w:rPr>
                      <w:szCs w:val="21"/>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41" w:type="dxa"/>
                  <w:vMerge w:val="continue"/>
                  <w:vAlign w:val="top"/>
                </w:tcPr>
                <w:p>
                  <w:pPr>
                    <w:jc w:val="center"/>
                    <w:rPr>
                      <w:szCs w:val="21"/>
                    </w:rPr>
                  </w:pPr>
                </w:p>
              </w:tc>
              <w:tc>
                <w:tcPr>
                  <w:tcW w:w="1398" w:type="dxa"/>
                  <w:vAlign w:val="top"/>
                </w:tcPr>
                <w:p>
                  <w:pPr>
                    <w:jc w:val="center"/>
                    <w:rPr>
                      <w:szCs w:val="21"/>
                    </w:rPr>
                  </w:pPr>
                  <w:r>
                    <w:rPr>
                      <w:szCs w:val="21"/>
                    </w:rPr>
                    <w:t>洒水</w:t>
                  </w:r>
                </w:p>
              </w:tc>
              <w:tc>
                <w:tcPr>
                  <w:tcW w:w="1397" w:type="dxa"/>
                  <w:vAlign w:val="top"/>
                </w:tcPr>
                <w:p>
                  <w:pPr>
                    <w:jc w:val="center"/>
                    <w:rPr>
                      <w:szCs w:val="21"/>
                    </w:rPr>
                  </w:pPr>
                  <w:r>
                    <w:rPr>
                      <w:szCs w:val="21"/>
                    </w:rPr>
                    <w:t>2.01</w:t>
                  </w:r>
                </w:p>
              </w:tc>
              <w:tc>
                <w:tcPr>
                  <w:tcW w:w="1554" w:type="dxa"/>
                  <w:vAlign w:val="top"/>
                </w:tcPr>
                <w:p>
                  <w:pPr>
                    <w:jc w:val="center"/>
                    <w:rPr>
                      <w:szCs w:val="21"/>
                    </w:rPr>
                  </w:pPr>
                  <w:r>
                    <w:rPr>
                      <w:szCs w:val="21"/>
                    </w:rPr>
                    <w:t>1.4</w:t>
                  </w:r>
                </w:p>
              </w:tc>
              <w:tc>
                <w:tcPr>
                  <w:tcW w:w="1551" w:type="dxa"/>
                  <w:vAlign w:val="top"/>
                </w:tcPr>
                <w:p>
                  <w:pPr>
                    <w:jc w:val="center"/>
                    <w:rPr>
                      <w:szCs w:val="21"/>
                    </w:rPr>
                  </w:pPr>
                  <w:r>
                    <w:rPr>
                      <w:szCs w:val="21"/>
                    </w:rPr>
                    <w:t>0.67</w:t>
                  </w:r>
                </w:p>
              </w:tc>
              <w:tc>
                <w:tcPr>
                  <w:tcW w:w="1399" w:type="dxa"/>
                  <w:vAlign w:val="top"/>
                </w:tcPr>
                <w:p>
                  <w:pPr>
                    <w:jc w:val="center"/>
                    <w:rPr>
                      <w:szCs w:val="21"/>
                    </w:rPr>
                  </w:pPr>
                  <w:r>
                    <w:rPr>
                      <w:szCs w:val="21"/>
                    </w:rPr>
                    <w:t>0.6</w:t>
                  </w:r>
                </w:p>
              </w:tc>
            </w:tr>
          </w:tbl>
          <w:p>
            <w:pPr>
              <w:spacing w:line="520" w:lineRule="exact"/>
              <w:ind w:firstLine="480" w:firstLineChars="200"/>
              <w:rPr>
                <w:sz w:val="24"/>
              </w:rPr>
            </w:pPr>
            <w:r>
              <w:rPr>
                <w:sz w:val="24"/>
              </w:rPr>
              <w:t>本项目区域年均风速在</w:t>
            </w:r>
            <w:r>
              <w:rPr>
                <w:rFonts w:hint="eastAsia"/>
                <w:sz w:val="24"/>
              </w:rPr>
              <w:t>3.2</w:t>
            </w:r>
            <w:r>
              <w:rPr>
                <w:sz w:val="24"/>
              </w:rPr>
              <w:t>m/s，在不采取措施的情况下，施工扬尘产生量超过1.0mg/m</w:t>
            </w:r>
            <w:r>
              <w:rPr>
                <w:sz w:val="24"/>
                <w:vertAlign w:val="superscript"/>
              </w:rPr>
              <w:t>3</w:t>
            </w:r>
            <w:r>
              <w:rPr>
                <w:sz w:val="24"/>
              </w:rPr>
              <w:t>。由表</w:t>
            </w:r>
            <w:r>
              <w:rPr>
                <w:rFonts w:hint="eastAsia"/>
                <w:sz w:val="24"/>
              </w:rPr>
              <w:t>28可</w:t>
            </w:r>
            <w:r>
              <w:rPr>
                <w:sz w:val="24"/>
              </w:rPr>
              <w:t>以看出，经过洒水抑尘，可降低扬尘量70%左右，将其影响控制在20-50米范围内。</w:t>
            </w:r>
          </w:p>
          <w:p>
            <w:pPr>
              <w:spacing w:line="520" w:lineRule="exact"/>
              <w:ind w:firstLine="480" w:firstLineChars="200"/>
              <w:rPr>
                <w:rFonts w:hint="eastAsia"/>
                <w:sz w:val="24"/>
              </w:rPr>
            </w:pPr>
            <w:r>
              <w:rPr>
                <w:rFonts w:hint="eastAsia"/>
                <w:sz w:val="24"/>
              </w:rPr>
              <w:t>为尽量避免施工扬尘及车辆运输扬尘对周围环境造成的危害，评价建议对施工期粉尘采取一定的防治措施，详见表29。</w:t>
            </w:r>
          </w:p>
          <w:p>
            <w:pPr>
              <w:keepNext/>
              <w:keepLines/>
              <w:spacing w:line="360" w:lineRule="auto"/>
              <w:ind w:firstLine="420" w:firstLineChars="200"/>
              <w:rPr>
                <w:rFonts w:hint="eastAsia" w:ascii="宋体" w:hAnsi="宋体" w:cs="宋体"/>
                <w:b/>
                <w:bCs/>
                <w:szCs w:val="21"/>
              </w:rPr>
            </w:pPr>
            <w:r>
              <w:rPr>
                <w:rFonts w:hint="eastAsia"/>
              </w:rPr>
              <w:t xml:space="preserve">                 </w:t>
            </w:r>
            <w:r>
              <w:rPr>
                <w:rFonts w:hint="eastAsia" w:ascii="宋体" w:hAnsi="宋体" w:cs="宋体"/>
                <w:b/>
                <w:bCs/>
                <w:szCs w:val="21"/>
              </w:rPr>
              <w:t xml:space="preserve"> 表29        施工扬尘防止措施一览表</w:t>
            </w:r>
          </w:p>
          <w:tbl>
            <w:tblPr>
              <w:tblStyle w:val="2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top"/>
                </w:tcPr>
                <w:p>
                  <w:pPr>
                    <w:keepNext/>
                    <w:keepLines/>
                    <w:spacing w:line="360" w:lineRule="auto"/>
                    <w:jc w:val="center"/>
                    <w:rPr>
                      <w:szCs w:val="21"/>
                    </w:rPr>
                  </w:pPr>
                  <w:r>
                    <w:rPr>
                      <w:szCs w:val="21"/>
                    </w:rPr>
                    <w:t>序号</w:t>
                  </w:r>
                </w:p>
              </w:tc>
              <w:tc>
                <w:tcPr>
                  <w:tcW w:w="8382" w:type="dxa"/>
                  <w:vAlign w:val="top"/>
                </w:tcPr>
                <w:p>
                  <w:pPr>
                    <w:keepNext/>
                    <w:keepLines/>
                    <w:spacing w:line="360" w:lineRule="auto"/>
                    <w:jc w:val="center"/>
                    <w:rPr>
                      <w:szCs w:val="21"/>
                    </w:rPr>
                  </w:pPr>
                  <w:r>
                    <w:rPr>
                      <w:szCs w:val="21"/>
                    </w:rPr>
                    <w:t>施工粉尘防治措施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top"/>
                </w:tcPr>
                <w:p>
                  <w:pPr>
                    <w:keepNext/>
                    <w:keepLines/>
                    <w:spacing w:line="360" w:lineRule="auto"/>
                    <w:jc w:val="center"/>
                    <w:rPr>
                      <w:szCs w:val="21"/>
                    </w:rPr>
                  </w:pPr>
                  <w:r>
                    <w:rPr>
                      <w:szCs w:val="21"/>
                    </w:rPr>
                    <w:t>1</w:t>
                  </w:r>
                </w:p>
              </w:tc>
              <w:tc>
                <w:tcPr>
                  <w:tcW w:w="8382" w:type="dxa"/>
                  <w:vAlign w:val="top"/>
                </w:tcPr>
                <w:p>
                  <w:pPr>
                    <w:keepNext/>
                    <w:keepLines/>
                    <w:spacing w:line="360" w:lineRule="auto"/>
                    <w:jc w:val="center"/>
                    <w:rPr>
                      <w:szCs w:val="21"/>
                    </w:rPr>
                  </w:pPr>
                  <w:r>
                    <w:rPr>
                      <w:szCs w:val="21"/>
                    </w:rPr>
                    <w:t>建筑工地应封闭管理，设置不低于 2.5m高的围挡以减少扬尘扩散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top"/>
                </w:tcPr>
                <w:p>
                  <w:pPr>
                    <w:keepNext/>
                    <w:keepLines/>
                    <w:spacing w:line="360" w:lineRule="auto"/>
                    <w:jc w:val="center"/>
                    <w:rPr>
                      <w:szCs w:val="21"/>
                    </w:rPr>
                  </w:pPr>
                  <w:r>
                    <w:rPr>
                      <w:szCs w:val="21"/>
                    </w:rPr>
                    <w:t>2</w:t>
                  </w:r>
                </w:p>
              </w:tc>
              <w:tc>
                <w:tcPr>
                  <w:tcW w:w="8382" w:type="dxa"/>
                  <w:vAlign w:val="top"/>
                </w:tcPr>
                <w:p>
                  <w:pPr>
                    <w:keepNext/>
                    <w:keepLines/>
                    <w:jc w:val="center"/>
                    <w:rPr>
                      <w:szCs w:val="21"/>
                    </w:rPr>
                  </w:pPr>
                  <w:r>
                    <w:rPr>
                      <w:szCs w:val="21"/>
                    </w:rPr>
                    <w:t>严禁焚烧垃圾和各种废弃物，对于施工场地上的弃土、建筑垃圾等，</w:t>
                  </w:r>
                </w:p>
                <w:p>
                  <w:pPr>
                    <w:keepNext/>
                    <w:keepLines/>
                    <w:jc w:val="center"/>
                    <w:rPr>
                      <w:szCs w:val="21"/>
                    </w:rPr>
                  </w:pPr>
                  <w:r>
                    <w:rPr>
                      <w:szCs w:val="21"/>
                    </w:rPr>
                    <w:t>应按照相关规定处置、堆放和清运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top"/>
                </w:tcPr>
                <w:p>
                  <w:pPr>
                    <w:keepNext/>
                    <w:keepLines/>
                    <w:spacing w:line="360" w:lineRule="auto"/>
                    <w:jc w:val="center"/>
                    <w:rPr>
                      <w:szCs w:val="21"/>
                    </w:rPr>
                  </w:pPr>
                  <w:r>
                    <w:rPr>
                      <w:szCs w:val="21"/>
                    </w:rPr>
                    <w:t>3</w:t>
                  </w:r>
                </w:p>
              </w:tc>
              <w:tc>
                <w:tcPr>
                  <w:tcW w:w="8382" w:type="dxa"/>
                  <w:vAlign w:val="top"/>
                </w:tcPr>
                <w:p>
                  <w:pPr>
                    <w:keepNext/>
                    <w:keepLines/>
                    <w:spacing w:line="360" w:lineRule="auto"/>
                    <w:jc w:val="center"/>
                    <w:rPr>
                      <w:szCs w:val="21"/>
                    </w:rPr>
                  </w:pPr>
                  <w:r>
                    <w:rPr>
                      <w:szCs w:val="21"/>
                    </w:rPr>
                    <w:t>施工现场应配备相应的洒水设备，定期对施工现场洒水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top"/>
                </w:tcPr>
                <w:p>
                  <w:pPr>
                    <w:keepNext/>
                    <w:keepLines/>
                    <w:spacing w:line="360" w:lineRule="auto"/>
                    <w:jc w:val="center"/>
                    <w:rPr>
                      <w:szCs w:val="21"/>
                    </w:rPr>
                  </w:pPr>
                  <w:r>
                    <w:rPr>
                      <w:szCs w:val="21"/>
                    </w:rPr>
                    <w:t>4</w:t>
                  </w:r>
                </w:p>
              </w:tc>
              <w:tc>
                <w:tcPr>
                  <w:tcW w:w="8382" w:type="dxa"/>
                  <w:vAlign w:val="top"/>
                </w:tcPr>
                <w:p>
                  <w:pPr>
                    <w:keepNext/>
                    <w:keepLines/>
                    <w:spacing w:line="360" w:lineRule="auto"/>
                    <w:jc w:val="center"/>
                    <w:rPr>
                      <w:szCs w:val="21"/>
                    </w:rPr>
                  </w:pPr>
                  <w:r>
                    <w:rPr>
                      <w:szCs w:val="21"/>
                    </w:rPr>
                    <w:t>尽量避免在大风天气下进行施工作业，遇有大风天气或其他易产生扬尘的天气应暂停施工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top"/>
                </w:tcPr>
                <w:p>
                  <w:pPr>
                    <w:keepNext/>
                    <w:keepLines/>
                    <w:spacing w:line="360" w:lineRule="auto"/>
                    <w:jc w:val="center"/>
                    <w:rPr>
                      <w:szCs w:val="21"/>
                    </w:rPr>
                  </w:pPr>
                  <w:r>
                    <w:rPr>
                      <w:szCs w:val="21"/>
                    </w:rPr>
                    <w:t>5</w:t>
                  </w:r>
                </w:p>
              </w:tc>
              <w:tc>
                <w:tcPr>
                  <w:tcW w:w="8382" w:type="dxa"/>
                  <w:vAlign w:val="top"/>
                </w:tcPr>
                <w:p>
                  <w:pPr>
                    <w:keepNext/>
                    <w:keepLines/>
                    <w:jc w:val="center"/>
                    <w:rPr>
                      <w:szCs w:val="21"/>
                    </w:rPr>
                  </w:pPr>
                  <w:r>
                    <w:rPr>
                      <w:szCs w:val="21"/>
                    </w:rPr>
                    <w:t>运输建筑垃圾的车辆加盖篷布，避免建筑垃圾洒落。施工现场进出口设置洗车设施，出场时应将车辆清洗干净。</w:t>
                  </w:r>
                </w:p>
              </w:tc>
            </w:tr>
          </w:tbl>
          <w:p>
            <w:pPr>
              <w:pStyle w:val="38"/>
              <w:snapToGrid w:val="0"/>
              <w:spacing w:line="520" w:lineRule="exact"/>
              <w:ind w:firstLine="482"/>
              <w:rPr>
                <w:sz w:val="24"/>
              </w:rPr>
            </w:pPr>
            <w:r>
              <w:rPr>
                <w:sz w:val="24"/>
              </w:rPr>
              <w:t>《河南省人民政府办公厅关于印发河南省 2018 年大气污染防治攻坚战实施方案的通知》（豫政办〔2018〕14 号）对工地扬尘要求如下：</w:t>
            </w:r>
          </w:p>
          <w:p>
            <w:pPr>
              <w:pStyle w:val="38"/>
              <w:snapToGrid w:val="0"/>
              <w:spacing w:line="520" w:lineRule="exact"/>
              <w:ind w:firstLine="482"/>
              <w:rPr>
                <w:sz w:val="24"/>
              </w:rPr>
            </w:pPr>
            <w:r>
              <w:rPr>
                <w:sz w:val="24"/>
              </w:rPr>
              <w:t>强化各类工地扬尘污染防治。按照《河南省环境污染防治攻坚战领导小组办公室关于进一步加强扬尘污染专项治理的意见》（豫环攻坚办〔2017〕191 号)要求，严格落实新建和在建建筑、市政、拆除、公路、水利等各类工地周边围挡、物料堆放覆盖、土方开挖湿法作业、路面硬化、出入车辆清洗、渣土车辆密闭运输“六个百分之百”，严格落实城市规划区内建筑工地禁止现场搅拌混凝土、禁止现场配制砂浆“两个禁止”，严格执行开复工验收、“三员”管理、扬尘防治预算管理等制度。规模以上土石方建筑工地全部安装在线监测和视频监控,并与当地主管部门联网。各类长距离的市政、公路、水利等线性工程，全面实行分段施工。城市拆迁施工工程全面落实申报备案、会商研判、会商反馈、规范作业、综合处理“五步工作法”，确保各类开发和建设活动产生的扬尘污染得到有效管控。建筑垃圾清运车辆全部实现自动化密闭运输，统一安装卫星定位装置，并与主管部门联网。</w:t>
            </w:r>
          </w:p>
          <w:p>
            <w:pPr>
              <w:pStyle w:val="38"/>
              <w:snapToGrid w:val="0"/>
              <w:spacing w:line="520" w:lineRule="exact"/>
              <w:ind w:firstLine="482"/>
              <w:rPr>
                <w:sz w:val="24"/>
              </w:rPr>
            </w:pPr>
            <w:r>
              <w:rPr>
                <w:sz w:val="24"/>
              </w:rPr>
              <w:t>《安阳市人民政府办公室关于印发安阳市 2018 年大气污染防治攻坚战实施方案的通知》</w:t>
            </w:r>
          </w:p>
          <w:p>
            <w:pPr>
              <w:pStyle w:val="38"/>
              <w:snapToGrid w:val="0"/>
              <w:spacing w:line="520" w:lineRule="exact"/>
              <w:ind w:firstLine="482"/>
              <w:rPr>
                <w:sz w:val="24"/>
              </w:rPr>
            </w:pPr>
            <w:r>
              <w:rPr>
                <w:sz w:val="24"/>
              </w:rPr>
              <w:t>（安政办〔2018〕21 号）对工地扬尘要求如下：</w:t>
            </w:r>
          </w:p>
          <w:p>
            <w:pPr>
              <w:pStyle w:val="38"/>
              <w:snapToGrid w:val="0"/>
              <w:spacing w:line="520" w:lineRule="exact"/>
              <w:ind w:firstLine="482"/>
              <w:rPr>
                <w:sz w:val="24"/>
              </w:rPr>
            </w:pPr>
            <w:r>
              <w:rPr>
                <w:sz w:val="24"/>
              </w:rPr>
              <w:t>39.强化各类工地扬尘污染防治。按照有关要求，严格落实新建和在建建筑、市政、拆除、公路、水利等各类工地“八个百分之百”（围挡达标率 100%、裸露土方覆盖率 100%、出入车辆冲洗率 100%、主干道硬化率 100%、设置扬尘监督牌率 100%、拆除工程洒水压尘率 100%、渣土车辆密闭运输 100%、施工现场安装 PM2.5、PM10在线监测仪监控系统 100%），同时要实现工地内非道路移动机械使用油品及车辆排放全部达标，严格落实城市规划区内建筑工地禁止现场搅拌混凝土、禁止现场配制砂浆“两个禁止”，严格执行开复工验收、“三员”管理、扬尘防治预算管理、“一票停工”和“黑名单”等制度。规模以上土石方建筑工地全部安装在线监测和视频监控，并与当地主管部门联网。各类长距离的市政、公路、水利等线性工程，全面实行分段施工。城市拆迁施工工程全面落实申报备案、会商研判、会商反馈、规范作业、综合处理“五步工作法”，确保各类开发和建设活动产生的扬尘污染得到有效管控。建筑垃圾清运车辆全部实现自动化密闭运输，统一安装卫星定位装置，并与主管部门联网。</w:t>
            </w:r>
          </w:p>
          <w:p>
            <w:pPr>
              <w:pStyle w:val="38"/>
              <w:snapToGrid w:val="0"/>
              <w:spacing w:line="520" w:lineRule="exact"/>
              <w:ind w:firstLine="482"/>
              <w:rPr>
                <w:sz w:val="24"/>
              </w:rPr>
            </w:pPr>
            <w:r>
              <w:rPr>
                <w:sz w:val="24"/>
              </w:rPr>
              <w:t>《滑县人民政府关于印发滑县 2018 年大气污染防治攻坚战实施方案的通知》（滑政〔2018〕10 号）对工地扬尘要求如下：</w:t>
            </w:r>
          </w:p>
          <w:p>
            <w:pPr>
              <w:pStyle w:val="38"/>
              <w:snapToGrid w:val="0"/>
              <w:spacing w:line="520" w:lineRule="exact"/>
              <w:ind w:firstLine="482"/>
              <w:rPr>
                <w:sz w:val="24"/>
              </w:rPr>
            </w:pPr>
            <w:r>
              <w:rPr>
                <w:sz w:val="24"/>
              </w:rPr>
              <w:t>31．强化各类工地扬尘污染防治。按照有关要求，严格落实新建和在建建筑、市政、拆除、公路、水利等各类工地“八个百分之百”（围挡达标率 100%、裸露土方覆盖率 100%、出入车辆冲洗率 100%、主干道硬化率 100%、设置扬尘监督牌率 100%、拆除工程洒水压尘率 100%、渣土车辆密闭运输 100%、施工现场安装 PM2.5、PM10在线监测仪和扬尘监控系统 100%），同时要实现工地内非道路移动机械使用油品及车辆排放全部达标，严格落实县城区内建筑工地禁止现场搅拌混凝土、禁止现场配制砂浆“两个禁止”，严格执行开复工验收、“三员”管理、扬尘防治预算管理、“一票停工”和“黑名单”等制度。规模以上土石方建筑工地全部安装在线监测和视频监控，并与主管部门联网。各类长距离的市政、公路、水利等线性工程，全面实行分段施工。城市拆迁施工工程全面落实申报备案、会商研判、会商反馈、规范作业、综合处理“五步工作法”，确保各类开发和建设活动产生的扬尘污染得到有效管控。建筑垃圾清运车辆全部实现自动化密闭运输，统一安装卫星定位装置，并与主管部门联网。</w:t>
            </w:r>
          </w:p>
          <w:p>
            <w:pPr>
              <w:pStyle w:val="38"/>
              <w:snapToGrid w:val="0"/>
              <w:spacing w:line="520" w:lineRule="exact"/>
              <w:ind w:firstLine="482"/>
              <w:rPr>
                <w:sz w:val="24"/>
              </w:rPr>
            </w:pPr>
            <w:r>
              <w:rPr>
                <w:sz w:val="24"/>
              </w:rPr>
              <w:t>为了降低扬尘产生的影响，本项目施工中要严格按照有关规定执行，采取切实有效的措施，要做到：</w:t>
            </w:r>
          </w:p>
          <w:p>
            <w:pPr>
              <w:pStyle w:val="38"/>
              <w:snapToGrid w:val="0"/>
              <w:spacing w:line="520" w:lineRule="exact"/>
              <w:ind w:firstLine="482"/>
              <w:rPr>
                <w:sz w:val="24"/>
              </w:rPr>
            </w:pPr>
            <w:r>
              <w:rPr>
                <w:sz w:val="24"/>
              </w:rPr>
              <w:t>（1）施工中应尽量减少建筑材料运输过程中的洒漏，运输车辆装载量适当，并应该加篷布遮盖，尽量降低物料输运过程中的落差，堆料场设简易棚以减少二次扬尘；</w:t>
            </w:r>
          </w:p>
          <w:p>
            <w:pPr>
              <w:pStyle w:val="38"/>
              <w:snapToGrid w:val="0"/>
              <w:spacing w:line="520" w:lineRule="exact"/>
              <w:ind w:firstLine="482"/>
              <w:rPr>
                <w:sz w:val="24"/>
              </w:rPr>
            </w:pPr>
            <w:r>
              <w:rPr>
                <w:sz w:val="24"/>
              </w:rPr>
              <w:t>（2）合理安排堆放场地及施工工序，注意场内小环境的挖填方平衡，以减少因土方的不合理占地堆放而影响施工进程；</w:t>
            </w:r>
          </w:p>
          <w:p>
            <w:pPr>
              <w:pStyle w:val="38"/>
              <w:snapToGrid w:val="0"/>
              <w:spacing w:line="520" w:lineRule="exact"/>
              <w:ind w:firstLine="482"/>
              <w:rPr>
                <w:sz w:val="24"/>
              </w:rPr>
            </w:pPr>
            <w:r>
              <w:rPr>
                <w:sz w:val="24"/>
              </w:rPr>
              <w:t>（3）施工现场应在场界四周采用遮挡措施，以防二次扬尘向周围扩散，既文明施工又减少污染；</w:t>
            </w:r>
          </w:p>
          <w:p>
            <w:pPr>
              <w:pStyle w:val="38"/>
              <w:snapToGrid w:val="0"/>
              <w:spacing w:line="520" w:lineRule="exact"/>
              <w:ind w:firstLine="482"/>
              <w:rPr>
                <w:sz w:val="24"/>
              </w:rPr>
            </w:pPr>
            <w:r>
              <w:rPr>
                <w:sz w:val="24"/>
              </w:rPr>
              <w:t>（4）注意施工机械的操作，同时加强管理，避免突然加速和超载，降低施工机械尾气中的碳黑浓度。</w:t>
            </w:r>
          </w:p>
          <w:p>
            <w:pPr>
              <w:pStyle w:val="38"/>
              <w:snapToGrid w:val="0"/>
              <w:spacing w:line="520" w:lineRule="exact"/>
              <w:ind w:firstLine="482"/>
              <w:rPr>
                <w:sz w:val="24"/>
              </w:rPr>
            </w:pPr>
            <w:r>
              <w:rPr>
                <w:sz w:val="24"/>
              </w:rPr>
              <w:t>（5）建筑工地要做到“八个百分之百”（围挡达标率 100%、裸露土方覆盖率 100%、出入车辆冲洗率 100%、主干道硬化率 100%、设置扬尘监督牌率 100%、拆除工程洒水压尘率 100%、渣土车辆密闭运输 100%、施工现场安装 PM2.5、PM10在线监测仪和扬尘监控系统 100%）。</w:t>
            </w:r>
          </w:p>
          <w:p>
            <w:pPr>
              <w:spacing w:line="520" w:lineRule="exact"/>
              <w:ind w:firstLine="482" w:firstLineChars="200"/>
              <w:rPr>
                <w:rStyle w:val="27"/>
                <w:rFonts w:hint="eastAsia"/>
                <w:b/>
                <w:bCs/>
                <w:sz w:val="24"/>
                <w:szCs w:val="24"/>
              </w:rPr>
            </w:pPr>
            <w:r>
              <w:rPr>
                <w:rStyle w:val="27"/>
                <w:rFonts w:hint="eastAsia"/>
                <w:b/>
                <w:bCs/>
                <w:sz w:val="24"/>
                <w:szCs w:val="24"/>
              </w:rPr>
              <w:t>施工扬尘对敏感目标的影响</w:t>
            </w:r>
          </w:p>
          <w:p>
            <w:pPr>
              <w:pStyle w:val="38"/>
              <w:snapToGrid w:val="0"/>
              <w:spacing w:line="520" w:lineRule="exact"/>
              <w:ind w:firstLine="482"/>
              <w:rPr>
                <w:rFonts w:ascii="宋体" w:hAnsi="宋体"/>
                <w:sz w:val="24"/>
              </w:rPr>
            </w:pPr>
            <w:r>
              <w:rPr>
                <w:rFonts w:hint="eastAsia" w:ascii="宋体" w:hAnsi="宋体"/>
                <w:sz w:val="24"/>
              </w:rPr>
              <w:t>本项目施工期的废气来源为：</w:t>
            </w:r>
            <w:r>
              <w:rPr>
                <w:sz w:val="24"/>
              </w:rPr>
              <w:t>施工场地清理、平整、开挖、回填、建材的运输、露天堆放、装卸等过程中产生的扬尘</w:t>
            </w:r>
            <w:r>
              <w:rPr>
                <w:rFonts w:hint="eastAsia" w:ascii="宋体" w:hAnsi="宋体"/>
                <w:sz w:val="24"/>
              </w:rPr>
              <w:t>。其影响期为施工期，随着工程施工的结束，该影响也将消失。</w:t>
            </w:r>
          </w:p>
          <w:p>
            <w:pPr>
              <w:pStyle w:val="38"/>
              <w:snapToGrid w:val="0"/>
              <w:spacing w:line="520" w:lineRule="exact"/>
              <w:ind w:firstLine="482"/>
              <w:rPr>
                <w:rFonts w:hint="eastAsia"/>
              </w:rPr>
            </w:pPr>
            <w:r>
              <w:rPr>
                <w:rFonts w:hint="eastAsia"/>
                <w:sz w:val="24"/>
              </w:rPr>
              <w:t>本项目位于滑县慈一村东侧约437m处，</w:t>
            </w:r>
            <w:r>
              <w:rPr>
                <w:rFonts w:hint="eastAsia" w:ascii="宋体" w:hAnsi="宋体"/>
                <w:sz w:val="24"/>
              </w:rPr>
              <w:t>施工区域为农村区域，环境背景较好，排放源密度不大，且施工区域为平原区，地势平坦，有较好的扩散条件，施工废气及扬尘对环境空气影响小。因此工程交通运输引起的大气污染对污染指标的贡献值有限，不会对区域环境空气质量产生大的影响。</w:t>
            </w:r>
          </w:p>
          <w:p>
            <w:pPr>
              <w:spacing w:line="540" w:lineRule="exact"/>
              <w:ind w:left="560"/>
              <w:rPr>
                <w:rFonts w:hint="eastAsia"/>
                <w:sz w:val="24"/>
              </w:rPr>
            </w:pPr>
            <w:r>
              <w:rPr>
                <w:b/>
                <w:color w:val="000000"/>
                <w:sz w:val="24"/>
              </w:rPr>
              <w:t>2、水环境影响分析</w:t>
            </w:r>
          </w:p>
          <w:p>
            <w:pPr>
              <w:spacing w:line="540" w:lineRule="exact"/>
              <w:ind w:firstLine="480" w:firstLineChars="200"/>
              <w:rPr>
                <w:sz w:val="24"/>
              </w:rPr>
            </w:pPr>
            <w:r>
              <w:rPr>
                <w:sz w:val="24"/>
              </w:rPr>
              <w:t>施工期废水主要为机械设备冲洗废水和施工人员的</w:t>
            </w:r>
            <w:r>
              <w:rPr>
                <w:rFonts w:hint="eastAsia"/>
                <w:sz w:val="24"/>
              </w:rPr>
              <w:t>生活污水</w:t>
            </w:r>
            <w:r>
              <w:rPr>
                <w:sz w:val="24"/>
              </w:rPr>
              <w:t>。</w:t>
            </w:r>
          </w:p>
          <w:p>
            <w:pPr>
              <w:spacing w:line="540" w:lineRule="exact"/>
              <w:ind w:firstLine="482" w:firstLineChars="200"/>
              <w:rPr>
                <w:b/>
                <w:bCs/>
                <w:sz w:val="24"/>
              </w:rPr>
            </w:pPr>
            <w:r>
              <w:rPr>
                <w:b/>
                <w:bCs/>
                <w:sz w:val="24"/>
              </w:rPr>
              <w:t>2.1机械设备冲洗废水</w:t>
            </w:r>
          </w:p>
          <w:p>
            <w:pPr>
              <w:spacing w:line="520" w:lineRule="exact"/>
              <w:ind w:firstLine="480" w:firstLineChars="200"/>
              <w:rPr>
                <w:sz w:val="24"/>
              </w:rPr>
            </w:pPr>
            <w:r>
              <w:rPr>
                <w:sz w:val="24"/>
              </w:rPr>
              <w:t>施工机械投入使用过程中，实际冲洗次数相对较少，水量</w:t>
            </w:r>
            <w:r>
              <w:rPr>
                <w:rFonts w:hint="eastAsia"/>
                <w:sz w:val="24"/>
              </w:rPr>
              <w:t>为3m</w:t>
            </w:r>
            <w:r>
              <w:rPr>
                <w:rFonts w:hint="eastAsia"/>
                <w:sz w:val="24"/>
                <w:vertAlign w:val="superscript"/>
              </w:rPr>
              <w:t>3</w:t>
            </w:r>
            <w:r>
              <w:rPr>
                <w:rFonts w:hint="eastAsia"/>
                <w:sz w:val="24"/>
              </w:rPr>
              <w:t>/a</w:t>
            </w:r>
            <w:r>
              <w:rPr>
                <w:sz w:val="24"/>
              </w:rPr>
              <w:t>，产生的污染物主要为SS，收集后用于泼洒施工场地抑尘，不外排。</w:t>
            </w:r>
          </w:p>
          <w:p>
            <w:pPr>
              <w:spacing w:line="520" w:lineRule="exact"/>
              <w:ind w:firstLine="482" w:firstLineChars="200"/>
              <w:rPr>
                <w:rFonts w:hint="eastAsia"/>
                <w:b/>
                <w:bCs/>
                <w:sz w:val="24"/>
              </w:rPr>
            </w:pPr>
            <w:r>
              <w:rPr>
                <w:b/>
                <w:bCs/>
                <w:sz w:val="24"/>
              </w:rPr>
              <w:t>2.2施工人员的</w:t>
            </w:r>
            <w:r>
              <w:rPr>
                <w:rFonts w:hint="eastAsia"/>
                <w:b/>
                <w:bCs/>
                <w:sz w:val="24"/>
              </w:rPr>
              <w:t>生活污水</w:t>
            </w:r>
          </w:p>
          <w:p>
            <w:pPr>
              <w:spacing w:line="520" w:lineRule="exact"/>
              <w:ind w:firstLine="480" w:firstLineChars="200"/>
              <w:rPr>
                <w:color w:val="FF0000"/>
                <w:sz w:val="24"/>
              </w:rPr>
            </w:pPr>
            <w:r>
              <w:rPr>
                <w:sz w:val="24"/>
              </w:rPr>
              <w:t>本项目施工期约2个月，即60天，施工人员约1</w:t>
            </w:r>
            <w:r>
              <w:rPr>
                <w:rFonts w:hint="eastAsia"/>
                <w:sz w:val="24"/>
              </w:rPr>
              <w:t>5</w:t>
            </w:r>
            <w:r>
              <w:rPr>
                <w:sz w:val="24"/>
              </w:rPr>
              <w:t>人，不在施工现场食宿。由于条件限制，施工人员洗漱</w:t>
            </w:r>
            <w:r>
              <w:rPr>
                <w:rFonts w:hint="eastAsia"/>
                <w:sz w:val="24"/>
              </w:rPr>
              <w:t>生活</w:t>
            </w:r>
            <w:r>
              <w:rPr>
                <w:sz w:val="24"/>
              </w:rPr>
              <w:t>用水较少，用水量按20L/人·d计算，用水量为</w:t>
            </w:r>
            <w:r>
              <w:rPr>
                <w:rFonts w:hint="eastAsia"/>
                <w:sz w:val="24"/>
              </w:rPr>
              <w:t>18t</w:t>
            </w:r>
            <w:r>
              <w:rPr>
                <w:sz w:val="24"/>
              </w:rPr>
              <w:t>，排放量按用水量的80%计算，则洗</w:t>
            </w:r>
            <w:r>
              <w:rPr>
                <w:rFonts w:hint="eastAsia"/>
                <w:sz w:val="24"/>
              </w:rPr>
              <w:t>生活</w:t>
            </w:r>
            <w:r>
              <w:rPr>
                <w:sz w:val="24"/>
              </w:rPr>
              <w:t>废水排放量为</w:t>
            </w:r>
            <w:r>
              <w:rPr>
                <w:rFonts w:hint="eastAsia"/>
                <w:sz w:val="24"/>
              </w:rPr>
              <w:t>14.4t。施工期厂区设置简易旱厕，由建设单位定期清运，沤制农家肥；员工洗漱废水及</w:t>
            </w:r>
            <w:r>
              <w:rPr>
                <w:sz w:val="24"/>
              </w:rPr>
              <w:t>机械设备冲洗废水成分较为简单，用于</w:t>
            </w:r>
            <w:r>
              <w:rPr>
                <w:rFonts w:hint="eastAsia"/>
                <w:sz w:val="24"/>
              </w:rPr>
              <w:t>厂区</w:t>
            </w:r>
            <w:r>
              <w:rPr>
                <w:sz w:val="24"/>
              </w:rPr>
              <w:t>泼洒抑尘，对周围环境影响很小。</w:t>
            </w:r>
          </w:p>
          <w:p>
            <w:pPr>
              <w:spacing w:line="520" w:lineRule="exact"/>
              <w:ind w:firstLine="482" w:firstLineChars="200"/>
              <w:rPr>
                <w:b/>
                <w:color w:val="000000"/>
                <w:sz w:val="24"/>
              </w:rPr>
            </w:pPr>
            <w:r>
              <w:rPr>
                <w:b/>
                <w:color w:val="000000"/>
                <w:sz w:val="24"/>
              </w:rPr>
              <w:t>3.声环境影响分析</w:t>
            </w:r>
          </w:p>
          <w:p>
            <w:pPr>
              <w:tabs>
                <w:tab w:val="left" w:pos="915"/>
              </w:tabs>
              <w:spacing w:line="520" w:lineRule="exact"/>
              <w:ind w:firstLine="482" w:firstLineChars="200"/>
              <w:rPr>
                <w:b/>
                <w:bCs/>
                <w:color w:val="000000"/>
                <w:sz w:val="24"/>
              </w:rPr>
            </w:pPr>
            <w:r>
              <w:rPr>
                <w:b/>
                <w:bCs/>
                <w:color w:val="000000"/>
                <w:sz w:val="24"/>
              </w:rPr>
              <w:t>3.1噪声源及源强</w:t>
            </w:r>
          </w:p>
          <w:p>
            <w:pPr>
              <w:spacing w:line="520" w:lineRule="exact"/>
              <w:ind w:firstLine="480" w:firstLineChars="200"/>
              <w:rPr>
                <w:sz w:val="24"/>
              </w:rPr>
            </w:pPr>
            <w:r>
              <w:rPr>
                <w:sz w:val="24"/>
              </w:rPr>
              <w:t>工程施工噪声来源包括：场地平整、结构等阶段，主要为施工机械产生的噪声以及施工运输车辆的交通噪声。经建筑工程施工工地噪声源强类比调查分析，确定拟建工程的噪声影响主要来自于施工现场(场址区内)的声源噪声。</w:t>
            </w:r>
          </w:p>
          <w:p>
            <w:pPr>
              <w:pStyle w:val="13"/>
              <w:spacing w:line="520" w:lineRule="exact"/>
              <w:ind w:firstLine="482"/>
              <w:jc w:val="center"/>
              <w:rPr>
                <w:rFonts w:ascii="Times New Roman" w:hAnsi="Times New Roman"/>
                <w:sz w:val="24"/>
              </w:rPr>
            </w:pPr>
          </w:p>
          <w:p>
            <w:pPr>
              <w:pStyle w:val="13"/>
              <w:spacing w:line="520" w:lineRule="exact"/>
              <w:ind w:firstLine="1113" w:firstLineChars="528"/>
              <w:rPr>
                <w:rFonts w:hint="eastAsia" w:hAnsi="宋体" w:cs="宋体"/>
                <w:b/>
                <w:bCs/>
                <w:sz w:val="21"/>
                <w:szCs w:val="21"/>
              </w:rPr>
            </w:pPr>
            <w:r>
              <w:rPr>
                <w:rFonts w:hint="eastAsia" w:hAnsi="宋体" w:cs="宋体"/>
                <w:b/>
                <w:bCs/>
                <w:sz w:val="21"/>
                <w:szCs w:val="21"/>
              </w:rPr>
              <w:t>表30  主要施工机械噪声值一览表      等效声级Leq〔dB(A)〕</w:t>
            </w:r>
          </w:p>
          <w:tbl>
            <w:tblPr>
              <w:tblStyle w:val="28"/>
              <w:tblW w:w="904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90"/>
              <w:gridCol w:w="1622"/>
              <w:gridCol w:w="1713"/>
              <w:gridCol w:w="2349"/>
              <w:gridCol w:w="15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790" w:type="dxa"/>
                  <w:vMerge w:val="restart"/>
                  <w:vAlign w:val="center"/>
                </w:tcPr>
                <w:p>
                  <w:pPr>
                    <w:widowControl/>
                    <w:jc w:val="center"/>
                    <w:rPr>
                      <w:kern w:val="0"/>
                      <w:szCs w:val="21"/>
                    </w:rPr>
                  </w:pPr>
                  <w:r>
                    <w:rPr>
                      <w:kern w:val="0"/>
                      <w:szCs w:val="21"/>
                    </w:rPr>
                    <w:t>施工阶段</w:t>
                  </w:r>
                </w:p>
              </w:tc>
              <w:tc>
                <w:tcPr>
                  <w:tcW w:w="1622" w:type="dxa"/>
                  <w:vMerge w:val="restart"/>
                  <w:vAlign w:val="center"/>
                </w:tcPr>
                <w:p>
                  <w:pPr>
                    <w:widowControl/>
                    <w:jc w:val="center"/>
                    <w:rPr>
                      <w:kern w:val="0"/>
                      <w:szCs w:val="21"/>
                    </w:rPr>
                  </w:pPr>
                  <w:r>
                    <w:rPr>
                      <w:kern w:val="0"/>
                      <w:szCs w:val="21"/>
                    </w:rPr>
                    <w:t>主要噪声源</w:t>
                  </w:r>
                </w:p>
              </w:tc>
              <w:tc>
                <w:tcPr>
                  <w:tcW w:w="1713" w:type="dxa"/>
                  <w:vMerge w:val="restart"/>
                  <w:vAlign w:val="center"/>
                </w:tcPr>
                <w:p>
                  <w:pPr>
                    <w:widowControl/>
                    <w:jc w:val="center"/>
                    <w:rPr>
                      <w:kern w:val="0"/>
                      <w:szCs w:val="21"/>
                    </w:rPr>
                  </w:pPr>
                  <w:r>
                    <w:rPr>
                      <w:kern w:val="0"/>
                      <w:szCs w:val="21"/>
                    </w:rPr>
                    <w:t>噪声源数量</w:t>
                  </w:r>
                </w:p>
              </w:tc>
              <w:tc>
                <w:tcPr>
                  <w:tcW w:w="2349" w:type="dxa"/>
                  <w:vMerge w:val="restart"/>
                  <w:vAlign w:val="center"/>
                </w:tcPr>
                <w:p>
                  <w:pPr>
                    <w:widowControl/>
                    <w:jc w:val="center"/>
                    <w:rPr>
                      <w:kern w:val="0"/>
                      <w:szCs w:val="21"/>
                    </w:rPr>
                  </w:pPr>
                  <w:r>
                    <w:rPr>
                      <w:kern w:val="0"/>
                      <w:szCs w:val="21"/>
                    </w:rPr>
                    <w:t>距声源1米处A声级</w:t>
                  </w:r>
                </w:p>
              </w:tc>
              <w:tc>
                <w:tcPr>
                  <w:tcW w:w="1566" w:type="dxa"/>
                  <w:vMerge w:val="restart"/>
                  <w:vAlign w:val="center"/>
                </w:tcPr>
                <w:p>
                  <w:pPr>
                    <w:widowControl/>
                    <w:jc w:val="center"/>
                    <w:rPr>
                      <w:kern w:val="0"/>
                      <w:szCs w:val="21"/>
                    </w:rPr>
                  </w:pPr>
                  <w:r>
                    <w:rPr>
                      <w:kern w:val="0"/>
                      <w:szCs w:val="21"/>
                    </w:rPr>
                    <w:t>噪声叠加值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790" w:type="dxa"/>
                  <w:vMerge w:val="continue"/>
                  <w:vAlign w:val="center"/>
                </w:tcPr>
                <w:p>
                  <w:pPr>
                    <w:widowControl/>
                    <w:jc w:val="left"/>
                    <w:rPr>
                      <w:kern w:val="0"/>
                      <w:szCs w:val="21"/>
                    </w:rPr>
                  </w:pPr>
                </w:p>
              </w:tc>
              <w:tc>
                <w:tcPr>
                  <w:tcW w:w="1622" w:type="dxa"/>
                  <w:vMerge w:val="continue"/>
                  <w:vAlign w:val="center"/>
                </w:tcPr>
                <w:p>
                  <w:pPr>
                    <w:widowControl/>
                    <w:jc w:val="left"/>
                    <w:rPr>
                      <w:kern w:val="0"/>
                      <w:szCs w:val="21"/>
                    </w:rPr>
                  </w:pPr>
                </w:p>
              </w:tc>
              <w:tc>
                <w:tcPr>
                  <w:tcW w:w="1713" w:type="dxa"/>
                  <w:vMerge w:val="continue"/>
                  <w:vAlign w:val="center"/>
                </w:tcPr>
                <w:p>
                  <w:pPr>
                    <w:widowControl/>
                    <w:jc w:val="left"/>
                    <w:rPr>
                      <w:kern w:val="0"/>
                      <w:szCs w:val="21"/>
                    </w:rPr>
                  </w:pPr>
                </w:p>
              </w:tc>
              <w:tc>
                <w:tcPr>
                  <w:tcW w:w="2349" w:type="dxa"/>
                  <w:vMerge w:val="continue"/>
                  <w:vAlign w:val="center"/>
                </w:tcPr>
                <w:p>
                  <w:pPr>
                    <w:widowControl/>
                    <w:jc w:val="left"/>
                    <w:rPr>
                      <w:kern w:val="0"/>
                      <w:szCs w:val="21"/>
                    </w:rPr>
                  </w:pPr>
                </w:p>
              </w:tc>
              <w:tc>
                <w:tcPr>
                  <w:tcW w:w="1566" w:type="dxa"/>
                  <w:vMerge w:val="continue"/>
                  <w:vAlign w:val="center"/>
                </w:tcPr>
                <w:p>
                  <w:pPr>
                    <w:widowControl/>
                    <w:jc w:val="left"/>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90" w:type="dxa"/>
                  <w:vMerge w:val="restart"/>
                  <w:vAlign w:val="center"/>
                </w:tcPr>
                <w:p>
                  <w:pPr>
                    <w:widowControl/>
                    <w:jc w:val="center"/>
                    <w:rPr>
                      <w:kern w:val="0"/>
                      <w:szCs w:val="21"/>
                    </w:rPr>
                  </w:pPr>
                  <w:r>
                    <w:rPr>
                      <w:rFonts w:hint="eastAsia"/>
                      <w:kern w:val="0"/>
                      <w:szCs w:val="21"/>
                    </w:rPr>
                    <w:t>厂区平整阶段</w:t>
                  </w:r>
                </w:p>
              </w:tc>
              <w:tc>
                <w:tcPr>
                  <w:tcW w:w="1622" w:type="dxa"/>
                  <w:vAlign w:val="center"/>
                </w:tcPr>
                <w:p>
                  <w:pPr>
                    <w:widowControl/>
                    <w:jc w:val="center"/>
                    <w:rPr>
                      <w:kern w:val="0"/>
                      <w:szCs w:val="21"/>
                    </w:rPr>
                  </w:pPr>
                  <w:r>
                    <w:rPr>
                      <w:kern w:val="0"/>
                      <w:szCs w:val="21"/>
                    </w:rPr>
                    <w:t>推土机</w:t>
                  </w:r>
                </w:p>
              </w:tc>
              <w:tc>
                <w:tcPr>
                  <w:tcW w:w="1713" w:type="dxa"/>
                  <w:vAlign w:val="center"/>
                </w:tcPr>
                <w:p>
                  <w:pPr>
                    <w:widowControl/>
                    <w:jc w:val="center"/>
                    <w:rPr>
                      <w:kern w:val="0"/>
                      <w:szCs w:val="21"/>
                    </w:rPr>
                  </w:pPr>
                  <w:r>
                    <w:rPr>
                      <w:kern w:val="0"/>
                      <w:szCs w:val="21"/>
                    </w:rPr>
                    <w:t>2</w:t>
                  </w:r>
                </w:p>
              </w:tc>
              <w:tc>
                <w:tcPr>
                  <w:tcW w:w="2349" w:type="dxa"/>
                  <w:vAlign w:val="center"/>
                </w:tcPr>
                <w:p>
                  <w:pPr>
                    <w:widowControl/>
                    <w:jc w:val="center"/>
                    <w:rPr>
                      <w:kern w:val="0"/>
                      <w:szCs w:val="21"/>
                    </w:rPr>
                  </w:pPr>
                  <w:r>
                    <w:rPr>
                      <w:kern w:val="0"/>
                      <w:szCs w:val="21"/>
                    </w:rPr>
                    <w:t>84</w:t>
                  </w:r>
                </w:p>
              </w:tc>
              <w:tc>
                <w:tcPr>
                  <w:tcW w:w="1566" w:type="dxa"/>
                  <w:vMerge w:val="restart"/>
                  <w:vAlign w:val="center"/>
                </w:tcPr>
                <w:p>
                  <w:pPr>
                    <w:widowControl/>
                    <w:jc w:val="center"/>
                    <w:rPr>
                      <w:kern w:val="0"/>
                      <w:szCs w:val="21"/>
                    </w:rPr>
                  </w:pPr>
                  <w:r>
                    <w:rPr>
                      <w:kern w:val="0"/>
                      <w:szCs w:val="21"/>
                    </w:rPr>
                    <w:t>88.7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90" w:type="dxa"/>
                  <w:vMerge w:val="continue"/>
                  <w:vAlign w:val="center"/>
                </w:tcPr>
                <w:p>
                  <w:pPr>
                    <w:widowControl/>
                    <w:jc w:val="left"/>
                    <w:rPr>
                      <w:kern w:val="0"/>
                      <w:szCs w:val="21"/>
                    </w:rPr>
                  </w:pPr>
                </w:p>
              </w:tc>
              <w:tc>
                <w:tcPr>
                  <w:tcW w:w="1622" w:type="dxa"/>
                  <w:vAlign w:val="center"/>
                </w:tcPr>
                <w:p>
                  <w:pPr>
                    <w:widowControl/>
                    <w:jc w:val="center"/>
                    <w:rPr>
                      <w:kern w:val="0"/>
                      <w:szCs w:val="21"/>
                    </w:rPr>
                  </w:pPr>
                  <w:r>
                    <w:rPr>
                      <w:kern w:val="0"/>
                      <w:szCs w:val="21"/>
                    </w:rPr>
                    <w:t>挖掘机</w:t>
                  </w:r>
                </w:p>
              </w:tc>
              <w:tc>
                <w:tcPr>
                  <w:tcW w:w="1713" w:type="dxa"/>
                  <w:vAlign w:val="center"/>
                </w:tcPr>
                <w:p>
                  <w:pPr>
                    <w:widowControl/>
                    <w:jc w:val="center"/>
                    <w:rPr>
                      <w:kern w:val="0"/>
                      <w:szCs w:val="21"/>
                    </w:rPr>
                  </w:pPr>
                  <w:r>
                    <w:rPr>
                      <w:kern w:val="0"/>
                      <w:szCs w:val="21"/>
                    </w:rPr>
                    <w:t>1</w:t>
                  </w:r>
                </w:p>
              </w:tc>
              <w:tc>
                <w:tcPr>
                  <w:tcW w:w="2349" w:type="dxa"/>
                  <w:vAlign w:val="center"/>
                </w:tcPr>
                <w:p>
                  <w:pPr>
                    <w:widowControl/>
                    <w:jc w:val="center"/>
                    <w:rPr>
                      <w:kern w:val="0"/>
                      <w:szCs w:val="21"/>
                    </w:rPr>
                  </w:pPr>
                  <w:r>
                    <w:rPr>
                      <w:kern w:val="0"/>
                      <w:szCs w:val="21"/>
                    </w:rPr>
                    <w:t>86</w:t>
                  </w:r>
                </w:p>
              </w:tc>
              <w:tc>
                <w:tcPr>
                  <w:tcW w:w="1566" w:type="dxa"/>
                  <w:vMerge w:val="continue"/>
                  <w:vAlign w:val="center"/>
                </w:tcPr>
                <w:p>
                  <w:pPr>
                    <w:widowControl/>
                    <w:jc w:val="left"/>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90" w:type="dxa"/>
                  <w:vMerge w:val="continue"/>
                  <w:vAlign w:val="center"/>
                </w:tcPr>
                <w:p>
                  <w:pPr>
                    <w:widowControl/>
                    <w:jc w:val="left"/>
                    <w:rPr>
                      <w:kern w:val="0"/>
                      <w:szCs w:val="21"/>
                    </w:rPr>
                  </w:pPr>
                </w:p>
              </w:tc>
              <w:tc>
                <w:tcPr>
                  <w:tcW w:w="1622" w:type="dxa"/>
                  <w:vAlign w:val="center"/>
                </w:tcPr>
                <w:p>
                  <w:pPr>
                    <w:widowControl/>
                    <w:jc w:val="center"/>
                    <w:rPr>
                      <w:kern w:val="0"/>
                      <w:szCs w:val="21"/>
                    </w:rPr>
                  </w:pPr>
                  <w:r>
                    <w:rPr>
                      <w:kern w:val="0"/>
                      <w:szCs w:val="21"/>
                    </w:rPr>
                    <w:t>装载机</w:t>
                  </w:r>
                </w:p>
              </w:tc>
              <w:tc>
                <w:tcPr>
                  <w:tcW w:w="1713" w:type="dxa"/>
                  <w:vAlign w:val="center"/>
                </w:tcPr>
                <w:p>
                  <w:pPr>
                    <w:widowControl/>
                    <w:jc w:val="center"/>
                    <w:rPr>
                      <w:kern w:val="0"/>
                      <w:szCs w:val="21"/>
                    </w:rPr>
                  </w:pPr>
                  <w:r>
                    <w:rPr>
                      <w:kern w:val="0"/>
                      <w:szCs w:val="21"/>
                    </w:rPr>
                    <w:t>2</w:t>
                  </w:r>
                </w:p>
              </w:tc>
              <w:tc>
                <w:tcPr>
                  <w:tcW w:w="2349" w:type="dxa"/>
                  <w:vAlign w:val="center"/>
                </w:tcPr>
                <w:p>
                  <w:pPr>
                    <w:widowControl/>
                    <w:jc w:val="center"/>
                    <w:rPr>
                      <w:kern w:val="0"/>
                      <w:szCs w:val="21"/>
                    </w:rPr>
                  </w:pPr>
                  <w:r>
                    <w:rPr>
                      <w:kern w:val="0"/>
                      <w:szCs w:val="21"/>
                    </w:rPr>
                    <w:t>80</w:t>
                  </w:r>
                </w:p>
              </w:tc>
              <w:tc>
                <w:tcPr>
                  <w:tcW w:w="1566" w:type="dxa"/>
                  <w:vMerge w:val="continue"/>
                  <w:vAlign w:val="center"/>
                </w:tcPr>
                <w:p>
                  <w:pPr>
                    <w:widowControl/>
                    <w:jc w:val="left"/>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90" w:type="dxa"/>
                  <w:vMerge w:val="restart"/>
                  <w:vAlign w:val="center"/>
                </w:tcPr>
                <w:p>
                  <w:pPr>
                    <w:widowControl/>
                    <w:jc w:val="center"/>
                    <w:rPr>
                      <w:kern w:val="0"/>
                      <w:szCs w:val="21"/>
                    </w:rPr>
                  </w:pPr>
                  <w:r>
                    <w:rPr>
                      <w:rFonts w:hint="eastAsia"/>
                      <w:kern w:val="0"/>
                      <w:szCs w:val="21"/>
                    </w:rPr>
                    <w:t>基础施工阶段</w:t>
                  </w:r>
                </w:p>
              </w:tc>
              <w:tc>
                <w:tcPr>
                  <w:tcW w:w="1622" w:type="dxa"/>
                  <w:vAlign w:val="center"/>
                </w:tcPr>
                <w:p>
                  <w:pPr>
                    <w:jc w:val="center"/>
                    <w:rPr>
                      <w:kern w:val="0"/>
                      <w:szCs w:val="21"/>
                    </w:rPr>
                  </w:pPr>
                  <w:r>
                    <w:t>打桩机</w:t>
                  </w:r>
                </w:p>
              </w:tc>
              <w:tc>
                <w:tcPr>
                  <w:tcW w:w="1713" w:type="dxa"/>
                  <w:vAlign w:val="center"/>
                </w:tcPr>
                <w:p>
                  <w:pPr>
                    <w:widowControl/>
                    <w:jc w:val="center"/>
                    <w:rPr>
                      <w:kern w:val="0"/>
                      <w:szCs w:val="21"/>
                    </w:rPr>
                  </w:pPr>
                  <w:r>
                    <w:rPr>
                      <w:kern w:val="0"/>
                      <w:szCs w:val="21"/>
                    </w:rPr>
                    <w:t>2</w:t>
                  </w:r>
                </w:p>
              </w:tc>
              <w:tc>
                <w:tcPr>
                  <w:tcW w:w="2349" w:type="dxa"/>
                  <w:vAlign w:val="center"/>
                </w:tcPr>
                <w:p>
                  <w:pPr>
                    <w:widowControl/>
                    <w:jc w:val="center"/>
                    <w:rPr>
                      <w:kern w:val="0"/>
                      <w:szCs w:val="21"/>
                    </w:rPr>
                  </w:pPr>
                  <w:r>
                    <w:rPr>
                      <w:rFonts w:hint="eastAsia"/>
                      <w:kern w:val="0"/>
                      <w:szCs w:val="21"/>
                    </w:rPr>
                    <w:t>85</w:t>
                  </w:r>
                </w:p>
              </w:tc>
              <w:tc>
                <w:tcPr>
                  <w:tcW w:w="1566" w:type="dxa"/>
                  <w:vMerge w:val="restart"/>
                  <w:vAlign w:val="center"/>
                </w:tcPr>
                <w:p>
                  <w:pPr>
                    <w:widowControl/>
                    <w:jc w:val="center"/>
                    <w:rPr>
                      <w:rFonts w:hint="eastAsia"/>
                      <w:kern w:val="0"/>
                      <w:szCs w:val="21"/>
                    </w:rPr>
                  </w:pPr>
                  <w:r>
                    <w:rPr>
                      <w:rFonts w:hint="eastAsia"/>
                      <w:kern w:val="0"/>
                      <w:szCs w:val="21"/>
                    </w:rPr>
                    <w:t>87.1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90" w:type="dxa"/>
                  <w:vMerge w:val="continue"/>
                  <w:vAlign w:val="center"/>
                </w:tcPr>
                <w:p>
                  <w:pPr>
                    <w:widowControl/>
                    <w:jc w:val="center"/>
                    <w:rPr>
                      <w:kern w:val="0"/>
                      <w:szCs w:val="21"/>
                    </w:rPr>
                  </w:pPr>
                </w:p>
              </w:tc>
              <w:tc>
                <w:tcPr>
                  <w:tcW w:w="1622" w:type="dxa"/>
                  <w:vAlign w:val="center"/>
                </w:tcPr>
                <w:p>
                  <w:pPr>
                    <w:jc w:val="center"/>
                    <w:rPr>
                      <w:kern w:val="0"/>
                      <w:szCs w:val="21"/>
                    </w:rPr>
                  </w:pPr>
                  <w:r>
                    <w:t>风镐</w:t>
                  </w:r>
                </w:p>
              </w:tc>
              <w:tc>
                <w:tcPr>
                  <w:tcW w:w="1713" w:type="dxa"/>
                  <w:vAlign w:val="center"/>
                </w:tcPr>
                <w:p>
                  <w:pPr>
                    <w:widowControl/>
                    <w:jc w:val="center"/>
                    <w:rPr>
                      <w:kern w:val="0"/>
                      <w:szCs w:val="21"/>
                    </w:rPr>
                  </w:pPr>
                  <w:r>
                    <w:rPr>
                      <w:kern w:val="0"/>
                      <w:szCs w:val="21"/>
                    </w:rPr>
                    <w:t>4</w:t>
                  </w:r>
                </w:p>
              </w:tc>
              <w:tc>
                <w:tcPr>
                  <w:tcW w:w="2349" w:type="dxa"/>
                  <w:vAlign w:val="center"/>
                </w:tcPr>
                <w:p>
                  <w:pPr>
                    <w:widowControl/>
                    <w:jc w:val="center"/>
                    <w:rPr>
                      <w:kern w:val="0"/>
                      <w:szCs w:val="21"/>
                    </w:rPr>
                  </w:pPr>
                  <w:r>
                    <w:rPr>
                      <w:rFonts w:hint="eastAsia"/>
                      <w:kern w:val="0"/>
                      <w:szCs w:val="21"/>
                    </w:rPr>
                    <w:t>80</w:t>
                  </w:r>
                </w:p>
              </w:tc>
              <w:tc>
                <w:tcPr>
                  <w:tcW w:w="1566" w:type="dxa"/>
                  <w:vMerge w:val="continue"/>
                  <w:vAlign w:val="center"/>
                </w:tcPr>
                <w:p>
                  <w:pPr>
                    <w:widowControl/>
                    <w:jc w:val="left"/>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90" w:type="dxa"/>
                  <w:vMerge w:val="continue"/>
                  <w:vAlign w:val="center"/>
                </w:tcPr>
                <w:p>
                  <w:pPr>
                    <w:widowControl/>
                    <w:jc w:val="center"/>
                    <w:rPr>
                      <w:kern w:val="0"/>
                      <w:szCs w:val="21"/>
                    </w:rPr>
                  </w:pPr>
                </w:p>
              </w:tc>
              <w:tc>
                <w:tcPr>
                  <w:tcW w:w="1622" w:type="dxa"/>
                  <w:vAlign w:val="center"/>
                </w:tcPr>
                <w:p>
                  <w:pPr>
                    <w:jc w:val="center"/>
                    <w:rPr>
                      <w:kern w:val="0"/>
                      <w:szCs w:val="21"/>
                    </w:rPr>
                  </w:pPr>
                  <w:r>
                    <w:t>空压机</w:t>
                  </w:r>
                </w:p>
              </w:tc>
              <w:tc>
                <w:tcPr>
                  <w:tcW w:w="1713" w:type="dxa"/>
                  <w:vAlign w:val="center"/>
                </w:tcPr>
                <w:p>
                  <w:pPr>
                    <w:widowControl/>
                    <w:jc w:val="center"/>
                    <w:rPr>
                      <w:kern w:val="0"/>
                      <w:szCs w:val="21"/>
                    </w:rPr>
                  </w:pPr>
                  <w:r>
                    <w:rPr>
                      <w:rFonts w:hint="eastAsia"/>
                      <w:kern w:val="0"/>
                      <w:szCs w:val="21"/>
                    </w:rPr>
                    <w:t>1</w:t>
                  </w:r>
                </w:p>
              </w:tc>
              <w:tc>
                <w:tcPr>
                  <w:tcW w:w="2349" w:type="dxa"/>
                  <w:vAlign w:val="center"/>
                </w:tcPr>
                <w:p>
                  <w:pPr>
                    <w:widowControl/>
                    <w:jc w:val="center"/>
                    <w:rPr>
                      <w:kern w:val="0"/>
                      <w:szCs w:val="21"/>
                    </w:rPr>
                  </w:pPr>
                  <w:r>
                    <w:rPr>
                      <w:rFonts w:hint="eastAsia"/>
                      <w:kern w:val="0"/>
                      <w:szCs w:val="21"/>
                    </w:rPr>
                    <w:t>85</w:t>
                  </w:r>
                </w:p>
              </w:tc>
              <w:tc>
                <w:tcPr>
                  <w:tcW w:w="1566" w:type="dxa"/>
                  <w:vMerge w:val="continue"/>
                  <w:vAlign w:val="center"/>
                </w:tcPr>
                <w:p>
                  <w:pPr>
                    <w:widowControl/>
                    <w:jc w:val="left"/>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90" w:type="dxa"/>
                  <w:vMerge w:val="restart"/>
                  <w:vAlign w:val="center"/>
                </w:tcPr>
                <w:p>
                  <w:pPr>
                    <w:widowControl/>
                    <w:jc w:val="center"/>
                    <w:rPr>
                      <w:kern w:val="0"/>
                      <w:szCs w:val="21"/>
                    </w:rPr>
                  </w:pPr>
                  <w:r>
                    <w:rPr>
                      <w:rFonts w:hint="eastAsia"/>
                      <w:kern w:val="0"/>
                      <w:szCs w:val="21"/>
                    </w:rPr>
                    <w:t>工程施工阶段</w:t>
                  </w:r>
                </w:p>
              </w:tc>
              <w:tc>
                <w:tcPr>
                  <w:tcW w:w="1622" w:type="dxa"/>
                  <w:vAlign w:val="center"/>
                </w:tcPr>
                <w:p>
                  <w:pPr>
                    <w:widowControl/>
                    <w:jc w:val="center"/>
                    <w:rPr>
                      <w:kern w:val="0"/>
                      <w:szCs w:val="21"/>
                    </w:rPr>
                  </w:pPr>
                  <w:r>
                    <w:rPr>
                      <w:kern w:val="0"/>
                      <w:szCs w:val="21"/>
                    </w:rPr>
                    <w:t>振捣棒</w:t>
                  </w:r>
                </w:p>
              </w:tc>
              <w:tc>
                <w:tcPr>
                  <w:tcW w:w="1713" w:type="dxa"/>
                  <w:vAlign w:val="top"/>
                </w:tcPr>
                <w:p>
                  <w:pPr>
                    <w:widowControl/>
                    <w:jc w:val="center"/>
                    <w:rPr>
                      <w:kern w:val="0"/>
                      <w:szCs w:val="21"/>
                    </w:rPr>
                  </w:pPr>
                  <w:r>
                    <w:rPr>
                      <w:rFonts w:hint="eastAsia"/>
                      <w:kern w:val="0"/>
                      <w:szCs w:val="21"/>
                    </w:rPr>
                    <w:t>2</w:t>
                  </w:r>
                </w:p>
              </w:tc>
              <w:tc>
                <w:tcPr>
                  <w:tcW w:w="2349" w:type="dxa"/>
                  <w:vAlign w:val="center"/>
                </w:tcPr>
                <w:p>
                  <w:pPr>
                    <w:widowControl/>
                    <w:jc w:val="center"/>
                    <w:rPr>
                      <w:kern w:val="0"/>
                      <w:szCs w:val="21"/>
                    </w:rPr>
                  </w:pPr>
                  <w:r>
                    <w:rPr>
                      <w:kern w:val="0"/>
                      <w:szCs w:val="21"/>
                    </w:rPr>
                    <w:t>88</w:t>
                  </w:r>
                </w:p>
              </w:tc>
              <w:tc>
                <w:tcPr>
                  <w:tcW w:w="1566" w:type="dxa"/>
                  <w:vMerge w:val="restart"/>
                  <w:vAlign w:val="top"/>
                </w:tcPr>
                <w:p>
                  <w:pPr>
                    <w:widowControl/>
                    <w:jc w:val="center"/>
                    <w:rPr>
                      <w:rFonts w:hint="eastAsia"/>
                      <w:kern w:val="0"/>
                      <w:szCs w:val="21"/>
                    </w:rPr>
                  </w:pPr>
                </w:p>
                <w:p>
                  <w:pPr>
                    <w:widowControl/>
                    <w:jc w:val="center"/>
                    <w:rPr>
                      <w:rFonts w:hint="eastAsia"/>
                      <w:kern w:val="0"/>
                      <w:szCs w:val="21"/>
                    </w:rPr>
                  </w:pPr>
                  <w:r>
                    <w:rPr>
                      <w:rFonts w:hint="eastAsia"/>
                      <w:kern w:val="0"/>
                      <w:szCs w:val="21"/>
                    </w:rPr>
                    <w:t>88.8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90" w:type="dxa"/>
                  <w:vMerge w:val="continue"/>
                  <w:vAlign w:val="center"/>
                </w:tcPr>
                <w:p>
                  <w:pPr>
                    <w:widowControl/>
                    <w:jc w:val="left"/>
                    <w:rPr>
                      <w:kern w:val="0"/>
                      <w:szCs w:val="21"/>
                    </w:rPr>
                  </w:pPr>
                </w:p>
              </w:tc>
              <w:tc>
                <w:tcPr>
                  <w:tcW w:w="1622" w:type="dxa"/>
                  <w:vAlign w:val="center"/>
                </w:tcPr>
                <w:p>
                  <w:pPr>
                    <w:widowControl/>
                    <w:jc w:val="center"/>
                    <w:rPr>
                      <w:kern w:val="0"/>
                      <w:szCs w:val="21"/>
                    </w:rPr>
                  </w:pPr>
                  <w:r>
                    <w:rPr>
                      <w:kern w:val="0"/>
                      <w:szCs w:val="21"/>
                    </w:rPr>
                    <w:t>电锯</w:t>
                  </w:r>
                </w:p>
              </w:tc>
              <w:tc>
                <w:tcPr>
                  <w:tcW w:w="1713" w:type="dxa"/>
                  <w:vAlign w:val="top"/>
                </w:tcPr>
                <w:p>
                  <w:pPr>
                    <w:widowControl/>
                    <w:jc w:val="center"/>
                    <w:rPr>
                      <w:kern w:val="0"/>
                      <w:szCs w:val="21"/>
                    </w:rPr>
                  </w:pPr>
                  <w:r>
                    <w:rPr>
                      <w:rFonts w:hint="eastAsia"/>
                      <w:kern w:val="0"/>
                      <w:szCs w:val="21"/>
                    </w:rPr>
                    <w:t>1</w:t>
                  </w:r>
                </w:p>
              </w:tc>
              <w:tc>
                <w:tcPr>
                  <w:tcW w:w="2349" w:type="dxa"/>
                  <w:vAlign w:val="center"/>
                </w:tcPr>
                <w:p>
                  <w:pPr>
                    <w:widowControl/>
                    <w:jc w:val="center"/>
                    <w:rPr>
                      <w:kern w:val="0"/>
                      <w:szCs w:val="21"/>
                    </w:rPr>
                  </w:pPr>
                  <w:r>
                    <w:rPr>
                      <w:kern w:val="0"/>
                      <w:szCs w:val="21"/>
                    </w:rPr>
                    <w:t>81</w:t>
                  </w:r>
                </w:p>
              </w:tc>
              <w:tc>
                <w:tcPr>
                  <w:tcW w:w="1566" w:type="dxa"/>
                  <w:vMerge w:val="continue"/>
                  <w:vAlign w:val="top"/>
                </w:tcPr>
                <w:p>
                  <w:pPr>
                    <w:widowControl/>
                    <w:jc w:val="left"/>
                    <w:rPr>
                      <w:kern w:val="0"/>
                      <w:szCs w:val="21"/>
                    </w:rPr>
                  </w:pPr>
                </w:p>
              </w:tc>
            </w:tr>
          </w:tbl>
          <w:p>
            <w:pPr>
              <w:spacing w:line="520" w:lineRule="exact"/>
              <w:ind w:firstLine="480" w:firstLineChars="200"/>
              <w:rPr>
                <w:sz w:val="24"/>
              </w:rPr>
            </w:pPr>
            <w:r>
              <w:rPr>
                <w:sz w:val="24"/>
              </w:rPr>
              <w:t>在施工过程中，需动用大量的车辆及施工机械，它们的噪声强度较大，且声源较多，在一定范围内将对周围环境产生一定影响。因此，应针对这些噪声源所产生的环境影响进行预测。为了更有利分析和控制噪声，从噪声源角度出发，可以把施工过程分成如下几个阶段，即</w:t>
            </w:r>
            <w:r>
              <w:rPr>
                <w:rFonts w:hint="eastAsia"/>
                <w:sz w:val="24"/>
              </w:rPr>
              <w:t>厂区平整</w:t>
            </w:r>
            <w:r>
              <w:rPr>
                <w:sz w:val="24"/>
              </w:rPr>
              <w:t>阶段、基础</w:t>
            </w:r>
            <w:r>
              <w:rPr>
                <w:rFonts w:hint="eastAsia"/>
                <w:sz w:val="24"/>
              </w:rPr>
              <w:t>施工</w:t>
            </w:r>
            <w:r>
              <w:rPr>
                <w:sz w:val="24"/>
              </w:rPr>
              <w:t>阶段、工程</w:t>
            </w:r>
            <w:r>
              <w:rPr>
                <w:rFonts w:hint="eastAsia"/>
                <w:sz w:val="24"/>
              </w:rPr>
              <w:t>施工</w:t>
            </w:r>
            <w:r>
              <w:rPr>
                <w:sz w:val="24"/>
              </w:rPr>
              <w:t>阶段。这</w:t>
            </w:r>
            <w:r>
              <w:rPr>
                <w:rFonts w:hint="eastAsia"/>
                <w:sz w:val="24"/>
              </w:rPr>
              <w:t>三</w:t>
            </w:r>
            <w:r>
              <w:rPr>
                <w:sz w:val="24"/>
              </w:rPr>
              <w:t>个阶段所占施工时间比例较长，采用的施工机械较多，噪声污染也较严重。不同阶段又各具有独立的噪声特性。</w:t>
            </w:r>
          </w:p>
          <w:p>
            <w:pPr>
              <w:spacing w:line="520" w:lineRule="exact"/>
              <w:ind w:firstLine="480" w:firstLineChars="200"/>
              <w:rPr>
                <w:sz w:val="24"/>
                <w:lang w:val="en-GB"/>
              </w:rPr>
            </w:pPr>
            <w:r>
              <w:rPr>
                <w:rFonts w:hint="eastAsia"/>
                <w:sz w:val="24"/>
              </w:rPr>
              <w:t>(1)厂区平整</w:t>
            </w:r>
            <w:r>
              <w:rPr>
                <w:sz w:val="24"/>
                <w:lang w:val="en-GB"/>
              </w:rPr>
              <w:t>阶段的主要噪声源是挖掘机、推土机、装载机以及各种运输车辆，这类施工机械绝大部分是移动性声源，噪声级为</w:t>
            </w:r>
            <w:r>
              <w:rPr>
                <w:rFonts w:hint="eastAsia"/>
                <w:sz w:val="24"/>
              </w:rPr>
              <w:t>80</w:t>
            </w:r>
            <w:r>
              <w:rPr>
                <w:sz w:val="24"/>
                <w:lang w:val="en-GB"/>
              </w:rPr>
              <w:t>～</w:t>
            </w:r>
            <w:r>
              <w:rPr>
                <w:rFonts w:hint="eastAsia"/>
                <w:sz w:val="24"/>
              </w:rPr>
              <w:t>90</w:t>
            </w:r>
            <w:r>
              <w:rPr>
                <w:sz w:val="24"/>
                <w:lang w:val="en-GB"/>
              </w:rPr>
              <w:t>dB(A)。</w:t>
            </w:r>
          </w:p>
          <w:p>
            <w:pPr>
              <w:spacing w:line="520" w:lineRule="exact"/>
              <w:ind w:firstLine="480" w:firstLineChars="200"/>
              <w:rPr>
                <w:sz w:val="24"/>
                <w:lang w:val="en-GB"/>
              </w:rPr>
            </w:pPr>
            <w:r>
              <w:rPr>
                <w:rFonts w:hint="eastAsia"/>
                <w:sz w:val="24"/>
              </w:rPr>
              <w:t>(2)</w:t>
            </w:r>
            <w:r>
              <w:rPr>
                <w:sz w:val="24"/>
                <w:lang w:val="en-GB"/>
              </w:rPr>
              <w:t>基础施工阶段的主要噪声源一方面是挖掘机、推土机、装载机以及各种运输车辆，这类施工机械绝大部分是移动性声源，噪声级为</w:t>
            </w:r>
            <w:r>
              <w:rPr>
                <w:rFonts w:hint="eastAsia"/>
                <w:sz w:val="24"/>
              </w:rPr>
              <w:t>80</w:t>
            </w:r>
            <w:r>
              <w:rPr>
                <w:sz w:val="24"/>
                <w:lang w:val="en-GB"/>
              </w:rPr>
              <w:t>～</w:t>
            </w:r>
            <w:r>
              <w:rPr>
                <w:rFonts w:hint="eastAsia"/>
                <w:sz w:val="24"/>
              </w:rPr>
              <w:t>90</w:t>
            </w:r>
            <w:r>
              <w:rPr>
                <w:sz w:val="24"/>
                <w:lang w:val="en-GB"/>
              </w:rPr>
              <w:t>dB(A)。另一方面是各种打桩机、以及一些移动式空压机等。这些声源基本都是一些固定声源，本项目的打桩工艺均采用静压灌桩方式，其噪声值已较低，可控制在85dB(A)以下，基本不会对环境构成大的影响。</w:t>
            </w:r>
          </w:p>
          <w:p>
            <w:pPr>
              <w:spacing w:line="520" w:lineRule="exact"/>
              <w:ind w:firstLine="480" w:firstLineChars="200"/>
              <w:rPr>
                <w:sz w:val="24"/>
                <w:lang w:val="en-GB"/>
              </w:rPr>
            </w:pPr>
            <w:r>
              <w:rPr>
                <w:rFonts w:hint="eastAsia"/>
                <w:sz w:val="24"/>
              </w:rPr>
              <w:t>(3)工程</w:t>
            </w:r>
            <w:r>
              <w:rPr>
                <w:sz w:val="24"/>
                <w:lang w:val="en-GB"/>
              </w:rPr>
              <w:t>施工阶段是建筑施工中周期最长的阶段，使用的设备品种较多，此阶段应是重点控制噪声的阶段之一。主要声源有各种运输设备，如汽车吊车、塔式吊车、运输平台、施工电梯等。结构工程设备如振捣棒和运输车辆等。结构施工阶段所需要的一般辅助设备如电锯、砂轮等，其发生的多数为撞击声。对于大多数工地的结构施工阶段，其主要声源是振捣棒[</w:t>
            </w:r>
            <w:r>
              <w:rPr>
                <w:rFonts w:hint="eastAsia"/>
                <w:sz w:val="24"/>
              </w:rPr>
              <w:t>80</w:t>
            </w:r>
            <w:r>
              <w:rPr>
                <w:sz w:val="24"/>
                <w:lang w:val="en-GB"/>
              </w:rPr>
              <w:t>～</w:t>
            </w:r>
            <w:r>
              <w:rPr>
                <w:rFonts w:hint="eastAsia"/>
                <w:sz w:val="24"/>
              </w:rPr>
              <w:t>90</w:t>
            </w:r>
            <w:r>
              <w:rPr>
                <w:sz w:val="24"/>
                <w:lang w:val="en-GB"/>
              </w:rPr>
              <w:t>dB(A)]，此声源工作时间较长，影响面较广，应是主要噪声源。其它一些辅助设备则声功率较低，工作时间也较短。</w:t>
            </w:r>
          </w:p>
          <w:p>
            <w:pPr>
              <w:spacing w:line="540" w:lineRule="exact"/>
              <w:ind w:firstLine="482" w:firstLineChars="200"/>
              <w:rPr>
                <w:b/>
                <w:bCs/>
                <w:kern w:val="0"/>
                <w:sz w:val="24"/>
                <w:lang w:val="zh-CN"/>
              </w:rPr>
            </w:pPr>
            <w:r>
              <w:rPr>
                <w:b/>
                <w:bCs/>
                <w:kern w:val="0"/>
                <w:sz w:val="24"/>
                <w:lang w:val="zh-CN"/>
              </w:rPr>
              <w:t>3.2预测计算</w:t>
            </w:r>
          </w:p>
          <w:p>
            <w:pPr>
              <w:spacing w:line="540" w:lineRule="exact"/>
              <w:ind w:firstLine="480" w:firstLineChars="200"/>
              <w:rPr>
                <w:sz w:val="24"/>
              </w:rPr>
            </w:pPr>
            <w:r>
              <w:rPr>
                <w:kern w:val="0"/>
                <w:sz w:val="24"/>
                <w:lang w:val="zh-CN"/>
              </w:rPr>
              <w:t>施工噪声预测</w:t>
            </w:r>
            <w:r>
              <w:rPr>
                <w:sz w:val="24"/>
              </w:rPr>
              <w:t>采用点源衰减模式，预测只计算声源至受声点的几何发散衰减，不考虑声屏障、空气吸收等衰减。预测公式如下：</w:t>
            </w:r>
          </w:p>
          <w:p>
            <w:pPr>
              <w:adjustRightInd w:val="0"/>
              <w:snapToGrid w:val="0"/>
              <w:spacing w:line="500" w:lineRule="exact"/>
              <w:ind w:firstLine="2968" w:firstLineChars="1237"/>
              <w:rPr>
                <w:sz w:val="24"/>
                <w:lang w:val="fr-FR"/>
              </w:rPr>
            </w:pPr>
            <w:r>
              <w:rPr>
                <w:sz w:val="24"/>
                <w:lang w:val="fr-FR"/>
              </w:rPr>
              <w:t>L</w:t>
            </w:r>
            <w:r>
              <w:rPr>
                <w:sz w:val="24"/>
                <w:vertAlign w:val="subscript"/>
                <w:lang w:val="fr-FR"/>
              </w:rPr>
              <w:t>A</w:t>
            </w:r>
            <w:r>
              <w:rPr>
                <w:sz w:val="24"/>
                <w:lang w:val="fr-FR"/>
              </w:rPr>
              <w:t>=L</w:t>
            </w:r>
            <w:r>
              <w:rPr>
                <w:sz w:val="24"/>
                <w:vertAlign w:val="subscript"/>
                <w:lang w:val="fr-FR"/>
              </w:rPr>
              <w:t>A（r0）</w:t>
            </w:r>
            <w:r>
              <w:rPr>
                <w:sz w:val="24"/>
                <w:lang w:val="fr-FR"/>
              </w:rPr>
              <w:t>-20lg（r/r</w:t>
            </w:r>
            <w:r>
              <w:rPr>
                <w:sz w:val="24"/>
                <w:vertAlign w:val="subscript"/>
                <w:lang w:val="fr-FR"/>
              </w:rPr>
              <w:t>0</w:t>
            </w:r>
            <w:r>
              <w:rPr>
                <w:sz w:val="24"/>
                <w:lang w:val="fr-FR"/>
              </w:rPr>
              <w:t>）</w:t>
            </w:r>
          </w:p>
          <w:p>
            <w:pPr>
              <w:spacing w:line="540" w:lineRule="exact"/>
              <w:ind w:firstLine="480" w:firstLineChars="200"/>
              <w:rPr>
                <w:sz w:val="24"/>
              </w:rPr>
            </w:pPr>
            <w:r>
              <w:rPr>
                <w:sz w:val="24"/>
              </w:rPr>
              <w:t>式中：L</w:t>
            </w:r>
            <w:r>
              <w:rPr>
                <w:sz w:val="24"/>
                <w:vertAlign w:val="subscript"/>
              </w:rPr>
              <w:t>A（r）</w:t>
            </w:r>
            <w:r>
              <w:rPr>
                <w:sz w:val="24"/>
              </w:rPr>
              <w:t>—距声源r处的A声级，dB（A）；</w:t>
            </w:r>
          </w:p>
          <w:p>
            <w:pPr>
              <w:spacing w:line="540" w:lineRule="exact"/>
              <w:ind w:firstLine="1200" w:firstLineChars="500"/>
              <w:rPr>
                <w:sz w:val="24"/>
              </w:rPr>
            </w:pPr>
            <w:r>
              <w:rPr>
                <w:sz w:val="24"/>
              </w:rPr>
              <w:t>L</w:t>
            </w:r>
            <w:r>
              <w:rPr>
                <w:sz w:val="24"/>
                <w:vertAlign w:val="subscript"/>
              </w:rPr>
              <w:t>A（r0）</w:t>
            </w:r>
            <w:r>
              <w:rPr>
                <w:sz w:val="24"/>
              </w:rPr>
              <w:t>—参考位置r</w:t>
            </w:r>
            <w:r>
              <w:rPr>
                <w:sz w:val="24"/>
                <w:vertAlign w:val="subscript"/>
              </w:rPr>
              <w:t>0</w:t>
            </w:r>
            <w:r>
              <w:rPr>
                <w:sz w:val="24"/>
              </w:rPr>
              <w:t>处的A声级，dB（A）；</w:t>
            </w:r>
          </w:p>
          <w:p>
            <w:pPr>
              <w:spacing w:line="540" w:lineRule="exact"/>
              <w:ind w:firstLine="1200" w:firstLineChars="500"/>
              <w:rPr>
                <w:sz w:val="24"/>
              </w:rPr>
            </w:pPr>
            <w:r>
              <w:rPr>
                <w:sz w:val="24"/>
              </w:rPr>
              <w:t>r—预测点距声源的距离，m；</w:t>
            </w:r>
          </w:p>
          <w:p>
            <w:pPr>
              <w:spacing w:line="540" w:lineRule="exact"/>
              <w:ind w:firstLine="1200" w:firstLineChars="500"/>
              <w:rPr>
                <w:sz w:val="24"/>
              </w:rPr>
            </w:pPr>
            <w:r>
              <w:rPr>
                <w:sz w:val="24"/>
              </w:rPr>
              <w:t>r</w:t>
            </w:r>
            <w:r>
              <w:rPr>
                <w:sz w:val="24"/>
                <w:vertAlign w:val="subscript"/>
              </w:rPr>
              <w:t>0</w:t>
            </w:r>
            <w:r>
              <w:rPr>
                <w:sz w:val="24"/>
              </w:rPr>
              <w:t>—参考位置距声源的距离，m。</w:t>
            </w:r>
          </w:p>
          <w:p>
            <w:pPr>
              <w:spacing w:line="540" w:lineRule="exact"/>
              <w:ind w:firstLine="480" w:firstLineChars="200"/>
              <w:rPr>
                <w:sz w:val="24"/>
              </w:rPr>
            </w:pPr>
            <w:r>
              <w:rPr>
                <w:sz w:val="24"/>
              </w:rPr>
              <w:t>该点的总声压级可用以下公式计算：</w:t>
            </w:r>
          </w:p>
          <w:p>
            <w:pPr>
              <w:adjustRightInd w:val="0"/>
              <w:snapToGrid w:val="0"/>
              <w:spacing w:before="156" w:beforeLines="50" w:after="156" w:afterLines="50"/>
              <w:ind w:firstLine="573"/>
              <w:jc w:val="center"/>
              <w:rPr>
                <w:sz w:val="24"/>
              </w:rPr>
            </w:pPr>
            <w:r>
              <w:rPr>
                <w:b/>
                <w:sz w:val="24"/>
                <w:lang w:val="zh-CN"/>
              </w:rPr>
              <w:object>
                <v:shape id="_x0000_i1025" o:spt="75" type="#_x0000_t75" style="height:36.7pt;width:123.3pt;" o:ole="t" filled="f" o:preferrelative="t" stroked="f" coordsize="21600,21600">
                  <v:path/>
                  <v:fill on="f" focussize="0,0"/>
                  <v:stroke on="f"/>
                  <v:imagedata r:id="rId16" o:title=""/>
                  <o:lock v:ext="edit" aspectratio="t"/>
                  <w10:wrap type="none"/>
                  <w10:anchorlock/>
                </v:shape>
                <o:OLEObject Type="Embed" ProgID="Equation.3" ShapeID="_x0000_i1025" DrawAspect="Content" ObjectID="_1468075725" r:id="rId15">
                  <o:LockedField>false</o:LockedField>
                </o:OLEObject>
              </w:object>
            </w:r>
          </w:p>
          <w:p>
            <w:pPr>
              <w:spacing w:line="540" w:lineRule="exact"/>
              <w:ind w:firstLine="480" w:firstLineChars="200"/>
              <w:rPr>
                <w:sz w:val="24"/>
              </w:rPr>
            </w:pPr>
            <w:r>
              <w:rPr>
                <w:sz w:val="24"/>
              </w:rPr>
              <w:t>其中：L</w:t>
            </w:r>
            <w:r>
              <w:rPr>
                <w:sz w:val="24"/>
                <w:vertAlign w:val="subscript"/>
              </w:rPr>
              <w:t>P</w:t>
            </w:r>
            <w:r>
              <w:rPr>
                <w:sz w:val="24"/>
              </w:rPr>
              <w:t>——某点叠加后的总声压级dB(A)</w:t>
            </w:r>
          </w:p>
          <w:p>
            <w:pPr>
              <w:adjustRightInd w:val="0"/>
              <w:snapToGrid w:val="0"/>
              <w:spacing w:line="520" w:lineRule="exact"/>
              <w:ind w:firstLine="1325" w:firstLineChars="502"/>
              <w:rPr>
                <w:sz w:val="24"/>
              </w:rPr>
            </w:pPr>
            <w:r>
              <w:rPr>
                <w:spacing w:val="12"/>
                <w:sz w:val="24"/>
              </w:rPr>
              <w:t>Li——第i个参与合成的声压级强度，dB（A）。</w:t>
            </w:r>
          </w:p>
          <w:p>
            <w:pPr>
              <w:spacing w:line="520" w:lineRule="exact"/>
              <w:rPr>
                <w:sz w:val="24"/>
              </w:rPr>
            </w:pPr>
            <w:r>
              <w:rPr>
                <w:sz w:val="24"/>
              </w:rPr>
              <w:t>预测主要施工机械在不同距离贡献值，预测结果见表</w:t>
            </w:r>
            <w:r>
              <w:rPr>
                <w:rFonts w:hint="eastAsia"/>
                <w:sz w:val="24"/>
              </w:rPr>
              <w:t>31</w:t>
            </w:r>
            <w:r>
              <w:rPr>
                <w:sz w:val="24"/>
              </w:rPr>
              <w:t>。</w:t>
            </w:r>
          </w:p>
          <w:p>
            <w:pPr>
              <w:spacing w:line="520" w:lineRule="exact"/>
              <w:jc w:val="center"/>
              <w:rPr>
                <w:rFonts w:hint="eastAsia" w:ascii="宋体" w:hAnsi="宋体" w:cs="宋体"/>
                <w:b/>
                <w:bCs/>
                <w:szCs w:val="21"/>
              </w:rPr>
            </w:pPr>
            <w:r>
              <w:rPr>
                <w:rFonts w:hint="eastAsia" w:ascii="宋体" w:hAnsi="宋体" w:cs="宋体"/>
                <w:b/>
                <w:bCs/>
                <w:szCs w:val="21"/>
              </w:rPr>
              <w:t>表31  各主要施工机械在不同距离处的贡献值一览表</w:t>
            </w:r>
          </w:p>
          <w:tbl>
            <w:tblPr>
              <w:tblStyle w:val="28"/>
              <w:tblW w:w="904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94"/>
              <w:gridCol w:w="1484"/>
              <w:gridCol w:w="698"/>
              <w:gridCol w:w="701"/>
              <w:gridCol w:w="695"/>
              <w:gridCol w:w="697"/>
              <w:gridCol w:w="696"/>
              <w:gridCol w:w="698"/>
              <w:gridCol w:w="696"/>
              <w:gridCol w:w="697"/>
              <w:gridCol w:w="696"/>
              <w:gridCol w:w="6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594" w:type="dxa"/>
                  <w:vMerge w:val="restart"/>
                  <w:tcMar>
                    <w:top w:w="0" w:type="dxa"/>
                    <w:left w:w="57" w:type="dxa"/>
                    <w:bottom w:w="0" w:type="dxa"/>
                    <w:right w:w="57" w:type="dxa"/>
                  </w:tcMar>
                  <w:vAlign w:val="center"/>
                </w:tcPr>
                <w:p>
                  <w:pPr>
                    <w:widowControl/>
                    <w:jc w:val="center"/>
                    <w:rPr>
                      <w:kern w:val="0"/>
                      <w:szCs w:val="21"/>
                    </w:rPr>
                  </w:pPr>
                  <w:r>
                    <w:rPr>
                      <w:kern w:val="0"/>
                      <w:szCs w:val="21"/>
                    </w:rPr>
                    <w:t>序号</w:t>
                  </w:r>
                </w:p>
              </w:tc>
              <w:tc>
                <w:tcPr>
                  <w:tcW w:w="1484" w:type="dxa"/>
                  <w:vMerge w:val="restart"/>
                  <w:tcMar>
                    <w:top w:w="0" w:type="dxa"/>
                    <w:left w:w="57" w:type="dxa"/>
                    <w:bottom w:w="0" w:type="dxa"/>
                    <w:right w:w="57" w:type="dxa"/>
                  </w:tcMar>
                  <w:vAlign w:val="center"/>
                </w:tcPr>
                <w:p>
                  <w:pPr>
                    <w:widowControl/>
                    <w:jc w:val="center"/>
                    <w:rPr>
                      <w:kern w:val="0"/>
                      <w:szCs w:val="21"/>
                    </w:rPr>
                  </w:pPr>
                  <w:r>
                    <w:rPr>
                      <w:kern w:val="0"/>
                      <w:szCs w:val="21"/>
                    </w:rPr>
                    <w:t>施工阶段</w:t>
                  </w:r>
                </w:p>
              </w:tc>
              <w:tc>
                <w:tcPr>
                  <w:tcW w:w="6962" w:type="dxa"/>
                  <w:gridSpan w:val="10"/>
                  <w:vAlign w:val="center"/>
                </w:tcPr>
                <w:p>
                  <w:pPr>
                    <w:widowControl/>
                    <w:jc w:val="center"/>
                    <w:rPr>
                      <w:kern w:val="0"/>
                      <w:szCs w:val="21"/>
                    </w:rPr>
                  </w:pPr>
                  <w:r>
                    <w:rPr>
                      <w:kern w:val="0"/>
                      <w:szCs w:val="21"/>
                    </w:rPr>
                    <w:t>不同距离处的噪声预测[dB(A)]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594" w:type="dxa"/>
                  <w:vMerge w:val="continue"/>
                  <w:vAlign w:val="center"/>
                </w:tcPr>
                <w:p>
                  <w:pPr>
                    <w:widowControl/>
                    <w:jc w:val="center"/>
                    <w:rPr>
                      <w:kern w:val="0"/>
                      <w:szCs w:val="21"/>
                    </w:rPr>
                  </w:pPr>
                </w:p>
              </w:tc>
              <w:tc>
                <w:tcPr>
                  <w:tcW w:w="1484" w:type="dxa"/>
                  <w:vMerge w:val="continue"/>
                  <w:vAlign w:val="center"/>
                </w:tcPr>
                <w:p>
                  <w:pPr>
                    <w:widowControl/>
                    <w:jc w:val="center"/>
                    <w:rPr>
                      <w:kern w:val="0"/>
                      <w:szCs w:val="21"/>
                    </w:rPr>
                  </w:pPr>
                </w:p>
              </w:tc>
              <w:tc>
                <w:tcPr>
                  <w:tcW w:w="698" w:type="dxa"/>
                  <w:vAlign w:val="center"/>
                </w:tcPr>
                <w:p>
                  <w:pPr>
                    <w:widowControl/>
                    <w:jc w:val="center"/>
                    <w:rPr>
                      <w:kern w:val="0"/>
                      <w:szCs w:val="21"/>
                    </w:rPr>
                  </w:pPr>
                  <w:r>
                    <w:rPr>
                      <w:kern w:val="0"/>
                      <w:szCs w:val="21"/>
                    </w:rPr>
                    <w:t>1m</w:t>
                  </w:r>
                </w:p>
              </w:tc>
              <w:tc>
                <w:tcPr>
                  <w:tcW w:w="701" w:type="dxa"/>
                  <w:vAlign w:val="center"/>
                </w:tcPr>
                <w:p>
                  <w:pPr>
                    <w:widowControl/>
                    <w:jc w:val="center"/>
                    <w:rPr>
                      <w:kern w:val="0"/>
                      <w:szCs w:val="21"/>
                    </w:rPr>
                  </w:pPr>
                  <w:r>
                    <w:rPr>
                      <w:kern w:val="0"/>
                      <w:szCs w:val="21"/>
                    </w:rPr>
                    <w:t>5m</w:t>
                  </w:r>
                </w:p>
              </w:tc>
              <w:tc>
                <w:tcPr>
                  <w:tcW w:w="695" w:type="dxa"/>
                  <w:vAlign w:val="center"/>
                </w:tcPr>
                <w:p>
                  <w:pPr>
                    <w:widowControl/>
                    <w:jc w:val="center"/>
                    <w:rPr>
                      <w:kern w:val="0"/>
                      <w:szCs w:val="21"/>
                    </w:rPr>
                  </w:pPr>
                  <w:r>
                    <w:rPr>
                      <w:kern w:val="0"/>
                      <w:szCs w:val="21"/>
                    </w:rPr>
                    <w:t>10m</w:t>
                  </w:r>
                </w:p>
              </w:tc>
              <w:tc>
                <w:tcPr>
                  <w:tcW w:w="697" w:type="dxa"/>
                  <w:vAlign w:val="center"/>
                </w:tcPr>
                <w:p>
                  <w:pPr>
                    <w:widowControl/>
                    <w:jc w:val="center"/>
                    <w:rPr>
                      <w:kern w:val="0"/>
                      <w:szCs w:val="21"/>
                    </w:rPr>
                  </w:pPr>
                  <w:r>
                    <w:rPr>
                      <w:kern w:val="0"/>
                      <w:szCs w:val="21"/>
                    </w:rPr>
                    <w:t>20m</w:t>
                  </w:r>
                </w:p>
              </w:tc>
              <w:tc>
                <w:tcPr>
                  <w:tcW w:w="696" w:type="dxa"/>
                  <w:vAlign w:val="center"/>
                </w:tcPr>
                <w:p>
                  <w:pPr>
                    <w:widowControl/>
                    <w:jc w:val="center"/>
                    <w:rPr>
                      <w:kern w:val="0"/>
                      <w:szCs w:val="21"/>
                    </w:rPr>
                  </w:pPr>
                  <w:r>
                    <w:rPr>
                      <w:kern w:val="0"/>
                      <w:szCs w:val="21"/>
                    </w:rPr>
                    <w:t>30m</w:t>
                  </w:r>
                </w:p>
              </w:tc>
              <w:tc>
                <w:tcPr>
                  <w:tcW w:w="698" w:type="dxa"/>
                  <w:vAlign w:val="center"/>
                </w:tcPr>
                <w:p>
                  <w:pPr>
                    <w:widowControl/>
                    <w:jc w:val="center"/>
                    <w:rPr>
                      <w:kern w:val="0"/>
                      <w:szCs w:val="21"/>
                    </w:rPr>
                  </w:pPr>
                  <w:r>
                    <w:rPr>
                      <w:kern w:val="0"/>
                      <w:szCs w:val="21"/>
                    </w:rPr>
                    <w:t>40m</w:t>
                  </w:r>
                </w:p>
              </w:tc>
              <w:tc>
                <w:tcPr>
                  <w:tcW w:w="696" w:type="dxa"/>
                  <w:vAlign w:val="center"/>
                </w:tcPr>
                <w:p>
                  <w:pPr>
                    <w:widowControl/>
                    <w:jc w:val="center"/>
                    <w:rPr>
                      <w:kern w:val="0"/>
                      <w:szCs w:val="21"/>
                    </w:rPr>
                  </w:pPr>
                  <w:r>
                    <w:rPr>
                      <w:kern w:val="0"/>
                      <w:szCs w:val="21"/>
                    </w:rPr>
                    <w:t>50m</w:t>
                  </w:r>
                </w:p>
              </w:tc>
              <w:tc>
                <w:tcPr>
                  <w:tcW w:w="697" w:type="dxa"/>
                  <w:vAlign w:val="center"/>
                </w:tcPr>
                <w:p>
                  <w:pPr>
                    <w:widowControl/>
                    <w:jc w:val="center"/>
                    <w:rPr>
                      <w:spacing w:val="-20"/>
                      <w:kern w:val="0"/>
                      <w:szCs w:val="21"/>
                    </w:rPr>
                  </w:pPr>
                  <w:r>
                    <w:rPr>
                      <w:spacing w:val="-20"/>
                      <w:kern w:val="0"/>
                      <w:szCs w:val="21"/>
                    </w:rPr>
                    <w:t>100m</w:t>
                  </w:r>
                </w:p>
              </w:tc>
              <w:tc>
                <w:tcPr>
                  <w:tcW w:w="696" w:type="dxa"/>
                  <w:vAlign w:val="center"/>
                </w:tcPr>
                <w:p>
                  <w:pPr>
                    <w:widowControl/>
                    <w:jc w:val="center"/>
                    <w:rPr>
                      <w:spacing w:val="-20"/>
                      <w:kern w:val="0"/>
                      <w:szCs w:val="21"/>
                    </w:rPr>
                  </w:pPr>
                  <w:r>
                    <w:rPr>
                      <w:spacing w:val="-20"/>
                      <w:kern w:val="0"/>
                      <w:szCs w:val="21"/>
                    </w:rPr>
                    <w:t>150m</w:t>
                  </w:r>
                </w:p>
              </w:tc>
              <w:tc>
                <w:tcPr>
                  <w:tcW w:w="688" w:type="dxa"/>
                  <w:vAlign w:val="center"/>
                </w:tcPr>
                <w:p>
                  <w:pPr>
                    <w:widowControl/>
                    <w:jc w:val="center"/>
                    <w:rPr>
                      <w:spacing w:val="-20"/>
                      <w:kern w:val="0"/>
                      <w:szCs w:val="21"/>
                    </w:rPr>
                  </w:pPr>
                  <w:r>
                    <w:rPr>
                      <w:spacing w:val="-20"/>
                      <w:kern w:val="0"/>
                      <w:szCs w:val="21"/>
                    </w:rPr>
                    <w:t>200m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594" w:type="dxa"/>
                  <w:tcMar>
                    <w:top w:w="0" w:type="dxa"/>
                    <w:left w:w="57" w:type="dxa"/>
                    <w:bottom w:w="0" w:type="dxa"/>
                    <w:right w:w="57" w:type="dxa"/>
                  </w:tcMar>
                  <w:vAlign w:val="center"/>
                </w:tcPr>
                <w:p>
                  <w:pPr>
                    <w:widowControl/>
                    <w:jc w:val="center"/>
                    <w:rPr>
                      <w:kern w:val="0"/>
                      <w:szCs w:val="21"/>
                    </w:rPr>
                  </w:pPr>
                  <w:r>
                    <w:rPr>
                      <w:kern w:val="0"/>
                      <w:szCs w:val="21"/>
                    </w:rPr>
                    <w:t>1</w:t>
                  </w:r>
                </w:p>
              </w:tc>
              <w:tc>
                <w:tcPr>
                  <w:tcW w:w="1484" w:type="dxa"/>
                  <w:tcMar>
                    <w:top w:w="0" w:type="dxa"/>
                    <w:left w:w="57" w:type="dxa"/>
                    <w:bottom w:w="0" w:type="dxa"/>
                    <w:right w:w="57" w:type="dxa"/>
                  </w:tcMar>
                  <w:vAlign w:val="center"/>
                </w:tcPr>
                <w:p>
                  <w:pPr>
                    <w:widowControl/>
                    <w:spacing w:line="360" w:lineRule="auto"/>
                    <w:jc w:val="center"/>
                    <w:rPr>
                      <w:rFonts w:hint="eastAsia"/>
                      <w:kern w:val="0"/>
                      <w:szCs w:val="21"/>
                    </w:rPr>
                  </w:pPr>
                  <w:r>
                    <w:rPr>
                      <w:rFonts w:hint="eastAsia"/>
                      <w:kern w:val="0"/>
                      <w:szCs w:val="21"/>
                    </w:rPr>
                    <w:t>厂区平整</w:t>
                  </w:r>
                </w:p>
              </w:tc>
              <w:tc>
                <w:tcPr>
                  <w:tcW w:w="698" w:type="dxa"/>
                  <w:vAlign w:val="center"/>
                </w:tcPr>
                <w:p>
                  <w:pPr>
                    <w:widowControl/>
                    <w:jc w:val="center"/>
                    <w:rPr>
                      <w:spacing w:val="-10"/>
                      <w:kern w:val="0"/>
                      <w:szCs w:val="21"/>
                    </w:rPr>
                  </w:pPr>
                  <w:r>
                    <w:rPr>
                      <w:spacing w:val="-10"/>
                      <w:kern w:val="0"/>
                      <w:szCs w:val="21"/>
                    </w:rPr>
                    <w:t>88.7</w:t>
                  </w:r>
                </w:p>
              </w:tc>
              <w:tc>
                <w:tcPr>
                  <w:tcW w:w="701" w:type="dxa"/>
                  <w:vAlign w:val="center"/>
                </w:tcPr>
                <w:p>
                  <w:pPr>
                    <w:widowControl/>
                    <w:jc w:val="center"/>
                    <w:rPr>
                      <w:spacing w:val="-10"/>
                      <w:kern w:val="0"/>
                      <w:szCs w:val="21"/>
                    </w:rPr>
                  </w:pPr>
                  <w:r>
                    <w:rPr>
                      <w:spacing w:val="-10"/>
                      <w:kern w:val="0"/>
                      <w:szCs w:val="21"/>
                    </w:rPr>
                    <w:t>74.7</w:t>
                  </w:r>
                </w:p>
              </w:tc>
              <w:tc>
                <w:tcPr>
                  <w:tcW w:w="695" w:type="dxa"/>
                  <w:vAlign w:val="center"/>
                </w:tcPr>
                <w:p>
                  <w:pPr>
                    <w:widowControl/>
                    <w:jc w:val="center"/>
                    <w:rPr>
                      <w:spacing w:val="-10"/>
                      <w:kern w:val="0"/>
                      <w:szCs w:val="21"/>
                    </w:rPr>
                  </w:pPr>
                  <w:r>
                    <w:rPr>
                      <w:spacing w:val="-10"/>
                      <w:kern w:val="0"/>
                      <w:szCs w:val="21"/>
                    </w:rPr>
                    <w:t>68.7</w:t>
                  </w:r>
                </w:p>
              </w:tc>
              <w:tc>
                <w:tcPr>
                  <w:tcW w:w="697" w:type="dxa"/>
                  <w:vAlign w:val="center"/>
                </w:tcPr>
                <w:p>
                  <w:pPr>
                    <w:widowControl/>
                    <w:jc w:val="center"/>
                    <w:rPr>
                      <w:spacing w:val="-10"/>
                      <w:kern w:val="0"/>
                      <w:szCs w:val="21"/>
                    </w:rPr>
                  </w:pPr>
                  <w:r>
                    <w:rPr>
                      <w:spacing w:val="-10"/>
                      <w:kern w:val="0"/>
                      <w:szCs w:val="21"/>
                    </w:rPr>
                    <w:t>62.7</w:t>
                  </w:r>
                </w:p>
              </w:tc>
              <w:tc>
                <w:tcPr>
                  <w:tcW w:w="696" w:type="dxa"/>
                  <w:vAlign w:val="center"/>
                </w:tcPr>
                <w:p>
                  <w:pPr>
                    <w:widowControl/>
                    <w:jc w:val="center"/>
                    <w:rPr>
                      <w:spacing w:val="-10"/>
                      <w:kern w:val="0"/>
                      <w:szCs w:val="21"/>
                    </w:rPr>
                  </w:pPr>
                  <w:r>
                    <w:rPr>
                      <w:spacing w:val="-10"/>
                      <w:kern w:val="0"/>
                      <w:szCs w:val="21"/>
                    </w:rPr>
                    <w:t>59.2</w:t>
                  </w:r>
                </w:p>
              </w:tc>
              <w:tc>
                <w:tcPr>
                  <w:tcW w:w="698" w:type="dxa"/>
                  <w:vAlign w:val="center"/>
                </w:tcPr>
                <w:p>
                  <w:pPr>
                    <w:widowControl/>
                    <w:jc w:val="center"/>
                    <w:rPr>
                      <w:spacing w:val="-10"/>
                      <w:kern w:val="0"/>
                      <w:szCs w:val="21"/>
                    </w:rPr>
                  </w:pPr>
                  <w:r>
                    <w:rPr>
                      <w:spacing w:val="-10"/>
                      <w:kern w:val="0"/>
                      <w:szCs w:val="21"/>
                    </w:rPr>
                    <w:t>56.7</w:t>
                  </w:r>
                </w:p>
              </w:tc>
              <w:tc>
                <w:tcPr>
                  <w:tcW w:w="696" w:type="dxa"/>
                  <w:vAlign w:val="center"/>
                </w:tcPr>
                <w:p>
                  <w:pPr>
                    <w:widowControl/>
                    <w:jc w:val="center"/>
                    <w:rPr>
                      <w:spacing w:val="-10"/>
                      <w:kern w:val="0"/>
                      <w:szCs w:val="21"/>
                    </w:rPr>
                  </w:pPr>
                  <w:r>
                    <w:rPr>
                      <w:spacing w:val="-10"/>
                      <w:kern w:val="0"/>
                      <w:szCs w:val="21"/>
                    </w:rPr>
                    <w:t>54.7</w:t>
                  </w:r>
                </w:p>
              </w:tc>
              <w:tc>
                <w:tcPr>
                  <w:tcW w:w="697" w:type="dxa"/>
                  <w:vAlign w:val="center"/>
                </w:tcPr>
                <w:p>
                  <w:pPr>
                    <w:widowControl/>
                    <w:jc w:val="center"/>
                    <w:rPr>
                      <w:spacing w:val="-10"/>
                      <w:kern w:val="0"/>
                      <w:szCs w:val="21"/>
                    </w:rPr>
                  </w:pPr>
                  <w:r>
                    <w:rPr>
                      <w:spacing w:val="-10"/>
                      <w:kern w:val="0"/>
                      <w:szCs w:val="21"/>
                    </w:rPr>
                    <w:t>48.7</w:t>
                  </w:r>
                </w:p>
              </w:tc>
              <w:tc>
                <w:tcPr>
                  <w:tcW w:w="696" w:type="dxa"/>
                  <w:vAlign w:val="center"/>
                </w:tcPr>
                <w:p>
                  <w:pPr>
                    <w:widowControl/>
                    <w:jc w:val="center"/>
                    <w:rPr>
                      <w:spacing w:val="-10"/>
                      <w:kern w:val="0"/>
                      <w:szCs w:val="21"/>
                    </w:rPr>
                  </w:pPr>
                  <w:r>
                    <w:rPr>
                      <w:spacing w:val="-10"/>
                      <w:kern w:val="0"/>
                      <w:szCs w:val="21"/>
                    </w:rPr>
                    <w:t>45.2</w:t>
                  </w:r>
                </w:p>
              </w:tc>
              <w:tc>
                <w:tcPr>
                  <w:tcW w:w="688" w:type="dxa"/>
                  <w:vAlign w:val="center"/>
                </w:tcPr>
                <w:p>
                  <w:pPr>
                    <w:widowControl/>
                    <w:jc w:val="center"/>
                    <w:rPr>
                      <w:spacing w:val="-10"/>
                      <w:kern w:val="0"/>
                      <w:szCs w:val="21"/>
                    </w:rPr>
                  </w:pPr>
                  <w:r>
                    <w:rPr>
                      <w:spacing w:val="-10"/>
                      <w:kern w:val="0"/>
                      <w:szCs w:val="21"/>
                    </w:rPr>
                    <w:t>42.7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594" w:type="dxa"/>
                  <w:tcMar>
                    <w:top w:w="0" w:type="dxa"/>
                    <w:left w:w="57" w:type="dxa"/>
                    <w:bottom w:w="0" w:type="dxa"/>
                    <w:right w:w="57" w:type="dxa"/>
                  </w:tcMar>
                  <w:vAlign w:val="center"/>
                </w:tcPr>
                <w:p>
                  <w:pPr>
                    <w:widowControl/>
                    <w:jc w:val="center"/>
                    <w:rPr>
                      <w:rFonts w:hint="eastAsia"/>
                      <w:kern w:val="0"/>
                      <w:szCs w:val="21"/>
                    </w:rPr>
                  </w:pPr>
                  <w:r>
                    <w:rPr>
                      <w:rFonts w:hint="eastAsia"/>
                      <w:kern w:val="0"/>
                      <w:szCs w:val="21"/>
                    </w:rPr>
                    <w:t>2</w:t>
                  </w:r>
                </w:p>
              </w:tc>
              <w:tc>
                <w:tcPr>
                  <w:tcW w:w="1484" w:type="dxa"/>
                  <w:tcMar>
                    <w:top w:w="0" w:type="dxa"/>
                    <w:left w:w="57" w:type="dxa"/>
                    <w:bottom w:w="0" w:type="dxa"/>
                    <w:right w:w="57" w:type="dxa"/>
                  </w:tcMar>
                  <w:vAlign w:val="center"/>
                </w:tcPr>
                <w:p>
                  <w:pPr>
                    <w:widowControl/>
                    <w:spacing w:line="360" w:lineRule="auto"/>
                    <w:jc w:val="center"/>
                    <w:rPr>
                      <w:rFonts w:hint="eastAsia"/>
                      <w:kern w:val="0"/>
                      <w:szCs w:val="21"/>
                    </w:rPr>
                  </w:pPr>
                  <w:r>
                    <w:rPr>
                      <w:rFonts w:hint="eastAsia"/>
                      <w:kern w:val="0"/>
                      <w:szCs w:val="21"/>
                    </w:rPr>
                    <w:t>基础施工</w:t>
                  </w:r>
                </w:p>
              </w:tc>
              <w:tc>
                <w:tcPr>
                  <w:tcW w:w="698" w:type="dxa"/>
                  <w:vAlign w:val="center"/>
                </w:tcPr>
                <w:p>
                  <w:pPr>
                    <w:widowControl/>
                    <w:jc w:val="center"/>
                    <w:rPr>
                      <w:rFonts w:hint="eastAsia"/>
                      <w:spacing w:val="-10"/>
                      <w:kern w:val="0"/>
                      <w:szCs w:val="21"/>
                    </w:rPr>
                  </w:pPr>
                  <w:r>
                    <w:rPr>
                      <w:rFonts w:hint="eastAsia"/>
                      <w:spacing w:val="-10"/>
                      <w:kern w:val="0"/>
                      <w:szCs w:val="21"/>
                    </w:rPr>
                    <w:t>87.1</w:t>
                  </w:r>
                </w:p>
              </w:tc>
              <w:tc>
                <w:tcPr>
                  <w:tcW w:w="701" w:type="dxa"/>
                  <w:vAlign w:val="center"/>
                </w:tcPr>
                <w:p>
                  <w:pPr>
                    <w:widowControl/>
                    <w:jc w:val="center"/>
                    <w:rPr>
                      <w:rFonts w:hint="eastAsia"/>
                      <w:spacing w:val="-10"/>
                      <w:kern w:val="0"/>
                      <w:szCs w:val="21"/>
                    </w:rPr>
                  </w:pPr>
                  <w:r>
                    <w:rPr>
                      <w:rFonts w:hint="eastAsia"/>
                      <w:spacing w:val="-10"/>
                      <w:kern w:val="0"/>
                      <w:szCs w:val="21"/>
                    </w:rPr>
                    <w:t>73.1</w:t>
                  </w:r>
                </w:p>
              </w:tc>
              <w:tc>
                <w:tcPr>
                  <w:tcW w:w="695" w:type="dxa"/>
                  <w:vAlign w:val="center"/>
                </w:tcPr>
                <w:p>
                  <w:pPr>
                    <w:widowControl/>
                    <w:jc w:val="center"/>
                    <w:rPr>
                      <w:rFonts w:hint="eastAsia"/>
                      <w:spacing w:val="-10"/>
                      <w:kern w:val="0"/>
                      <w:szCs w:val="21"/>
                    </w:rPr>
                  </w:pPr>
                  <w:r>
                    <w:rPr>
                      <w:rFonts w:hint="eastAsia"/>
                      <w:spacing w:val="-10"/>
                      <w:kern w:val="0"/>
                      <w:szCs w:val="21"/>
                    </w:rPr>
                    <w:t>67.1</w:t>
                  </w:r>
                </w:p>
              </w:tc>
              <w:tc>
                <w:tcPr>
                  <w:tcW w:w="697" w:type="dxa"/>
                  <w:vAlign w:val="center"/>
                </w:tcPr>
                <w:p>
                  <w:pPr>
                    <w:widowControl/>
                    <w:jc w:val="center"/>
                    <w:rPr>
                      <w:rFonts w:hint="eastAsia"/>
                      <w:spacing w:val="-10"/>
                      <w:kern w:val="0"/>
                      <w:szCs w:val="21"/>
                    </w:rPr>
                  </w:pPr>
                  <w:r>
                    <w:rPr>
                      <w:rFonts w:hint="eastAsia"/>
                      <w:spacing w:val="-10"/>
                      <w:kern w:val="0"/>
                      <w:szCs w:val="21"/>
                    </w:rPr>
                    <w:t>61.1</w:t>
                  </w:r>
                </w:p>
              </w:tc>
              <w:tc>
                <w:tcPr>
                  <w:tcW w:w="696" w:type="dxa"/>
                  <w:vAlign w:val="center"/>
                </w:tcPr>
                <w:p>
                  <w:pPr>
                    <w:widowControl/>
                    <w:jc w:val="center"/>
                    <w:rPr>
                      <w:rFonts w:hint="eastAsia"/>
                      <w:spacing w:val="-10"/>
                      <w:kern w:val="0"/>
                      <w:szCs w:val="21"/>
                    </w:rPr>
                  </w:pPr>
                  <w:r>
                    <w:rPr>
                      <w:rFonts w:hint="eastAsia"/>
                      <w:spacing w:val="-10"/>
                      <w:kern w:val="0"/>
                      <w:szCs w:val="21"/>
                    </w:rPr>
                    <w:t>57.6</w:t>
                  </w:r>
                </w:p>
              </w:tc>
              <w:tc>
                <w:tcPr>
                  <w:tcW w:w="698" w:type="dxa"/>
                  <w:vAlign w:val="center"/>
                </w:tcPr>
                <w:p>
                  <w:pPr>
                    <w:widowControl/>
                    <w:jc w:val="center"/>
                    <w:rPr>
                      <w:rFonts w:hint="eastAsia"/>
                      <w:spacing w:val="-10"/>
                      <w:kern w:val="0"/>
                      <w:szCs w:val="21"/>
                    </w:rPr>
                  </w:pPr>
                  <w:r>
                    <w:rPr>
                      <w:rFonts w:hint="eastAsia"/>
                      <w:spacing w:val="-10"/>
                      <w:kern w:val="0"/>
                      <w:szCs w:val="21"/>
                    </w:rPr>
                    <w:t>55.1</w:t>
                  </w:r>
                </w:p>
              </w:tc>
              <w:tc>
                <w:tcPr>
                  <w:tcW w:w="696" w:type="dxa"/>
                  <w:vAlign w:val="center"/>
                </w:tcPr>
                <w:p>
                  <w:pPr>
                    <w:widowControl/>
                    <w:jc w:val="center"/>
                    <w:rPr>
                      <w:rFonts w:hint="eastAsia"/>
                      <w:spacing w:val="-10"/>
                      <w:kern w:val="0"/>
                      <w:szCs w:val="21"/>
                    </w:rPr>
                  </w:pPr>
                  <w:r>
                    <w:rPr>
                      <w:rFonts w:hint="eastAsia"/>
                      <w:spacing w:val="-10"/>
                      <w:kern w:val="0"/>
                      <w:szCs w:val="21"/>
                    </w:rPr>
                    <w:t>53.1</w:t>
                  </w:r>
                </w:p>
              </w:tc>
              <w:tc>
                <w:tcPr>
                  <w:tcW w:w="697" w:type="dxa"/>
                  <w:vAlign w:val="center"/>
                </w:tcPr>
                <w:p>
                  <w:pPr>
                    <w:widowControl/>
                    <w:jc w:val="center"/>
                    <w:rPr>
                      <w:rFonts w:hint="eastAsia"/>
                      <w:spacing w:val="-10"/>
                      <w:kern w:val="0"/>
                      <w:szCs w:val="21"/>
                    </w:rPr>
                  </w:pPr>
                  <w:r>
                    <w:rPr>
                      <w:rFonts w:hint="eastAsia"/>
                      <w:spacing w:val="-10"/>
                      <w:kern w:val="0"/>
                      <w:szCs w:val="21"/>
                    </w:rPr>
                    <w:t>47.1</w:t>
                  </w:r>
                </w:p>
              </w:tc>
              <w:tc>
                <w:tcPr>
                  <w:tcW w:w="696" w:type="dxa"/>
                  <w:vAlign w:val="center"/>
                </w:tcPr>
                <w:p>
                  <w:pPr>
                    <w:widowControl/>
                    <w:jc w:val="center"/>
                    <w:rPr>
                      <w:rFonts w:hint="eastAsia"/>
                      <w:spacing w:val="-10"/>
                      <w:kern w:val="0"/>
                      <w:szCs w:val="21"/>
                    </w:rPr>
                  </w:pPr>
                  <w:r>
                    <w:rPr>
                      <w:rFonts w:hint="eastAsia"/>
                      <w:spacing w:val="-10"/>
                      <w:kern w:val="0"/>
                      <w:szCs w:val="21"/>
                    </w:rPr>
                    <w:t>43.6</w:t>
                  </w:r>
                </w:p>
              </w:tc>
              <w:tc>
                <w:tcPr>
                  <w:tcW w:w="688" w:type="dxa"/>
                  <w:vAlign w:val="center"/>
                </w:tcPr>
                <w:p>
                  <w:pPr>
                    <w:widowControl/>
                    <w:jc w:val="center"/>
                    <w:rPr>
                      <w:rFonts w:hint="eastAsia"/>
                      <w:spacing w:val="-10"/>
                      <w:kern w:val="0"/>
                      <w:szCs w:val="21"/>
                    </w:rPr>
                  </w:pPr>
                  <w:r>
                    <w:rPr>
                      <w:rFonts w:hint="eastAsia"/>
                      <w:spacing w:val="-10"/>
                      <w:kern w:val="0"/>
                      <w:szCs w:val="21"/>
                    </w:rPr>
                    <w:t>41.1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594" w:type="dxa"/>
                  <w:tcMar>
                    <w:top w:w="0" w:type="dxa"/>
                    <w:left w:w="57" w:type="dxa"/>
                    <w:bottom w:w="0" w:type="dxa"/>
                    <w:right w:w="57" w:type="dxa"/>
                  </w:tcMar>
                  <w:vAlign w:val="center"/>
                </w:tcPr>
                <w:p>
                  <w:pPr>
                    <w:widowControl/>
                    <w:jc w:val="center"/>
                    <w:rPr>
                      <w:rFonts w:hint="eastAsia"/>
                      <w:kern w:val="0"/>
                      <w:szCs w:val="21"/>
                    </w:rPr>
                  </w:pPr>
                  <w:r>
                    <w:rPr>
                      <w:rFonts w:hint="eastAsia"/>
                      <w:kern w:val="0"/>
                      <w:szCs w:val="21"/>
                    </w:rPr>
                    <w:t>3</w:t>
                  </w:r>
                </w:p>
              </w:tc>
              <w:tc>
                <w:tcPr>
                  <w:tcW w:w="1484" w:type="dxa"/>
                  <w:tcMar>
                    <w:top w:w="0" w:type="dxa"/>
                    <w:left w:w="57" w:type="dxa"/>
                    <w:bottom w:w="0" w:type="dxa"/>
                    <w:right w:w="57" w:type="dxa"/>
                  </w:tcMar>
                  <w:vAlign w:val="center"/>
                </w:tcPr>
                <w:p>
                  <w:pPr>
                    <w:widowControl/>
                    <w:spacing w:line="360" w:lineRule="auto"/>
                    <w:jc w:val="center"/>
                    <w:rPr>
                      <w:rFonts w:hint="eastAsia"/>
                      <w:kern w:val="0"/>
                      <w:szCs w:val="21"/>
                    </w:rPr>
                  </w:pPr>
                  <w:r>
                    <w:rPr>
                      <w:rFonts w:hint="eastAsia"/>
                      <w:kern w:val="0"/>
                      <w:szCs w:val="21"/>
                    </w:rPr>
                    <w:t>工程施工</w:t>
                  </w:r>
                </w:p>
              </w:tc>
              <w:tc>
                <w:tcPr>
                  <w:tcW w:w="698" w:type="dxa"/>
                  <w:vAlign w:val="center"/>
                </w:tcPr>
                <w:p>
                  <w:pPr>
                    <w:widowControl/>
                    <w:jc w:val="center"/>
                    <w:rPr>
                      <w:spacing w:val="-10"/>
                      <w:kern w:val="0"/>
                      <w:szCs w:val="21"/>
                    </w:rPr>
                  </w:pPr>
                  <w:r>
                    <w:rPr>
                      <w:spacing w:val="-10"/>
                      <w:kern w:val="0"/>
                      <w:szCs w:val="21"/>
                    </w:rPr>
                    <w:t>88.8</w:t>
                  </w:r>
                </w:p>
              </w:tc>
              <w:tc>
                <w:tcPr>
                  <w:tcW w:w="701" w:type="dxa"/>
                  <w:vAlign w:val="center"/>
                </w:tcPr>
                <w:p>
                  <w:pPr>
                    <w:widowControl/>
                    <w:jc w:val="center"/>
                    <w:rPr>
                      <w:spacing w:val="-10"/>
                      <w:kern w:val="0"/>
                      <w:szCs w:val="21"/>
                    </w:rPr>
                  </w:pPr>
                  <w:r>
                    <w:rPr>
                      <w:spacing w:val="-10"/>
                      <w:kern w:val="0"/>
                      <w:szCs w:val="21"/>
                    </w:rPr>
                    <w:t>74.8</w:t>
                  </w:r>
                </w:p>
              </w:tc>
              <w:tc>
                <w:tcPr>
                  <w:tcW w:w="695" w:type="dxa"/>
                  <w:vAlign w:val="center"/>
                </w:tcPr>
                <w:p>
                  <w:pPr>
                    <w:widowControl/>
                    <w:jc w:val="center"/>
                    <w:rPr>
                      <w:spacing w:val="-10"/>
                      <w:kern w:val="0"/>
                      <w:szCs w:val="21"/>
                    </w:rPr>
                  </w:pPr>
                  <w:r>
                    <w:rPr>
                      <w:spacing w:val="-10"/>
                      <w:kern w:val="0"/>
                      <w:szCs w:val="21"/>
                    </w:rPr>
                    <w:t>68.8</w:t>
                  </w:r>
                </w:p>
              </w:tc>
              <w:tc>
                <w:tcPr>
                  <w:tcW w:w="697" w:type="dxa"/>
                  <w:vAlign w:val="center"/>
                </w:tcPr>
                <w:p>
                  <w:pPr>
                    <w:widowControl/>
                    <w:jc w:val="center"/>
                    <w:rPr>
                      <w:spacing w:val="-10"/>
                      <w:kern w:val="0"/>
                      <w:szCs w:val="21"/>
                    </w:rPr>
                  </w:pPr>
                  <w:r>
                    <w:rPr>
                      <w:spacing w:val="-10"/>
                      <w:kern w:val="0"/>
                      <w:szCs w:val="21"/>
                    </w:rPr>
                    <w:t>62.8</w:t>
                  </w:r>
                </w:p>
              </w:tc>
              <w:tc>
                <w:tcPr>
                  <w:tcW w:w="696" w:type="dxa"/>
                  <w:vAlign w:val="center"/>
                </w:tcPr>
                <w:p>
                  <w:pPr>
                    <w:widowControl/>
                    <w:jc w:val="center"/>
                    <w:rPr>
                      <w:spacing w:val="-10"/>
                      <w:kern w:val="0"/>
                      <w:szCs w:val="21"/>
                    </w:rPr>
                  </w:pPr>
                  <w:r>
                    <w:rPr>
                      <w:spacing w:val="-10"/>
                      <w:kern w:val="0"/>
                      <w:szCs w:val="21"/>
                    </w:rPr>
                    <w:t>59.3</w:t>
                  </w:r>
                </w:p>
              </w:tc>
              <w:tc>
                <w:tcPr>
                  <w:tcW w:w="698" w:type="dxa"/>
                  <w:vAlign w:val="center"/>
                </w:tcPr>
                <w:p>
                  <w:pPr>
                    <w:widowControl/>
                    <w:jc w:val="center"/>
                    <w:rPr>
                      <w:spacing w:val="-10"/>
                      <w:kern w:val="0"/>
                      <w:szCs w:val="21"/>
                    </w:rPr>
                  </w:pPr>
                  <w:r>
                    <w:rPr>
                      <w:spacing w:val="-10"/>
                      <w:kern w:val="0"/>
                      <w:szCs w:val="21"/>
                    </w:rPr>
                    <w:t>56.8</w:t>
                  </w:r>
                </w:p>
              </w:tc>
              <w:tc>
                <w:tcPr>
                  <w:tcW w:w="696" w:type="dxa"/>
                  <w:vAlign w:val="center"/>
                </w:tcPr>
                <w:p>
                  <w:pPr>
                    <w:widowControl/>
                    <w:jc w:val="center"/>
                    <w:rPr>
                      <w:spacing w:val="-10"/>
                      <w:kern w:val="0"/>
                      <w:szCs w:val="21"/>
                    </w:rPr>
                  </w:pPr>
                  <w:r>
                    <w:rPr>
                      <w:spacing w:val="-10"/>
                      <w:kern w:val="0"/>
                      <w:szCs w:val="21"/>
                    </w:rPr>
                    <w:t>54.8</w:t>
                  </w:r>
                </w:p>
              </w:tc>
              <w:tc>
                <w:tcPr>
                  <w:tcW w:w="697" w:type="dxa"/>
                  <w:vAlign w:val="center"/>
                </w:tcPr>
                <w:p>
                  <w:pPr>
                    <w:widowControl/>
                    <w:jc w:val="center"/>
                    <w:rPr>
                      <w:spacing w:val="-10"/>
                      <w:kern w:val="0"/>
                      <w:szCs w:val="21"/>
                    </w:rPr>
                  </w:pPr>
                  <w:r>
                    <w:rPr>
                      <w:spacing w:val="-10"/>
                      <w:kern w:val="0"/>
                      <w:szCs w:val="21"/>
                    </w:rPr>
                    <w:t>54.0</w:t>
                  </w:r>
                </w:p>
              </w:tc>
              <w:tc>
                <w:tcPr>
                  <w:tcW w:w="696" w:type="dxa"/>
                  <w:vAlign w:val="center"/>
                </w:tcPr>
                <w:p>
                  <w:pPr>
                    <w:widowControl/>
                    <w:jc w:val="center"/>
                    <w:rPr>
                      <w:spacing w:val="-10"/>
                      <w:kern w:val="0"/>
                      <w:szCs w:val="21"/>
                    </w:rPr>
                  </w:pPr>
                  <w:r>
                    <w:rPr>
                      <w:spacing w:val="-10"/>
                      <w:kern w:val="0"/>
                      <w:szCs w:val="21"/>
                    </w:rPr>
                    <w:t>45.3</w:t>
                  </w:r>
                </w:p>
              </w:tc>
              <w:tc>
                <w:tcPr>
                  <w:tcW w:w="688" w:type="dxa"/>
                  <w:vAlign w:val="center"/>
                </w:tcPr>
                <w:p>
                  <w:pPr>
                    <w:widowControl/>
                    <w:jc w:val="center"/>
                    <w:rPr>
                      <w:spacing w:val="-10"/>
                      <w:kern w:val="0"/>
                      <w:szCs w:val="21"/>
                    </w:rPr>
                  </w:pPr>
                  <w:r>
                    <w:rPr>
                      <w:spacing w:val="-10"/>
                      <w:kern w:val="0"/>
                      <w:szCs w:val="21"/>
                    </w:rPr>
                    <w:t>42.8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0" w:type="dxa"/>
                  <w:gridSpan w:val="12"/>
                  <w:tcMar>
                    <w:top w:w="0" w:type="dxa"/>
                    <w:left w:w="57" w:type="dxa"/>
                    <w:bottom w:w="0" w:type="dxa"/>
                    <w:right w:w="57" w:type="dxa"/>
                  </w:tcMar>
                  <w:vAlign w:val="center"/>
                </w:tcPr>
                <w:p>
                  <w:pPr>
                    <w:widowControl/>
                    <w:jc w:val="center"/>
                    <w:rPr>
                      <w:kern w:val="0"/>
                      <w:szCs w:val="21"/>
                    </w:rPr>
                  </w:pPr>
                  <w:r>
                    <w:rPr>
                      <w:kern w:val="0"/>
                      <w:szCs w:val="21"/>
                    </w:rPr>
                    <w:t>注：加粗的数据为其昼间达标距离对应的噪声值，斜体加粗的数据为夜间达标距离对应的噪声值。</w:t>
                  </w:r>
                </w:p>
              </w:tc>
            </w:tr>
          </w:tbl>
          <w:p>
            <w:pPr>
              <w:spacing w:line="520" w:lineRule="exact"/>
              <w:ind w:firstLine="480" w:firstLineChars="200"/>
              <w:rPr>
                <w:bCs/>
              </w:rPr>
            </w:pPr>
            <w:r>
              <w:rPr>
                <w:bCs/>
                <w:kern w:val="24"/>
                <w:sz w:val="24"/>
              </w:rPr>
              <w:t>由以上预测结果可知，项目施工期</w:t>
            </w:r>
            <w:r>
              <w:rPr>
                <w:rFonts w:hint="eastAsia"/>
                <w:bCs/>
                <w:kern w:val="24"/>
                <w:sz w:val="24"/>
              </w:rPr>
              <w:t>厂区平整</w:t>
            </w:r>
            <w:r>
              <w:rPr>
                <w:bCs/>
                <w:kern w:val="24"/>
                <w:sz w:val="24"/>
              </w:rPr>
              <w:t>阶段、</w:t>
            </w:r>
            <w:r>
              <w:rPr>
                <w:rFonts w:hint="eastAsia"/>
                <w:bCs/>
                <w:kern w:val="24"/>
                <w:sz w:val="24"/>
              </w:rPr>
              <w:t>基础施工</w:t>
            </w:r>
            <w:r>
              <w:rPr>
                <w:bCs/>
                <w:kern w:val="24"/>
                <w:sz w:val="24"/>
              </w:rPr>
              <w:t>阶段及</w:t>
            </w:r>
            <w:r>
              <w:rPr>
                <w:rFonts w:hint="eastAsia"/>
                <w:bCs/>
                <w:kern w:val="24"/>
                <w:sz w:val="24"/>
              </w:rPr>
              <w:t>工程施工阶段</w:t>
            </w:r>
            <w:r>
              <w:rPr>
                <w:bCs/>
                <w:kern w:val="24"/>
                <w:sz w:val="24"/>
              </w:rPr>
              <w:t>噪声均较大，施工噪声的影响范围约在100m左右。本项目施工期建筑时施工机械对各</w:t>
            </w:r>
            <w:r>
              <w:rPr>
                <w:rFonts w:hint="eastAsia"/>
                <w:bCs/>
                <w:kern w:val="24"/>
                <w:sz w:val="24"/>
              </w:rPr>
              <w:t>厂界</w:t>
            </w:r>
            <w:r>
              <w:rPr>
                <w:bCs/>
                <w:kern w:val="24"/>
                <w:sz w:val="24"/>
              </w:rPr>
              <w:t>的噪声影响见</w:t>
            </w:r>
            <w:r>
              <w:rPr>
                <w:rFonts w:hint="eastAsia"/>
                <w:bCs/>
                <w:kern w:val="24"/>
                <w:sz w:val="24"/>
              </w:rPr>
              <w:t>下</w:t>
            </w:r>
            <w:r>
              <w:rPr>
                <w:bCs/>
                <w:kern w:val="24"/>
                <w:sz w:val="24"/>
              </w:rPr>
              <w:t>表。</w:t>
            </w:r>
          </w:p>
          <w:p>
            <w:pPr>
              <w:spacing w:line="520" w:lineRule="exact"/>
              <w:jc w:val="center"/>
              <w:rPr>
                <w:rFonts w:hint="eastAsia" w:ascii="宋体" w:hAnsi="宋体" w:cs="宋体"/>
                <w:b/>
                <w:kern w:val="24"/>
                <w:szCs w:val="21"/>
              </w:rPr>
            </w:pPr>
            <w:r>
              <w:rPr>
                <w:rFonts w:hint="eastAsia" w:ascii="宋体" w:hAnsi="宋体" w:cs="宋体"/>
                <w:b/>
                <w:kern w:val="24"/>
                <w:szCs w:val="21"/>
              </w:rPr>
              <w:t>表32  施工期施工场噪声影响计算结果</w:t>
            </w:r>
          </w:p>
          <w:tbl>
            <w:tblPr>
              <w:tblStyle w:val="28"/>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717"/>
              <w:gridCol w:w="1945"/>
              <w:gridCol w:w="2022"/>
              <w:gridCol w:w="1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522" w:type="dxa"/>
                  <w:vMerge w:val="restart"/>
                  <w:vAlign w:val="center"/>
                </w:tcPr>
                <w:p>
                  <w:pPr>
                    <w:spacing w:line="280" w:lineRule="exact"/>
                    <w:jc w:val="center"/>
                    <w:rPr>
                      <w:bCs/>
                      <w:szCs w:val="21"/>
                    </w:rPr>
                  </w:pPr>
                  <w:r>
                    <w:rPr>
                      <w:bCs/>
                      <w:szCs w:val="21"/>
                    </w:rPr>
                    <w:t>项目</w:t>
                  </w:r>
                </w:p>
              </w:tc>
              <w:tc>
                <w:tcPr>
                  <w:tcW w:w="1717" w:type="dxa"/>
                  <w:vMerge w:val="restart"/>
                  <w:vAlign w:val="center"/>
                </w:tcPr>
                <w:p>
                  <w:pPr>
                    <w:spacing w:line="280" w:lineRule="exact"/>
                    <w:jc w:val="center"/>
                    <w:rPr>
                      <w:bCs/>
                      <w:szCs w:val="21"/>
                    </w:rPr>
                  </w:pPr>
                  <w:r>
                    <w:rPr>
                      <w:bCs/>
                      <w:szCs w:val="21"/>
                    </w:rPr>
                    <w:t>最近距离</w:t>
                  </w:r>
                </w:p>
                <w:p>
                  <w:pPr>
                    <w:spacing w:line="280" w:lineRule="exact"/>
                    <w:jc w:val="center"/>
                    <w:rPr>
                      <w:bCs/>
                      <w:szCs w:val="21"/>
                    </w:rPr>
                  </w:pPr>
                  <w:r>
                    <w:rPr>
                      <w:bCs/>
                      <w:szCs w:val="21"/>
                    </w:rPr>
                    <w:t>（m）</w:t>
                  </w:r>
                </w:p>
              </w:tc>
              <w:tc>
                <w:tcPr>
                  <w:tcW w:w="5801" w:type="dxa"/>
                  <w:gridSpan w:val="3"/>
                  <w:vAlign w:val="center"/>
                </w:tcPr>
                <w:p>
                  <w:pPr>
                    <w:spacing w:line="280" w:lineRule="exact"/>
                    <w:jc w:val="center"/>
                    <w:rPr>
                      <w:bCs/>
                      <w:szCs w:val="21"/>
                    </w:rPr>
                  </w:pPr>
                  <w:r>
                    <w:rPr>
                      <w:bCs/>
                      <w:szCs w:val="21"/>
                    </w:rPr>
                    <w:t>噪声影响值dB(A)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522" w:type="dxa"/>
                  <w:vMerge w:val="continue"/>
                  <w:vAlign w:val="center"/>
                </w:tcPr>
                <w:p>
                  <w:pPr>
                    <w:spacing w:line="280" w:lineRule="exact"/>
                    <w:jc w:val="center"/>
                    <w:rPr>
                      <w:bCs/>
                      <w:szCs w:val="21"/>
                    </w:rPr>
                  </w:pPr>
                </w:p>
              </w:tc>
              <w:tc>
                <w:tcPr>
                  <w:tcW w:w="1717" w:type="dxa"/>
                  <w:vMerge w:val="continue"/>
                  <w:vAlign w:val="center"/>
                </w:tcPr>
                <w:p>
                  <w:pPr>
                    <w:spacing w:line="280" w:lineRule="exact"/>
                    <w:jc w:val="center"/>
                    <w:rPr>
                      <w:bCs/>
                      <w:szCs w:val="21"/>
                    </w:rPr>
                  </w:pPr>
                </w:p>
              </w:tc>
              <w:tc>
                <w:tcPr>
                  <w:tcW w:w="1945" w:type="dxa"/>
                  <w:vAlign w:val="center"/>
                </w:tcPr>
                <w:p>
                  <w:pPr>
                    <w:spacing w:line="280" w:lineRule="exact"/>
                    <w:jc w:val="center"/>
                    <w:rPr>
                      <w:bCs/>
                      <w:szCs w:val="21"/>
                    </w:rPr>
                  </w:pPr>
                  <w:r>
                    <w:rPr>
                      <w:bCs/>
                      <w:szCs w:val="21"/>
                    </w:rPr>
                    <w:t>土石方</w:t>
                  </w:r>
                </w:p>
              </w:tc>
              <w:tc>
                <w:tcPr>
                  <w:tcW w:w="2022" w:type="dxa"/>
                  <w:vAlign w:val="center"/>
                </w:tcPr>
                <w:p>
                  <w:pPr>
                    <w:spacing w:line="280" w:lineRule="exact"/>
                    <w:jc w:val="center"/>
                    <w:rPr>
                      <w:bCs/>
                      <w:szCs w:val="21"/>
                    </w:rPr>
                  </w:pPr>
                  <w:r>
                    <w:rPr>
                      <w:bCs/>
                      <w:szCs w:val="21"/>
                    </w:rPr>
                    <w:t>打桩</w:t>
                  </w:r>
                </w:p>
              </w:tc>
              <w:tc>
                <w:tcPr>
                  <w:tcW w:w="1834" w:type="dxa"/>
                  <w:vAlign w:val="center"/>
                </w:tcPr>
                <w:p>
                  <w:pPr>
                    <w:spacing w:line="280" w:lineRule="exact"/>
                    <w:jc w:val="center"/>
                    <w:rPr>
                      <w:bCs/>
                      <w:szCs w:val="21"/>
                    </w:rPr>
                  </w:pPr>
                  <w:r>
                    <w:rPr>
                      <w:bCs/>
                      <w:szCs w:val="21"/>
                    </w:rPr>
                    <w:t>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522" w:type="dxa"/>
                  <w:vAlign w:val="center"/>
                </w:tcPr>
                <w:p>
                  <w:pPr>
                    <w:spacing w:line="280" w:lineRule="exact"/>
                    <w:jc w:val="center"/>
                    <w:rPr>
                      <w:rFonts w:hint="eastAsia"/>
                      <w:bCs/>
                      <w:szCs w:val="21"/>
                    </w:rPr>
                  </w:pPr>
                  <w:r>
                    <w:rPr>
                      <w:bCs/>
                      <w:szCs w:val="21"/>
                    </w:rPr>
                    <w:t>东</w:t>
                  </w:r>
                  <w:r>
                    <w:rPr>
                      <w:rFonts w:hint="eastAsia"/>
                      <w:bCs/>
                      <w:szCs w:val="21"/>
                    </w:rPr>
                    <w:t>厂界</w:t>
                  </w:r>
                </w:p>
              </w:tc>
              <w:tc>
                <w:tcPr>
                  <w:tcW w:w="1717" w:type="dxa"/>
                  <w:vAlign w:val="center"/>
                </w:tcPr>
                <w:p>
                  <w:pPr>
                    <w:widowControl/>
                    <w:jc w:val="center"/>
                    <w:textAlignment w:val="center"/>
                    <w:rPr>
                      <w:bCs/>
                      <w:szCs w:val="21"/>
                    </w:rPr>
                  </w:pPr>
                  <w:r>
                    <w:rPr>
                      <w:kern w:val="0"/>
                      <w:szCs w:val="21"/>
                      <w:lang w:bidi="ar"/>
                    </w:rPr>
                    <w:t>20</w:t>
                  </w:r>
                </w:p>
              </w:tc>
              <w:tc>
                <w:tcPr>
                  <w:tcW w:w="1945" w:type="dxa"/>
                  <w:vAlign w:val="center"/>
                </w:tcPr>
                <w:p>
                  <w:pPr>
                    <w:widowControl/>
                    <w:jc w:val="center"/>
                    <w:textAlignment w:val="center"/>
                    <w:rPr>
                      <w:bCs/>
                      <w:szCs w:val="21"/>
                    </w:rPr>
                  </w:pPr>
                  <w:r>
                    <w:rPr>
                      <w:rFonts w:hint="eastAsia"/>
                      <w:color w:val="000000"/>
                      <w:kern w:val="0"/>
                      <w:szCs w:val="21"/>
                      <w:lang w:bidi="ar"/>
                    </w:rPr>
                    <w:t>60.0</w:t>
                  </w:r>
                </w:p>
              </w:tc>
              <w:tc>
                <w:tcPr>
                  <w:tcW w:w="2022" w:type="dxa"/>
                  <w:vAlign w:val="center"/>
                </w:tcPr>
                <w:p>
                  <w:pPr>
                    <w:widowControl/>
                    <w:jc w:val="center"/>
                    <w:textAlignment w:val="center"/>
                    <w:rPr>
                      <w:bCs/>
                      <w:szCs w:val="21"/>
                    </w:rPr>
                  </w:pPr>
                  <w:r>
                    <w:rPr>
                      <w:rFonts w:hint="eastAsia"/>
                      <w:color w:val="000000"/>
                      <w:kern w:val="0"/>
                      <w:szCs w:val="21"/>
                      <w:lang w:bidi="ar"/>
                    </w:rPr>
                    <w:t>45.0</w:t>
                  </w:r>
                </w:p>
              </w:tc>
              <w:tc>
                <w:tcPr>
                  <w:tcW w:w="1834" w:type="dxa"/>
                  <w:vAlign w:val="center"/>
                </w:tcPr>
                <w:p>
                  <w:pPr>
                    <w:widowControl/>
                    <w:jc w:val="center"/>
                    <w:textAlignment w:val="center"/>
                    <w:rPr>
                      <w:bCs/>
                      <w:szCs w:val="21"/>
                    </w:rPr>
                  </w:pPr>
                  <w:r>
                    <w:rPr>
                      <w:rFonts w:hint="eastAsia"/>
                      <w:color w:val="000000"/>
                      <w:kern w:val="0"/>
                      <w:szCs w:val="21"/>
                      <w:lang w:bidi="ar"/>
                    </w:rPr>
                    <w:t>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522" w:type="dxa"/>
                  <w:vAlign w:val="center"/>
                </w:tcPr>
                <w:p>
                  <w:pPr>
                    <w:spacing w:line="280" w:lineRule="exact"/>
                    <w:jc w:val="center"/>
                    <w:rPr>
                      <w:rFonts w:hint="eastAsia"/>
                      <w:bCs/>
                      <w:szCs w:val="21"/>
                    </w:rPr>
                  </w:pPr>
                  <w:r>
                    <w:rPr>
                      <w:bCs/>
                      <w:szCs w:val="21"/>
                    </w:rPr>
                    <w:t>西</w:t>
                  </w:r>
                  <w:r>
                    <w:rPr>
                      <w:rFonts w:hint="eastAsia"/>
                      <w:bCs/>
                      <w:szCs w:val="21"/>
                    </w:rPr>
                    <w:t>厂界</w:t>
                  </w:r>
                </w:p>
              </w:tc>
              <w:tc>
                <w:tcPr>
                  <w:tcW w:w="1717" w:type="dxa"/>
                  <w:vAlign w:val="center"/>
                </w:tcPr>
                <w:p>
                  <w:pPr>
                    <w:widowControl/>
                    <w:jc w:val="center"/>
                    <w:textAlignment w:val="center"/>
                    <w:rPr>
                      <w:bCs/>
                      <w:szCs w:val="21"/>
                    </w:rPr>
                  </w:pPr>
                  <w:r>
                    <w:rPr>
                      <w:rFonts w:hint="eastAsia"/>
                      <w:kern w:val="0"/>
                      <w:szCs w:val="21"/>
                      <w:lang w:bidi="ar"/>
                    </w:rPr>
                    <w:t>20</w:t>
                  </w:r>
                </w:p>
              </w:tc>
              <w:tc>
                <w:tcPr>
                  <w:tcW w:w="1945" w:type="dxa"/>
                  <w:vAlign w:val="center"/>
                </w:tcPr>
                <w:p>
                  <w:pPr>
                    <w:widowControl/>
                    <w:jc w:val="center"/>
                    <w:textAlignment w:val="center"/>
                    <w:rPr>
                      <w:bCs/>
                      <w:szCs w:val="21"/>
                    </w:rPr>
                  </w:pPr>
                  <w:r>
                    <w:rPr>
                      <w:rFonts w:hint="eastAsia"/>
                      <w:bCs/>
                      <w:szCs w:val="21"/>
                    </w:rPr>
                    <w:t>62.0</w:t>
                  </w:r>
                </w:p>
              </w:tc>
              <w:tc>
                <w:tcPr>
                  <w:tcW w:w="2022" w:type="dxa"/>
                  <w:vAlign w:val="center"/>
                </w:tcPr>
                <w:p>
                  <w:pPr>
                    <w:widowControl/>
                    <w:jc w:val="center"/>
                    <w:textAlignment w:val="center"/>
                    <w:rPr>
                      <w:bCs/>
                      <w:szCs w:val="21"/>
                    </w:rPr>
                  </w:pPr>
                  <w:r>
                    <w:rPr>
                      <w:rFonts w:hint="eastAsia"/>
                      <w:color w:val="000000"/>
                      <w:kern w:val="0"/>
                      <w:szCs w:val="21"/>
                      <w:lang w:bidi="ar"/>
                    </w:rPr>
                    <w:t>45.0</w:t>
                  </w:r>
                </w:p>
              </w:tc>
              <w:tc>
                <w:tcPr>
                  <w:tcW w:w="1834" w:type="dxa"/>
                  <w:vAlign w:val="center"/>
                </w:tcPr>
                <w:p>
                  <w:pPr>
                    <w:widowControl/>
                    <w:jc w:val="center"/>
                    <w:textAlignment w:val="center"/>
                    <w:rPr>
                      <w:bCs/>
                      <w:szCs w:val="21"/>
                    </w:rPr>
                  </w:pPr>
                  <w:r>
                    <w:rPr>
                      <w:rFonts w:hint="eastAsia"/>
                      <w:color w:val="000000"/>
                      <w:kern w:val="0"/>
                      <w:szCs w:val="21"/>
                      <w:lang w:bidi="ar"/>
                    </w:rPr>
                    <w:t>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522" w:type="dxa"/>
                  <w:vAlign w:val="center"/>
                </w:tcPr>
                <w:p>
                  <w:pPr>
                    <w:spacing w:line="280" w:lineRule="exact"/>
                    <w:jc w:val="center"/>
                    <w:rPr>
                      <w:rFonts w:hint="eastAsia"/>
                      <w:bCs/>
                      <w:szCs w:val="21"/>
                    </w:rPr>
                  </w:pPr>
                  <w:r>
                    <w:rPr>
                      <w:bCs/>
                      <w:szCs w:val="21"/>
                    </w:rPr>
                    <w:t>南</w:t>
                  </w:r>
                  <w:r>
                    <w:rPr>
                      <w:rFonts w:hint="eastAsia"/>
                      <w:bCs/>
                      <w:szCs w:val="21"/>
                    </w:rPr>
                    <w:t>厂界</w:t>
                  </w:r>
                </w:p>
              </w:tc>
              <w:tc>
                <w:tcPr>
                  <w:tcW w:w="1717" w:type="dxa"/>
                  <w:vAlign w:val="center"/>
                </w:tcPr>
                <w:p>
                  <w:pPr>
                    <w:widowControl/>
                    <w:jc w:val="center"/>
                    <w:textAlignment w:val="center"/>
                    <w:rPr>
                      <w:bCs/>
                      <w:szCs w:val="21"/>
                    </w:rPr>
                  </w:pPr>
                  <w:r>
                    <w:rPr>
                      <w:rFonts w:hint="eastAsia"/>
                      <w:kern w:val="0"/>
                      <w:szCs w:val="21"/>
                      <w:lang w:bidi="ar"/>
                    </w:rPr>
                    <w:t>18</w:t>
                  </w:r>
                </w:p>
              </w:tc>
              <w:tc>
                <w:tcPr>
                  <w:tcW w:w="1945" w:type="dxa"/>
                  <w:vAlign w:val="center"/>
                </w:tcPr>
                <w:p>
                  <w:pPr>
                    <w:widowControl/>
                    <w:jc w:val="center"/>
                    <w:textAlignment w:val="center"/>
                    <w:rPr>
                      <w:bCs/>
                      <w:szCs w:val="21"/>
                    </w:rPr>
                  </w:pPr>
                  <w:r>
                    <w:rPr>
                      <w:color w:val="000000"/>
                      <w:kern w:val="0"/>
                      <w:szCs w:val="21"/>
                      <w:lang w:bidi="ar"/>
                    </w:rPr>
                    <w:t>73.98</w:t>
                  </w:r>
                </w:p>
              </w:tc>
              <w:tc>
                <w:tcPr>
                  <w:tcW w:w="2022" w:type="dxa"/>
                  <w:vAlign w:val="center"/>
                </w:tcPr>
                <w:p>
                  <w:pPr>
                    <w:widowControl/>
                    <w:jc w:val="center"/>
                    <w:textAlignment w:val="center"/>
                    <w:rPr>
                      <w:bCs/>
                      <w:szCs w:val="21"/>
                    </w:rPr>
                  </w:pPr>
                  <w:r>
                    <w:rPr>
                      <w:rFonts w:hint="eastAsia"/>
                      <w:color w:val="000000"/>
                      <w:kern w:val="0"/>
                      <w:szCs w:val="21"/>
                      <w:lang w:bidi="ar"/>
                    </w:rPr>
                    <w:t>47.0</w:t>
                  </w:r>
                </w:p>
              </w:tc>
              <w:tc>
                <w:tcPr>
                  <w:tcW w:w="1834" w:type="dxa"/>
                  <w:vAlign w:val="center"/>
                </w:tcPr>
                <w:p>
                  <w:pPr>
                    <w:widowControl/>
                    <w:jc w:val="center"/>
                    <w:textAlignment w:val="center"/>
                    <w:rPr>
                      <w:bCs/>
                      <w:szCs w:val="21"/>
                    </w:rPr>
                  </w:pPr>
                  <w:r>
                    <w:rPr>
                      <w:rFonts w:hint="eastAsia"/>
                      <w:color w:val="000000"/>
                      <w:kern w:val="0"/>
                      <w:szCs w:val="21"/>
                      <w:lang w:bidi="ar"/>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522" w:type="dxa"/>
                  <w:vAlign w:val="center"/>
                </w:tcPr>
                <w:p>
                  <w:pPr>
                    <w:spacing w:line="280" w:lineRule="exact"/>
                    <w:jc w:val="center"/>
                    <w:rPr>
                      <w:rFonts w:hint="eastAsia"/>
                      <w:bCs/>
                      <w:szCs w:val="21"/>
                    </w:rPr>
                  </w:pPr>
                  <w:r>
                    <w:rPr>
                      <w:bCs/>
                      <w:szCs w:val="21"/>
                    </w:rPr>
                    <w:t>北</w:t>
                  </w:r>
                  <w:r>
                    <w:rPr>
                      <w:rFonts w:hint="eastAsia"/>
                      <w:bCs/>
                      <w:szCs w:val="21"/>
                    </w:rPr>
                    <w:t>厂界</w:t>
                  </w:r>
                </w:p>
              </w:tc>
              <w:tc>
                <w:tcPr>
                  <w:tcW w:w="1717" w:type="dxa"/>
                  <w:vAlign w:val="center"/>
                </w:tcPr>
                <w:p>
                  <w:pPr>
                    <w:widowControl/>
                    <w:jc w:val="center"/>
                    <w:textAlignment w:val="center"/>
                    <w:rPr>
                      <w:bCs/>
                      <w:szCs w:val="21"/>
                    </w:rPr>
                  </w:pPr>
                  <w:r>
                    <w:rPr>
                      <w:rFonts w:hint="eastAsia"/>
                      <w:kern w:val="0"/>
                      <w:szCs w:val="21"/>
                      <w:lang w:bidi="ar"/>
                    </w:rPr>
                    <w:t>22</w:t>
                  </w:r>
                </w:p>
              </w:tc>
              <w:tc>
                <w:tcPr>
                  <w:tcW w:w="1945" w:type="dxa"/>
                  <w:vAlign w:val="center"/>
                </w:tcPr>
                <w:p>
                  <w:pPr>
                    <w:widowControl/>
                    <w:jc w:val="center"/>
                    <w:textAlignment w:val="center"/>
                    <w:rPr>
                      <w:bCs/>
                      <w:szCs w:val="21"/>
                    </w:rPr>
                  </w:pPr>
                  <w:r>
                    <w:rPr>
                      <w:rFonts w:hint="eastAsia"/>
                      <w:color w:val="000000"/>
                      <w:kern w:val="0"/>
                      <w:szCs w:val="21"/>
                      <w:lang w:bidi="ar"/>
                    </w:rPr>
                    <w:t>53.2</w:t>
                  </w:r>
                </w:p>
              </w:tc>
              <w:tc>
                <w:tcPr>
                  <w:tcW w:w="2022" w:type="dxa"/>
                  <w:vAlign w:val="center"/>
                </w:tcPr>
                <w:p>
                  <w:pPr>
                    <w:widowControl/>
                    <w:jc w:val="center"/>
                    <w:textAlignment w:val="center"/>
                    <w:rPr>
                      <w:bCs/>
                      <w:szCs w:val="21"/>
                    </w:rPr>
                  </w:pPr>
                  <w:r>
                    <w:rPr>
                      <w:rFonts w:hint="eastAsia"/>
                      <w:color w:val="000000"/>
                      <w:kern w:val="0"/>
                      <w:szCs w:val="21"/>
                      <w:lang w:bidi="ar"/>
                    </w:rPr>
                    <w:t>43.4</w:t>
                  </w:r>
                </w:p>
              </w:tc>
              <w:tc>
                <w:tcPr>
                  <w:tcW w:w="1834" w:type="dxa"/>
                  <w:vAlign w:val="center"/>
                </w:tcPr>
                <w:p>
                  <w:pPr>
                    <w:widowControl/>
                    <w:jc w:val="center"/>
                    <w:textAlignment w:val="center"/>
                    <w:rPr>
                      <w:bCs/>
                      <w:szCs w:val="21"/>
                    </w:rPr>
                  </w:pPr>
                  <w:r>
                    <w:rPr>
                      <w:rFonts w:hint="eastAsia"/>
                      <w:color w:val="000000"/>
                      <w:kern w:val="0"/>
                      <w:szCs w:val="21"/>
                      <w:lang w:bidi="ar"/>
                    </w:rPr>
                    <w:t>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3239" w:type="dxa"/>
                  <w:gridSpan w:val="2"/>
                  <w:vAlign w:val="center"/>
                </w:tcPr>
                <w:p>
                  <w:pPr>
                    <w:spacing w:line="280" w:lineRule="exact"/>
                    <w:jc w:val="center"/>
                    <w:rPr>
                      <w:bCs/>
                      <w:szCs w:val="21"/>
                    </w:rPr>
                  </w:pPr>
                  <w:r>
                    <w:rPr>
                      <w:bCs/>
                      <w:szCs w:val="21"/>
                    </w:rPr>
                    <w:t>标准值</w:t>
                  </w:r>
                </w:p>
              </w:tc>
              <w:tc>
                <w:tcPr>
                  <w:tcW w:w="5801" w:type="dxa"/>
                  <w:gridSpan w:val="3"/>
                  <w:vAlign w:val="center"/>
                </w:tcPr>
                <w:p>
                  <w:pPr>
                    <w:spacing w:line="280" w:lineRule="exact"/>
                    <w:jc w:val="center"/>
                    <w:rPr>
                      <w:bCs/>
                      <w:szCs w:val="21"/>
                    </w:rPr>
                  </w:pPr>
                  <w:r>
                    <w:rPr>
                      <w:bCs/>
                      <w:szCs w:val="21"/>
                    </w:rPr>
                    <w:t>70</w:t>
                  </w:r>
                </w:p>
              </w:tc>
            </w:tr>
          </w:tbl>
          <w:p>
            <w:pPr>
              <w:pStyle w:val="37"/>
              <w:spacing w:line="540" w:lineRule="exact"/>
              <w:ind w:firstLineChars="200"/>
              <w:rPr>
                <w:b/>
                <w:bCs/>
              </w:rPr>
            </w:pPr>
            <w:r>
              <w:rPr>
                <w:b/>
                <w:bCs/>
              </w:rPr>
              <w:t>3.3影响分析及对策措施</w:t>
            </w:r>
          </w:p>
          <w:p>
            <w:pPr>
              <w:spacing w:line="540" w:lineRule="exact"/>
              <w:ind w:firstLine="480" w:firstLineChars="200"/>
              <w:rPr>
                <w:color w:val="000000"/>
              </w:rPr>
            </w:pPr>
            <w:r>
              <w:rPr>
                <w:color w:val="000000"/>
                <w:sz w:val="24"/>
              </w:rPr>
              <w:t>鉴于施工机械在施工现场一定区域内移动，根据《建筑施工</w:t>
            </w:r>
            <w:r>
              <w:rPr>
                <w:rFonts w:hint="eastAsia"/>
                <w:color w:val="000000"/>
                <w:sz w:val="24"/>
              </w:rPr>
              <w:t>厂界</w:t>
            </w:r>
            <w:r>
              <w:rPr>
                <w:color w:val="000000"/>
                <w:sz w:val="24"/>
              </w:rPr>
              <w:t>环境噪声排放标准》（GB12523-2011），施工现场噪声贡献值昼间10m、夜间50m处可达到施工</w:t>
            </w:r>
            <w:r>
              <w:rPr>
                <w:rFonts w:hint="eastAsia"/>
                <w:color w:val="000000"/>
                <w:sz w:val="24"/>
              </w:rPr>
              <w:t>厂界</w:t>
            </w:r>
            <w:r>
              <w:rPr>
                <w:color w:val="000000"/>
                <w:sz w:val="24"/>
              </w:rPr>
              <w:t>噪声限值要求。经现场踏勘，距离项目最近的环境保护目标为</w:t>
            </w:r>
            <w:r>
              <w:rPr>
                <w:rFonts w:hint="eastAsia"/>
                <w:color w:val="000000"/>
                <w:sz w:val="24"/>
              </w:rPr>
              <w:t>项目</w:t>
            </w:r>
            <w:r>
              <w:rPr>
                <w:rFonts w:hint="eastAsia"/>
                <w:sz w:val="24"/>
              </w:rPr>
              <w:t>西侧约437m处慈一村</w:t>
            </w:r>
            <w:r>
              <w:rPr>
                <w:color w:val="000000"/>
                <w:sz w:val="24"/>
              </w:rPr>
              <w:t>，施工噪声超标距离内不存在敏感点，施工期噪声对周围环境影响很小。</w:t>
            </w:r>
          </w:p>
          <w:p>
            <w:pPr>
              <w:spacing w:line="540" w:lineRule="exact"/>
              <w:ind w:firstLine="480" w:firstLineChars="200"/>
              <w:rPr>
                <w:color w:val="000000"/>
                <w:sz w:val="24"/>
              </w:rPr>
            </w:pPr>
            <w:r>
              <w:rPr>
                <w:color w:val="000000"/>
                <w:sz w:val="24"/>
              </w:rPr>
              <w:t>为进一步减轻施工噪声对周围环境的影响，建议建设单位采用如下措施控制施工噪声：</w:t>
            </w:r>
          </w:p>
          <w:p>
            <w:pPr>
              <w:spacing w:line="520" w:lineRule="exact"/>
              <w:ind w:firstLine="480" w:firstLineChars="200"/>
              <w:rPr>
                <w:bCs/>
                <w:kern w:val="24"/>
                <w:sz w:val="24"/>
              </w:rPr>
            </w:pPr>
            <w:r>
              <w:rPr>
                <w:bCs/>
                <w:kern w:val="24"/>
                <w:sz w:val="24"/>
                <w:lang w:val="en-GB"/>
              </w:rPr>
              <w:t>本评价要求建设单位在项目的建设过程中要</w:t>
            </w:r>
            <w:r>
              <w:rPr>
                <w:bCs/>
                <w:kern w:val="24"/>
                <w:sz w:val="24"/>
              </w:rPr>
              <w:t>做好施工噪声的治理防治工作，为进一步减轻施工噪声对周围环境的影响，建议采用如下措施控制施工噪声：</w:t>
            </w:r>
          </w:p>
          <w:p>
            <w:pPr>
              <w:spacing w:line="520" w:lineRule="exact"/>
              <w:ind w:firstLine="480" w:firstLineChars="200"/>
              <w:rPr>
                <w:bCs/>
                <w:kern w:val="24"/>
                <w:sz w:val="24"/>
              </w:rPr>
            </w:pPr>
            <w:r>
              <w:rPr>
                <w:rFonts w:hint="eastAsia"/>
                <w:bCs/>
                <w:kern w:val="24"/>
                <w:sz w:val="24"/>
              </w:rPr>
              <w:t>(1)</w:t>
            </w:r>
            <w:r>
              <w:rPr>
                <w:bCs/>
                <w:kern w:val="24"/>
                <w:sz w:val="24"/>
              </w:rPr>
              <w:t>制定科学的施工计划，合理安排施工时间。除抢修、抢险作业外，禁止在夜间22：00～次日6：00</w:t>
            </w:r>
            <w:r>
              <w:rPr>
                <w:rFonts w:hint="eastAsia"/>
                <w:bCs/>
                <w:kern w:val="24"/>
                <w:sz w:val="24"/>
              </w:rPr>
              <w:t>及中午12：00</w:t>
            </w:r>
            <w:r>
              <w:rPr>
                <w:bCs/>
                <w:kern w:val="24"/>
                <w:sz w:val="24"/>
              </w:rPr>
              <w:t>~</w:t>
            </w:r>
            <w:r>
              <w:rPr>
                <w:rFonts w:hint="eastAsia"/>
                <w:bCs/>
                <w:kern w:val="24"/>
                <w:sz w:val="24"/>
              </w:rPr>
              <w:t>14:00</w:t>
            </w:r>
            <w:r>
              <w:rPr>
                <w:bCs/>
                <w:kern w:val="24"/>
                <w:sz w:val="24"/>
              </w:rPr>
              <w:t>时段内施工；如确因工艺要求必须连续施工时，应报建设主管部门并取得批准，提前3天公告周围单位及居民，方可夜间连续施工；</w:t>
            </w:r>
          </w:p>
          <w:p>
            <w:pPr>
              <w:spacing w:line="520" w:lineRule="exact"/>
              <w:ind w:firstLine="480" w:firstLineChars="200"/>
              <w:rPr>
                <w:bCs/>
                <w:kern w:val="24"/>
                <w:sz w:val="24"/>
              </w:rPr>
            </w:pPr>
            <w:r>
              <w:rPr>
                <w:rFonts w:hint="eastAsia"/>
                <w:bCs/>
                <w:kern w:val="24"/>
                <w:sz w:val="24"/>
              </w:rPr>
              <w:t>(2)</w:t>
            </w:r>
            <w:r>
              <w:rPr>
                <w:bCs/>
                <w:kern w:val="24"/>
                <w:sz w:val="24"/>
              </w:rPr>
              <w:t>采用距离防护措施，将主要噪声源布置在本项目中心方向，同时施工单位尽量选用低噪音、低振动的各类施工机械设备，并尽可能附带消声和隔音的附属设施；避免多台高噪音的机械设备在同一时间段使用；</w:t>
            </w:r>
          </w:p>
          <w:p>
            <w:pPr>
              <w:spacing w:line="520" w:lineRule="exact"/>
              <w:ind w:firstLine="480" w:firstLineChars="200"/>
              <w:rPr>
                <w:rFonts w:hint="eastAsia"/>
                <w:bCs/>
                <w:kern w:val="24"/>
                <w:sz w:val="24"/>
              </w:rPr>
            </w:pPr>
            <w:r>
              <w:rPr>
                <w:rFonts w:hint="eastAsia"/>
                <w:bCs/>
                <w:kern w:val="24"/>
                <w:sz w:val="24"/>
              </w:rPr>
              <w:t>(3)</w:t>
            </w:r>
            <w:r>
              <w:rPr>
                <w:bCs/>
                <w:kern w:val="24"/>
                <w:sz w:val="24"/>
              </w:rPr>
              <w:t>采取减振阻尼措施，在施工机械设备与基础或联接部之间采用弹簧减振、橡胶减振技术。对产生受激振动声大的设备金属板壳可在其外表涂上高阻尼层可减缓其振动噪声</w:t>
            </w:r>
            <w:r>
              <w:rPr>
                <w:rFonts w:hint="eastAsia"/>
                <w:bCs/>
                <w:kern w:val="24"/>
                <w:sz w:val="24"/>
              </w:rPr>
              <w:t>；</w:t>
            </w:r>
          </w:p>
          <w:p>
            <w:pPr>
              <w:spacing w:line="520" w:lineRule="exact"/>
              <w:ind w:firstLine="480" w:firstLineChars="200"/>
              <w:rPr>
                <w:bCs/>
                <w:kern w:val="24"/>
                <w:sz w:val="24"/>
                <w:lang w:val="en-GB"/>
              </w:rPr>
            </w:pPr>
            <w:r>
              <w:rPr>
                <w:rFonts w:hint="eastAsia"/>
                <w:bCs/>
                <w:kern w:val="24"/>
                <w:sz w:val="24"/>
              </w:rPr>
              <w:t>(4)</w:t>
            </w:r>
            <w:r>
              <w:rPr>
                <w:bCs/>
                <w:kern w:val="24"/>
                <w:sz w:val="24"/>
              </w:rPr>
              <w:t>采取隔声降噪措施，建议建设</w:t>
            </w:r>
            <w:r>
              <w:rPr>
                <w:bCs/>
                <w:kern w:val="24"/>
                <w:sz w:val="24"/>
                <w:lang w:val="en-GB"/>
              </w:rPr>
              <w:t>单位在</w:t>
            </w:r>
            <w:r>
              <w:rPr>
                <w:rFonts w:hint="eastAsia"/>
                <w:bCs/>
                <w:kern w:val="24"/>
                <w:sz w:val="24"/>
                <w:lang w:val="en-GB"/>
              </w:rPr>
              <w:t>厂界</w:t>
            </w:r>
            <w:r>
              <w:rPr>
                <w:bCs/>
                <w:kern w:val="24"/>
                <w:sz w:val="24"/>
                <w:lang w:val="en-GB"/>
              </w:rPr>
              <w:t>设置临时声围挡，将施工机械噪声源与周围环境隔离，使施工噪声控制在隔声构件内，以减小环境噪声污染范围与污染程度；</w:t>
            </w:r>
          </w:p>
          <w:p>
            <w:pPr>
              <w:spacing w:line="520" w:lineRule="exact"/>
              <w:ind w:firstLine="480" w:firstLineChars="200"/>
              <w:rPr>
                <w:rFonts w:hint="eastAsia"/>
                <w:bCs/>
                <w:kern w:val="24"/>
                <w:sz w:val="24"/>
                <w:lang w:val="en-GB"/>
              </w:rPr>
            </w:pPr>
            <w:r>
              <w:rPr>
                <w:rFonts w:hint="eastAsia"/>
                <w:bCs/>
                <w:kern w:val="24"/>
                <w:sz w:val="24"/>
              </w:rPr>
              <w:t>(5)</w:t>
            </w:r>
            <w:r>
              <w:rPr>
                <w:bCs/>
                <w:kern w:val="24"/>
                <w:sz w:val="24"/>
                <w:lang w:val="en-GB"/>
              </w:rPr>
              <w:t>加强对施工人员的监督和管理，促进其环保意识的增强，减少不必要的人为噪声。如对施工用框架模板要轻拿轻放，不得随意乱甩，夜间禁止喧哗等。施工及来往运输车辆禁止鸣笛</w:t>
            </w:r>
            <w:r>
              <w:rPr>
                <w:rFonts w:hint="eastAsia"/>
                <w:bCs/>
                <w:kern w:val="24"/>
                <w:sz w:val="24"/>
                <w:lang w:val="en-GB"/>
              </w:rPr>
              <w:t>；</w:t>
            </w:r>
          </w:p>
          <w:p>
            <w:pPr>
              <w:spacing w:line="520" w:lineRule="exact"/>
              <w:ind w:firstLine="480" w:firstLineChars="200"/>
              <w:rPr>
                <w:bCs/>
                <w:kern w:val="24"/>
                <w:sz w:val="24"/>
              </w:rPr>
            </w:pPr>
            <w:r>
              <w:rPr>
                <w:rFonts w:hint="eastAsia"/>
                <w:bCs/>
                <w:kern w:val="24"/>
                <w:sz w:val="24"/>
              </w:rPr>
              <w:t>(6)</w:t>
            </w:r>
            <w:r>
              <w:rPr>
                <w:bCs/>
                <w:kern w:val="24"/>
                <w:sz w:val="24"/>
                <w:lang w:val="en-GB"/>
              </w:rPr>
              <w:t>日常应注意对施工设备的维修、保养、使各种施工机械保持良好的运行状态，杜绝由于设备运动状况不佳导致噪声增大</w:t>
            </w:r>
            <w:r>
              <w:rPr>
                <w:rFonts w:hint="eastAsia"/>
                <w:bCs/>
                <w:kern w:val="24"/>
                <w:sz w:val="24"/>
              </w:rPr>
              <w:t>。</w:t>
            </w:r>
          </w:p>
          <w:p>
            <w:pPr>
              <w:tabs>
                <w:tab w:val="center" w:pos="4956"/>
              </w:tabs>
              <w:spacing w:line="540" w:lineRule="exact"/>
              <w:ind w:firstLine="482" w:firstLineChars="200"/>
              <w:rPr>
                <w:b/>
                <w:sz w:val="24"/>
              </w:rPr>
            </w:pPr>
            <w:r>
              <w:rPr>
                <w:b/>
                <w:sz w:val="24"/>
              </w:rPr>
              <w:t>4、固体废物环境影响分析</w:t>
            </w:r>
          </w:p>
          <w:p>
            <w:pPr>
              <w:spacing w:line="540" w:lineRule="exact"/>
              <w:ind w:firstLine="480" w:firstLineChars="200"/>
              <w:rPr>
                <w:color w:val="000000"/>
                <w:sz w:val="24"/>
              </w:rPr>
            </w:pPr>
            <w:r>
              <w:rPr>
                <w:color w:val="000000"/>
                <w:sz w:val="24"/>
              </w:rPr>
              <w:t>主要包括施工过程中产生的建筑垃圾以及施工人员产生的生活垃圾。</w:t>
            </w:r>
          </w:p>
          <w:p>
            <w:pPr>
              <w:spacing w:line="540" w:lineRule="exact"/>
              <w:ind w:firstLine="482" w:firstLineChars="200"/>
              <w:rPr>
                <w:b/>
                <w:bCs/>
                <w:color w:val="000000"/>
                <w:sz w:val="24"/>
              </w:rPr>
            </w:pPr>
            <w:r>
              <w:rPr>
                <w:b/>
                <w:bCs/>
                <w:color w:val="000000"/>
                <w:sz w:val="24"/>
              </w:rPr>
              <w:t>4.1建筑垃圾</w:t>
            </w:r>
          </w:p>
          <w:p>
            <w:pPr>
              <w:pStyle w:val="44"/>
              <w:spacing w:line="540" w:lineRule="exact"/>
              <w:ind w:firstLine="480" w:firstLineChars="200"/>
              <w:rPr>
                <w:sz w:val="24"/>
                <w:szCs w:val="24"/>
              </w:rPr>
            </w:pPr>
            <w:r>
              <w:rPr>
                <w:sz w:val="24"/>
                <w:szCs w:val="24"/>
              </w:rPr>
              <w:t>本项目施工建筑面积为</w:t>
            </w:r>
            <w:r>
              <w:rPr>
                <w:rFonts w:hint="eastAsia"/>
                <w:color w:val="000000"/>
                <w:sz w:val="24"/>
                <w:szCs w:val="24"/>
              </w:rPr>
              <w:t>5735</w:t>
            </w:r>
            <w:r>
              <w:rPr>
                <w:color w:val="000000"/>
                <w:sz w:val="24"/>
                <w:szCs w:val="24"/>
              </w:rPr>
              <w:t>m</w:t>
            </w:r>
            <w:r>
              <w:rPr>
                <w:color w:val="000000"/>
                <w:sz w:val="24"/>
                <w:szCs w:val="24"/>
                <w:vertAlign w:val="superscript"/>
              </w:rPr>
              <w:t>2</w:t>
            </w:r>
            <w:r>
              <w:rPr>
                <w:color w:val="000000"/>
                <w:sz w:val="24"/>
                <w:szCs w:val="24"/>
              </w:rPr>
              <w:t>，建筑垃圾产生量以40kg/m</w:t>
            </w:r>
            <w:r>
              <w:rPr>
                <w:color w:val="000000"/>
                <w:sz w:val="24"/>
                <w:szCs w:val="24"/>
                <w:vertAlign w:val="superscript"/>
              </w:rPr>
              <w:t>2</w:t>
            </w:r>
            <w:r>
              <w:rPr>
                <w:color w:val="000000"/>
                <w:sz w:val="24"/>
                <w:szCs w:val="24"/>
              </w:rPr>
              <w:t>计，则施工过程中建筑垃圾的产生量为</w:t>
            </w:r>
            <w:r>
              <w:rPr>
                <w:rFonts w:hint="eastAsia"/>
                <w:color w:val="000000"/>
                <w:sz w:val="24"/>
                <w:szCs w:val="24"/>
              </w:rPr>
              <w:t>229.4</w:t>
            </w:r>
            <w:r>
              <w:rPr>
                <w:color w:val="000000"/>
                <w:sz w:val="24"/>
                <w:szCs w:val="24"/>
              </w:rPr>
              <w:t>t，产生的建筑垃</w:t>
            </w:r>
            <w:r>
              <w:rPr>
                <w:sz w:val="24"/>
                <w:szCs w:val="24"/>
              </w:rPr>
              <w:t>圾由建设单位外运至市政部门指定的的垃圾堆放场，可回用部分供项目营运期使用，不能回用的在外运过程中应适当洒水，并采用篷布遮盖，检验合格后方可上路。</w:t>
            </w:r>
          </w:p>
          <w:p>
            <w:pPr>
              <w:pStyle w:val="44"/>
              <w:spacing w:line="540" w:lineRule="exact"/>
              <w:ind w:firstLine="482" w:firstLineChars="200"/>
              <w:rPr>
                <w:b/>
                <w:bCs/>
                <w:sz w:val="24"/>
                <w:szCs w:val="24"/>
              </w:rPr>
            </w:pPr>
            <w:r>
              <w:rPr>
                <w:b/>
                <w:bCs/>
                <w:sz w:val="24"/>
                <w:szCs w:val="24"/>
              </w:rPr>
              <w:t>4.2员工生活垃圾</w:t>
            </w:r>
          </w:p>
          <w:p>
            <w:pPr>
              <w:pStyle w:val="44"/>
              <w:spacing w:line="540" w:lineRule="exact"/>
              <w:ind w:firstLine="480" w:firstLineChars="200"/>
              <w:rPr>
                <w:sz w:val="24"/>
                <w:szCs w:val="24"/>
              </w:rPr>
            </w:pPr>
            <w:r>
              <w:rPr>
                <w:sz w:val="24"/>
                <w:szCs w:val="24"/>
              </w:rPr>
              <w:t>本项目施工期约2个月，即60天，施工人员约</w:t>
            </w:r>
            <w:r>
              <w:rPr>
                <w:rFonts w:hint="eastAsia"/>
                <w:sz w:val="24"/>
                <w:szCs w:val="24"/>
              </w:rPr>
              <w:t>15</w:t>
            </w:r>
            <w:r>
              <w:rPr>
                <w:sz w:val="24"/>
                <w:szCs w:val="24"/>
              </w:rPr>
              <w:t>人，由于条件限制，生活垃圾产生量按0.5kg/人·d计算，则生活垃圾产生量为</w:t>
            </w:r>
            <w:r>
              <w:rPr>
                <w:rFonts w:hint="eastAsia"/>
                <w:sz w:val="24"/>
                <w:szCs w:val="24"/>
              </w:rPr>
              <w:t>7.5</w:t>
            </w:r>
            <w:r>
              <w:rPr>
                <w:sz w:val="24"/>
                <w:szCs w:val="24"/>
              </w:rPr>
              <w:t>kg/d，施工期生活垃圾产生量约为</w:t>
            </w:r>
            <w:r>
              <w:rPr>
                <w:rFonts w:hint="eastAsia"/>
                <w:sz w:val="24"/>
                <w:szCs w:val="24"/>
              </w:rPr>
              <w:t>0.45</w:t>
            </w:r>
            <w:r>
              <w:rPr>
                <w:sz w:val="24"/>
                <w:szCs w:val="24"/>
              </w:rPr>
              <w:t>t。项目产生的生活垃圾收集后交环卫部门统一处理。</w:t>
            </w:r>
          </w:p>
          <w:p>
            <w:pPr>
              <w:spacing w:line="540" w:lineRule="exact"/>
              <w:ind w:firstLine="480" w:firstLineChars="200"/>
            </w:pPr>
            <w:r>
              <w:rPr>
                <w:sz w:val="24"/>
              </w:rPr>
              <w:t>总之，施工期各要素对环境的影响是暂时的、局部的，采取有效的控制措施，可将影响降至最低，施工结束后，施工期造成的生态影响也可得到一定程度的恢复。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13" w:hRule="atLeast"/>
          <w:jc w:val="center"/>
        </w:trPr>
        <w:tc>
          <w:tcPr>
            <w:tcW w:w="9286" w:type="dxa"/>
            <w:vAlign w:val="top"/>
          </w:tcPr>
          <w:p>
            <w:pPr>
              <w:spacing w:line="520" w:lineRule="exact"/>
              <w:rPr>
                <w:b/>
                <w:bCs/>
                <w:sz w:val="24"/>
                <w:highlight w:val="none"/>
              </w:rPr>
            </w:pPr>
            <w:r>
              <w:rPr>
                <w:rFonts w:hint="eastAsia"/>
                <w:b/>
                <w:bCs/>
                <w:sz w:val="24"/>
                <w:highlight w:val="none"/>
              </w:rPr>
              <w:t>运营期</w:t>
            </w:r>
            <w:r>
              <w:rPr>
                <w:b/>
                <w:bCs/>
                <w:sz w:val="24"/>
                <w:highlight w:val="none"/>
              </w:rPr>
              <w:t>环境影响分析：</w:t>
            </w:r>
          </w:p>
          <w:p>
            <w:pPr>
              <w:spacing w:line="520" w:lineRule="exact"/>
              <w:ind w:firstLine="482" w:firstLineChars="200"/>
              <w:rPr>
                <w:b/>
                <w:sz w:val="24"/>
                <w:highlight w:val="none"/>
              </w:rPr>
            </w:pPr>
            <w:r>
              <w:rPr>
                <w:b/>
                <w:sz w:val="24"/>
                <w:highlight w:val="none"/>
              </w:rPr>
              <w:t>1、大气环境影响分析</w:t>
            </w:r>
          </w:p>
          <w:p>
            <w:pPr>
              <w:spacing w:line="540" w:lineRule="exact"/>
              <w:ind w:firstLine="480" w:firstLineChars="200"/>
              <w:rPr>
                <w:rFonts w:hint="eastAsia"/>
                <w:sz w:val="24"/>
                <w:highlight w:val="none"/>
              </w:rPr>
            </w:pPr>
            <w:r>
              <w:rPr>
                <w:rFonts w:hint="eastAsia"/>
                <w:sz w:val="24"/>
                <w:highlight w:val="none"/>
              </w:rPr>
              <w:t>项目运营期产生的大气污染物主要是油炸工序中产生的油烟废气及备料、拌面工段产生的粉尘，油炸燃料废气以及油炸异味。</w:t>
            </w:r>
          </w:p>
          <w:p>
            <w:pPr>
              <w:spacing w:line="520" w:lineRule="exact"/>
              <w:ind w:firstLine="482" w:firstLineChars="200"/>
              <w:rPr>
                <w:rFonts w:hint="eastAsia"/>
                <w:b/>
                <w:bCs/>
                <w:sz w:val="24"/>
                <w:highlight w:val="none"/>
              </w:rPr>
            </w:pPr>
            <w:r>
              <w:rPr>
                <w:rFonts w:hint="eastAsia"/>
                <w:b/>
                <w:bCs/>
                <w:sz w:val="24"/>
                <w:highlight w:val="none"/>
              </w:rPr>
              <w:t>1.1.1拌面粉尘</w:t>
            </w:r>
          </w:p>
          <w:p>
            <w:pPr>
              <w:spacing w:line="500" w:lineRule="exact"/>
              <w:ind w:firstLine="480" w:firstLineChars="200"/>
              <w:rPr>
                <w:rFonts w:hint="eastAsia"/>
                <w:sz w:val="24"/>
                <w:highlight w:val="none"/>
              </w:rPr>
            </w:pPr>
            <w:r>
              <w:rPr>
                <w:rFonts w:hint="eastAsia"/>
                <w:sz w:val="24"/>
                <w:highlight w:val="none"/>
              </w:rPr>
              <w:t>本项目面粉、玉米淀粉等原料投料工序的过程中产生粉尘（颗粒物），产生量为原料用量0.2%，原料（面粉、玉米淀粉）用量为2300t/a，本项目拌面间粉尘（颗粒物）产生量为4.6t/a，拌面间年工作时间为600h。拌面间为负压车间，设置一处进风口，拌面设备上方设置集气罩收集废气进入管道，车间内同时设置引风机强力排风，废气一同进入排气管道。颗粒物经收集后经布袋除尘器（除尘效率&gt;99%，风机风量10000m</w:t>
            </w:r>
            <w:r>
              <w:rPr>
                <w:rFonts w:hint="eastAsia"/>
                <w:sz w:val="24"/>
                <w:highlight w:val="none"/>
                <w:vertAlign w:val="superscript"/>
              </w:rPr>
              <w:t>3</w:t>
            </w:r>
            <w:r>
              <w:rPr>
                <w:rFonts w:hint="eastAsia"/>
                <w:sz w:val="24"/>
                <w:highlight w:val="none"/>
              </w:rPr>
              <w:t>/h）处理后沿1根15m高排气筒（P1）排放。本项目拌面间废气产排情况如下所示：</w:t>
            </w:r>
          </w:p>
          <w:p>
            <w:pPr>
              <w:pStyle w:val="17"/>
              <w:ind w:firstLine="2108" w:firstLineChars="1000"/>
              <w:rPr>
                <w:b/>
                <w:bCs/>
                <w:sz w:val="21"/>
                <w:szCs w:val="21"/>
                <w:highlight w:val="none"/>
              </w:rPr>
            </w:pPr>
            <w:r>
              <w:rPr>
                <w:b/>
                <w:bCs/>
                <w:sz w:val="21"/>
                <w:szCs w:val="21"/>
                <w:highlight w:val="none"/>
              </w:rPr>
              <w:t xml:space="preserve">表33 </w:t>
            </w:r>
            <w:r>
              <w:rPr>
                <w:rFonts w:hint="eastAsia"/>
                <w:b/>
                <w:bCs/>
                <w:sz w:val="21"/>
                <w:szCs w:val="21"/>
                <w:highlight w:val="none"/>
              </w:rPr>
              <w:t xml:space="preserve">   </w:t>
            </w:r>
            <w:r>
              <w:rPr>
                <w:b/>
                <w:bCs/>
                <w:sz w:val="21"/>
                <w:szCs w:val="21"/>
                <w:highlight w:val="none"/>
              </w:rPr>
              <w:t xml:space="preserve">   拌面间粉尘污染物产排情况</w:t>
            </w:r>
          </w:p>
          <w:tbl>
            <w:tblPr>
              <w:tblStyle w:val="2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5"/>
              <w:gridCol w:w="2283"/>
              <w:gridCol w:w="2312"/>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946" w:type="dxa"/>
                  <w:vMerge w:val="restart"/>
                  <w:vAlign w:val="top"/>
                </w:tcPr>
                <w:p>
                  <w:pPr>
                    <w:pStyle w:val="17"/>
                    <w:ind w:left="0" w:leftChars="0" w:firstLine="210" w:firstLineChars="100"/>
                    <w:rPr>
                      <w:sz w:val="21"/>
                      <w:szCs w:val="21"/>
                      <w:highlight w:val="none"/>
                    </w:rPr>
                  </w:pPr>
                </w:p>
                <w:p>
                  <w:pPr>
                    <w:pStyle w:val="17"/>
                    <w:ind w:left="0" w:leftChars="0" w:firstLine="210" w:firstLineChars="100"/>
                    <w:rPr>
                      <w:sz w:val="21"/>
                      <w:szCs w:val="21"/>
                      <w:highlight w:val="none"/>
                    </w:rPr>
                  </w:pPr>
                </w:p>
                <w:p>
                  <w:pPr>
                    <w:pStyle w:val="17"/>
                    <w:ind w:left="0" w:leftChars="0" w:firstLine="0"/>
                    <w:rPr>
                      <w:sz w:val="21"/>
                      <w:szCs w:val="21"/>
                      <w:highlight w:val="none"/>
                    </w:rPr>
                  </w:pPr>
                  <w:r>
                    <w:rPr>
                      <w:rFonts w:hint="eastAsia"/>
                      <w:sz w:val="21"/>
                      <w:szCs w:val="21"/>
                      <w:highlight w:val="none"/>
                    </w:rPr>
                    <w:t>污染物</w:t>
                  </w:r>
                </w:p>
              </w:tc>
              <w:tc>
                <w:tcPr>
                  <w:tcW w:w="1305" w:type="dxa"/>
                  <w:vMerge w:val="restart"/>
                  <w:vAlign w:val="top"/>
                </w:tcPr>
                <w:p>
                  <w:pPr>
                    <w:pStyle w:val="17"/>
                    <w:ind w:left="0" w:leftChars="0" w:firstLine="0"/>
                    <w:jc w:val="center"/>
                    <w:rPr>
                      <w:sz w:val="21"/>
                      <w:szCs w:val="21"/>
                      <w:highlight w:val="none"/>
                    </w:rPr>
                  </w:pPr>
                </w:p>
                <w:p>
                  <w:pPr>
                    <w:pStyle w:val="17"/>
                    <w:ind w:left="0" w:leftChars="0" w:firstLine="0"/>
                    <w:jc w:val="center"/>
                    <w:rPr>
                      <w:sz w:val="21"/>
                      <w:szCs w:val="21"/>
                      <w:highlight w:val="none"/>
                    </w:rPr>
                  </w:pPr>
                </w:p>
                <w:p>
                  <w:pPr>
                    <w:pStyle w:val="17"/>
                    <w:ind w:left="0" w:leftChars="0" w:firstLine="210" w:firstLineChars="100"/>
                    <w:jc w:val="center"/>
                    <w:rPr>
                      <w:sz w:val="21"/>
                      <w:szCs w:val="21"/>
                      <w:highlight w:val="none"/>
                    </w:rPr>
                  </w:pPr>
                  <w:r>
                    <w:rPr>
                      <w:sz w:val="21"/>
                      <w:szCs w:val="21"/>
                      <w:highlight w:val="none"/>
                    </w:rPr>
                    <w:t>颗粒物</w:t>
                  </w:r>
                </w:p>
              </w:tc>
              <w:tc>
                <w:tcPr>
                  <w:tcW w:w="2283" w:type="dxa"/>
                  <w:vMerge w:val="restart"/>
                  <w:vAlign w:val="top"/>
                </w:tcPr>
                <w:p>
                  <w:pPr>
                    <w:pStyle w:val="17"/>
                    <w:ind w:left="0" w:leftChars="0" w:firstLine="0"/>
                    <w:jc w:val="center"/>
                    <w:rPr>
                      <w:sz w:val="21"/>
                      <w:szCs w:val="21"/>
                      <w:highlight w:val="none"/>
                    </w:rPr>
                  </w:pPr>
                  <w:r>
                    <w:rPr>
                      <w:sz w:val="21"/>
                      <w:szCs w:val="21"/>
                      <w:highlight w:val="none"/>
                    </w:rPr>
                    <w:t>产生情况</w:t>
                  </w:r>
                </w:p>
              </w:tc>
              <w:tc>
                <w:tcPr>
                  <w:tcW w:w="2312" w:type="dxa"/>
                  <w:vAlign w:val="top"/>
                </w:tcPr>
                <w:p>
                  <w:pPr>
                    <w:pStyle w:val="17"/>
                    <w:ind w:left="0" w:leftChars="0" w:firstLine="0"/>
                    <w:jc w:val="center"/>
                    <w:rPr>
                      <w:sz w:val="21"/>
                      <w:szCs w:val="21"/>
                      <w:highlight w:val="none"/>
                    </w:rPr>
                  </w:pPr>
                  <w:r>
                    <w:rPr>
                      <w:sz w:val="21"/>
                      <w:szCs w:val="21"/>
                      <w:highlight w:val="none"/>
                    </w:rPr>
                    <w:t>产生浓度（mg/m</w:t>
                  </w:r>
                  <w:r>
                    <w:rPr>
                      <w:sz w:val="21"/>
                      <w:szCs w:val="21"/>
                      <w:highlight w:val="none"/>
                      <w:vertAlign w:val="superscript"/>
                    </w:rPr>
                    <w:t>3</w:t>
                  </w:r>
                  <w:r>
                    <w:rPr>
                      <w:sz w:val="21"/>
                      <w:szCs w:val="21"/>
                      <w:highlight w:val="none"/>
                    </w:rPr>
                    <w:t>）</w:t>
                  </w:r>
                </w:p>
              </w:tc>
              <w:tc>
                <w:tcPr>
                  <w:tcW w:w="2214" w:type="dxa"/>
                  <w:vAlign w:val="top"/>
                </w:tcPr>
                <w:p>
                  <w:pPr>
                    <w:pStyle w:val="17"/>
                    <w:rPr>
                      <w:sz w:val="21"/>
                      <w:szCs w:val="21"/>
                      <w:highlight w:val="none"/>
                    </w:rPr>
                  </w:pPr>
                  <w:r>
                    <w:rPr>
                      <w:sz w:val="21"/>
                      <w:szCs w:val="21"/>
                      <w:highlight w:val="none"/>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trPr>
              <w:tc>
                <w:tcPr>
                  <w:tcW w:w="946" w:type="dxa"/>
                  <w:vMerge w:val="continue"/>
                  <w:vAlign w:val="top"/>
                </w:tcPr>
                <w:p>
                  <w:pPr>
                    <w:pStyle w:val="17"/>
                    <w:ind w:left="0" w:leftChars="0" w:firstLine="210" w:firstLineChars="100"/>
                    <w:rPr>
                      <w:sz w:val="21"/>
                      <w:szCs w:val="21"/>
                      <w:highlight w:val="none"/>
                    </w:rPr>
                  </w:pPr>
                </w:p>
              </w:tc>
              <w:tc>
                <w:tcPr>
                  <w:tcW w:w="1305" w:type="dxa"/>
                  <w:vMerge w:val="continue"/>
                  <w:vAlign w:val="top"/>
                </w:tcPr>
                <w:p>
                  <w:pPr>
                    <w:pStyle w:val="17"/>
                    <w:ind w:left="0" w:leftChars="0" w:firstLine="210" w:firstLineChars="100"/>
                    <w:jc w:val="center"/>
                    <w:rPr>
                      <w:sz w:val="21"/>
                      <w:szCs w:val="21"/>
                      <w:highlight w:val="none"/>
                    </w:rPr>
                  </w:pPr>
                </w:p>
              </w:tc>
              <w:tc>
                <w:tcPr>
                  <w:tcW w:w="2283" w:type="dxa"/>
                  <w:vMerge w:val="continue"/>
                  <w:vAlign w:val="top"/>
                </w:tcPr>
                <w:p>
                  <w:pPr>
                    <w:pStyle w:val="17"/>
                    <w:jc w:val="center"/>
                    <w:rPr>
                      <w:sz w:val="21"/>
                      <w:szCs w:val="21"/>
                      <w:highlight w:val="none"/>
                    </w:rPr>
                  </w:pPr>
                </w:p>
              </w:tc>
              <w:tc>
                <w:tcPr>
                  <w:tcW w:w="2312" w:type="dxa"/>
                  <w:vAlign w:val="top"/>
                </w:tcPr>
                <w:p>
                  <w:pPr>
                    <w:pStyle w:val="17"/>
                    <w:ind w:left="0" w:leftChars="0" w:firstLine="0"/>
                    <w:jc w:val="center"/>
                    <w:rPr>
                      <w:sz w:val="21"/>
                      <w:szCs w:val="21"/>
                      <w:highlight w:val="none"/>
                    </w:rPr>
                  </w:pPr>
                  <w:r>
                    <w:rPr>
                      <w:sz w:val="21"/>
                      <w:szCs w:val="21"/>
                      <w:highlight w:val="none"/>
                    </w:rPr>
                    <w:t>产生量（t/a）</w:t>
                  </w:r>
                </w:p>
              </w:tc>
              <w:tc>
                <w:tcPr>
                  <w:tcW w:w="2214" w:type="dxa"/>
                  <w:vAlign w:val="top"/>
                </w:tcPr>
                <w:p>
                  <w:pPr>
                    <w:pStyle w:val="17"/>
                    <w:rPr>
                      <w:sz w:val="21"/>
                      <w:szCs w:val="21"/>
                      <w:highlight w:val="none"/>
                    </w:rPr>
                  </w:pPr>
                  <w:r>
                    <w:rPr>
                      <w:sz w:val="21"/>
                      <w:szCs w:val="21"/>
                      <w:highlight w:val="none"/>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946" w:type="dxa"/>
                  <w:vMerge w:val="continue"/>
                  <w:vAlign w:val="top"/>
                </w:tcPr>
                <w:p>
                  <w:pPr>
                    <w:pStyle w:val="17"/>
                    <w:ind w:left="0" w:leftChars="0" w:firstLine="0"/>
                    <w:jc w:val="center"/>
                    <w:rPr>
                      <w:sz w:val="21"/>
                      <w:szCs w:val="21"/>
                      <w:highlight w:val="none"/>
                    </w:rPr>
                  </w:pPr>
                </w:p>
              </w:tc>
              <w:tc>
                <w:tcPr>
                  <w:tcW w:w="1305" w:type="dxa"/>
                  <w:vMerge w:val="continue"/>
                  <w:vAlign w:val="top"/>
                </w:tcPr>
                <w:p>
                  <w:pPr>
                    <w:pStyle w:val="17"/>
                    <w:ind w:left="0" w:leftChars="0" w:firstLine="0"/>
                    <w:jc w:val="center"/>
                    <w:rPr>
                      <w:sz w:val="21"/>
                      <w:szCs w:val="21"/>
                      <w:highlight w:val="none"/>
                    </w:rPr>
                  </w:pPr>
                </w:p>
              </w:tc>
              <w:tc>
                <w:tcPr>
                  <w:tcW w:w="2283" w:type="dxa"/>
                  <w:vMerge w:val="restart"/>
                  <w:vAlign w:val="top"/>
                </w:tcPr>
                <w:p>
                  <w:pPr>
                    <w:pStyle w:val="17"/>
                    <w:ind w:left="0" w:leftChars="0" w:firstLine="0"/>
                    <w:jc w:val="center"/>
                    <w:rPr>
                      <w:sz w:val="21"/>
                      <w:szCs w:val="21"/>
                      <w:highlight w:val="none"/>
                    </w:rPr>
                  </w:pPr>
                  <w:r>
                    <w:rPr>
                      <w:sz w:val="21"/>
                      <w:szCs w:val="21"/>
                      <w:highlight w:val="none"/>
                    </w:rPr>
                    <w:t>排放情况</w:t>
                  </w:r>
                </w:p>
              </w:tc>
              <w:tc>
                <w:tcPr>
                  <w:tcW w:w="2312" w:type="dxa"/>
                  <w:vAlign w:val="top"/>
                </w:tcPr>
                <w:p>
                  <w:pPr>
                    <w:pStyle w:val="17"/>
                    <w:ind w:left="0" w:leftChars="0" w:firstLine="0"/>
                    <w:jc w:val="center"/>
                    <w:rPr>
                      <w:sz w:val="21"/>
                      <w:szCs w:val="21"/>
                      <w:highlight w:val="none"/>
                    </w:rPr>
                  </w:pPr>
                  <w:r>
                    <w:rPr>
                      <w:sz w:val="21"/>
                      <w:szCs w:val="21"/>
                      <w:highlight w:val="none"/>
                    </w:rPr>
                    <w:t>排放浓度（mg/m</w:t>
                  </w:r>
                  <w:r>
                    <w:rPr>
                      <w:sz w:val="21"/>
                      <w:szCs w:val="21"/>
                      <w:highlight w:val="none"/>
                      <w:vertAlign w:val="superscript"/>
                    </w:rPr>
                    <w:t>3</w:t>
                  </w:r>
                  <w:r>
                    <w:rPr>
                      <w:sz w:val="21"/>
                      <w:szCs w:val="21"/>
                      <w:highlight w:val="none"/>
                    </w:rPr>
                    <w:t>）</w:t>
                  </w:r>
                </w:p>
              </w:tc>
              <w:tc>
                <w:tcPr>
                  <w:tcW w:w="2214" w:type="dxa"/>
                  <w:vAlign w:val="top"/>
                </w:tcPr>
                <w:p>
                  <w:pPr>
                    <w:pStyle w:val="17"/>
                    <w:rPr>
                      <w:sz w:val="21"/>
                      <w:szCs w:val="21"/>
                      <w:highlight w:val="none"/>
                    </w:rPr>
                  </w:pPr>
                  <w:r>
                    <w:rPr>
                      <w:sz w:val="21"/>
                      <w:szCs w:val="21"/>
                      <w:highlight w:val="none"/>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946" w:type="dxa"/>
                  <w:vMerge w:val="continue"/>
                  <w:vAlign w:val="top"/>
                </w:tcPr>
                <w:p>
                  <w:pPr>
                    <w:pStyle w:val="17"/>
                    <w:jc w:val="center"/>
                    <w:rPr>
                      <w:sz w:val="21"/>
                      <w:szCs w:val="21"/>
                      <w:highlight w:val="none"/>
                    </w:rPr>
                  </w:pPr>
                </w:p>
              </w:tc>
              <w:tc>
                <w:tcPr>
                  <w:tcW w:w="1305" w:type="dxa"/>
                  <w:vMerge w:val="continue"/>
                  <w:vAlign w:val="top"/>
                </w:tcPr>
                <w:p>
                  <w:pPr>
                    <w:pStyle w:val="17"/>
                    <w:jc w:val="center"/>
                    <w:rPr>
                      <w:sz w:val="21"/>
                      <w:szCs w:val="21"/>
                      <w:highlight w:val="none"/>
                    </w:rPr>
                  </w:pPr>
                </w:p>
              </w:tc>
              <w:tc>
                <w:tcPr>
                  <w:tcW w:w="2283" w:type="dxa"/>
                  <w:vMerge w:val="continue"/>
                  <w:vAlign w:val="top"/>
                </w:tcPr>
                <w:p>
                  <w:pPr>
                    <w:pStyle w:val="17"/>
                    <w:jc w:val="center"/>
                    <w:rPr>
                      <w:sz w:val="21"/>
                      <w:szCs w:val="21"/>
                      <w:highlight w:val="none"/>
                    </w:rPr>
                  </w:pPr>
                </w:p>
              </w:tc>
              <w:tc>
                <w:tcPr>
                  <w:tcW w:w="2312" w:type="dxa"/>
                  <w:vAlign w:val="top"/>
                </w:tcPr>
                <w:p>
                  <w:pPr>
                    <w:pStyle w:val="17"/>
                    <w:ind w:left="0" w:leftChars="0" w:firstLine="0"/>
                    <w:jc w:val="center"/>
                    <w:rPr>
                      <w:sz w:val="21"/>
                      <w:szCs w:val="21"/>
                      <w:highlight w:val="none"/>
                    </w:rPr>
                  </w:pPr>
                  <w:r>
                    <w:rPr>
                      <w:sz w:val="21"/>
                      <w:szCs w:val="21"/>
                      <w:highlight w:val="none"/>
                    </w:rPr>
                    <w:t>排放速率（kg/h）</w:t>
                  </w:r>
                </w:p>
              </w:tc>
              <w:tc>
                <w:tcPr>
                  <w:tcW w:w="2214" w:type="dxa"/>
                  <w:vAlign w:val="top"/>
                </w:tcPr>
                <w:p>
                  <w:pPr>
                    <w:pStyle w:val="17"/>
                    <w:rPr>
                      <w:sz w:val="21"/>
                      <w:szCs w:val="21"/>
                      <w:highlight w:val="none"/>
                    </w:rPr>
                  </w:pPr>
                  <w:r>
                    <w:rPr>
                      <w:sz w:val="21"/>
                      <w:szCs w:val="21"/>
                      <w:highlight w:val="none"/>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946" w:type="dxa"/>
                  <w:vMerge w:val="continue"/>
                  <w:vAlign w:val="top"/>
                </w:tcPr>
                <w:p>
                  <w:pPr>
                    <w:pStyle w:val="17"/>
                    <w:jc w:val="center"/>
                    <w:rPr>
                      <w:sz w:val="21"/>
                      <w:szCs w:val="21"/>
                      <w:highlight w:val="none"/>
                    </w:rPr>
                  </w:pPr>
                </w:p>
              </w:tc>
              <w:tc>
                <w:tcPr>
                  <w:tcW w:w="1305" w:type="dxa"/>
                  <w:vMerge w:val="continue"/>
                  <w:vAlign w:val="top"/>
                </w:tcPr>
                <w:p>
                  <w:pPr>
                    <w:pStyle w:val="17"/>
                    <w:jc w:val="center"/>
                    <w:rPr>
                      <w:sz w:val="21"/>
                      <w:szCs w:val="21"/>
                      <w:highlight w:val="none"/>
                    </w:rPr>
                  </w:pPr>
                </w:p>
              </w:tc>
              <w:tc>
                <w:tcPr>
                  <w:tcW w:w="2283" w:type="dxa"/>
                  <w:vMerge w:val="continue"/>
                  <w:vAlign w:val="top"/>
                </w:tcPr>
                <w:p>
                  <w:pPr>
                    <w:pStyle w:val="17"/>
                    <w:jc w:val="center"/>
                    <w:rPr>
                      <w:sz w:val="21"/>
                      <w:szCs w:val="21"/>
                      <w:highlight w:val="none"/>
                    </w:rPr>
                  </w:pPr>
                </w:p>
              </w:tc>
              <w:tc>
                <w:tcPr>
                  <w:tcW w:w="2312" w:type="dxa"/>
                  <w:vAlign w:val="top"/>
                </w:tcPr>
                <w:p>
                  <w:pPr>
                    <w:pStyle w:val="17"/>
                    <w:ind w:left="0" w:leftChars="0" w:firstLine="0"/>
                    <w:jc w:val="center"/>
                    <w:rPr>
                      <w:sz w:val="21"/>
                      <w:szCs w:val="21"/>
                      <w:highlight w:val="none"/>
                    </w:rPr>
                  </w:pPr>
                  <w:r>
                    <w:rPr>
                      <w:sz w:val="21"/>
                      <w:szCs w:val="21"/>
                      <w:highlight w:val="none"/>
                    </w:rPr>
                    <w:t>排放量（t/a）</w:t>
                  </w:r>
                </w:p>
              </w:tc>
              <w:tc>
                <w:tcPr>
                  <w:tcW w:w="2214" w:type="dxa"/>
                  <w:vAlign w:val="top"/>
                </w:tcPr>
                <w:p>
                  <w:pPr>
                    <w:pStyle w:val="17"/>
                    <w:rPr>
                      <w:sz w:val="21"/>
                      <w:szCs w:val="21"/>
                      <w:highlight w:val="none"/>
                    </w:rPr>
                  </w:pPr>
                  <w:r>
                    <w:rPr>
                      <w:sz w:val="21"/>
                      <w:szCs w:val="21"/>
                      <w:highlight w:val="none"/>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946" w:type="dxa"/>
                  <w:vMerge w:val="continue"/>
                  <w:vAlign w:val="top"/>
                </w:tcPr>
                <w:p>
                  <w:pPr>
                    <w:pStyle w:val="17"/>
                    <w:jc w:val="center"/>
                    <w:rPr>
                      <w:sz w:val="21"/>
                      <w:szCs w:val="21"/>
                      <w:highlight w:val="none"/>
                    </w:rPr>
                  </w:pPr>
                </w:p>
              </w:tc>
              <w:tc>
                <w:tcPr>
                  <w:tcW w:w="1305" w:type="dxa"/>
                  <w:vMerge w:val="continue"/>
                  <w:vAlign w:val="top"/>
                </w:tcPr>
                <w:p>
                  <w:pPr>
                    <w:pStyle w:val="17"/>
                    <w:jc w:val="center"/>
                    <w:rPr>
                      <w:sz w:val="21"/>
                      <w:szCs w:val="21"/>
                      <w:highlight w:val="none"/>
                    </w:rPr>
                  </w:pPr>
                </w:p>
              </w:tc>
              <w:tc>
                <w:tcPr>
                  <w:tcW w:w="2283" w:type="dxa"/>
                  <w:vMerge w:val="restart"/>
                  <w:vAlign w:val="top"/>
                </w:tcPr>
                <w:p>
                  <w:pPr>
                    <w:pStyle w:val="17"/>
                    <w:ind w:left="0" w:leftChars="0" w:firstLine="0"/>
                    <w:jc w:val="center"/>
                    <w:rPr>
                      <w:sz w:val="21"/>
                      <w:szCs w:val="21"/>
                      <w:highlight w:val="none"/>
                    </w:rPr>
                  </w:pPr>
                  <w:r>
                    <w:rPr>
                      <w:sz w:val="21"/>
                      <w:szCs w:val="21"/>
                      <w:highlight w:val="none"/>
                    </w:rPr>
                    <w:t>标准限值</w:t>
                  </w:r>
                </w:p>
              </w:tc>
              <w:tc>
                <w:tcPr>
                  <w:tcW w:w="2312" w:type="dxa"/>
                  <w:vAlign w:val="top"/>
                </w:tcPr>
                <w:p>
                  <w:pPr>
                    <w:pStyle w:val="17"/>
                    <w:ind w:left="0" w:leftChars="0" w:firstLine="0"/>
                    <w:jc w:val="center"/>
                    <w:rPr>
                      <w:sz w:val="21"/>
                      <w:szCs w:val="21"/>
                      <w:highlight w:val="none"/>
                    </w:rPr>
                  </w:pPr>
                  <w:r>
                    <w:rPr>
                      <w:sz w:val="21"/>
                      <w:szCs w:val="21"/>
                      <w:highlight w:val="none"/>
                    </w:rPr>
                    <w:t>排放浓度（mg/m</w:t>
                  </w:r>
                  <w:r>
                    <w:rPr>
                      <w:sz w:val="21"/>
                      <w:szCs w:val="21"/>
                      <w:highlight w:val="none"/>
                      <w:vertAlign w:val="superscript"/>
                    </w:rPr>
                    <w:t>3</w:t>
                  </w:r>
                  <w:r>
                    <w:rPr>
                      <w:sz w:val="21"/>
                      <w:szCs w:val="21"/>
                      <w:highlight w:val="none"/>
                    </w:rPr>
                    <w:t>）</w:t>
                  </w:r>
                </w:p>
              </w:tc>
              <w:tc>
                <w:tcPr>
                  <w:tcW w:w="2214" w:type="dxa"/>
                  <w:vAlign w:val="top"/>
                </w:tcPr>
                <w:p>
                  <w:pPr>
                    <w:pStyle w:val="17"/>
                    <w:rPr>
                      <w:sz w:val="21"/>
                      <w:szCs w:val="21"/>
                      <w:highlight w:val="none"/>
                    </w:rPr>
                  </w:pPr>
                  <w:r>
                    <w:rPr>
                      <w:sz w:val="21"/>
                      <w:szCs w:val="21"/>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946" w:type="dxa"/>
                  <w:vMerge w:val="continue"/>
                  <w:vAlign w:val="top"/>
                </w:tcPr>
                <w:p>
                  <w:pPr>
                    <w:pStyle w:val="17"/>
                    <w:jc w:val="center"/>
                    <w:rPr>
                      <w:sz w:val="21"/>
                      <w:szCs w:val="21"/>
                      <w:highlight w:val="none"/>
                    </w:rPr>
                  </w:pPr>
                </w:p>
              </w:tc>
              <w:tc>
                <w:tcPr>
                  <w:tcW w:w="1305" w:type="dxa"/>
                  <w:vMerge w:val="continue"/>
                  <w:vAlign w:val="top"/>
                </w:tcPr>
                <w:p>
                  <w:pPr>
                    <w:pStyle w:val="17"/>
                    <w:jc w:val="center"/>
                    <w:rPr>
                      <w:sz w:val="21"/>
                      <w:szCs w:val="21"/>
                      <w:highlight w:val="none"/>
                    </w:rPr>
                  </w:pPr>
                </w:p>
              </w:tc>
              <w:tc>
                <w:tcPr>
                  <w:tcW w:w="2283" w:type="dxa"/>
                  <w:vMerge w:val="continue"/>
                  <w:vAlign w:val="top"/>
                </w:tcPr>
                <w:p>
                  <w:pPr>
                    <w:pStyle w:val="17"/>
                    <w:jc w:val="center"/>
                    <w:rPr>
                      <w:sz w:val="21"/>
                      <w:szCs w:val="21"/>
                      <w:highlight w:val="none"/>
                    </w:rPr>
                  </w:pPr>
                </w:p>
              </w:tc>
              <w:tc>
                <w:tcPr>
                  <w:tcW w:w="2312" w:type="dxa"/>
                  <w:vAlign w:val="top"/>
                </w:tcPr>
                <w:p>
                  <w:pPr>
                    <w:pStyle w:val="17"/>
                    <w:ind w:left="0" w:leftChars="0" w:firstLine="0"/>
                    <w:jc w:val="center"/>
                    <w:rPr>
                      <w:sz w:val="21"/>
                      <w:szCs w:val="21"/>
                      <w:highlight w:val="none"/>
                    </w:rPr>
                  </w:pPr>
                  <w:r>
                    <w:rPr>
                      <w:sz w:val="21"/>
                      <w:szCs w:val="21"/>
                      <w:highlight w:val="none"/>
                    </w:rPr>
                    <w:t>排放速率（kg/h）</w:t>
                  </w:r>
                </w:p>
              </w:tc>
              <w:tc>
                <w:tcPr>
                  <w:tcW w:w="2214" w:type="dxa"/>
                  <w:vAlign w:val="top"/>
                </w:tcPr>
                <w:p>
                  <w:pPr>
                    <w:pStyle w:val="17"/>
                    <w:rPr>
                      <w:sz w:val="21"/>
                      <w:szCs w:val="21"/>
                      <w:highlight w:val="none"/>
                    </w:rPr>
                  </w:pPr>
                  <w:r>
                    <w:rPr>
                      <w:sz w:val="21"/>
                      <w:szCs w:val="21"/>
                      <w:highlight w:val="none"/>
                    </w:rPr>
                    <w:t>3.5</w:t>
                  </w:r>
                </w:p>
              </w:tc>
            </w:tr>
          </w:tbl>
          <w:p>
            <w:pPr>
              <w:pStyle w:val="17"/>
              <w:spacing w:line="520" w:lineRule="exact"/>
              <w:ind w:left="0" w:leftChars="0" w:firstLine="480" w:firstLineChars="200"/>
              <w:rPr>
                <w:rFonts w:hint="eastAsia"/>
                <w:highlight w:val="none"/>
              </w:rPr>
            </w:pPr>
            <w:r>
              <w:rPr>
                <w:rFonts w:hint="eastAsia"/>
                <w:highlight w:val="none"/>
              </w:rPr>
              <w:t>由上表可知，本项目拌面间颗粒物经处理后沿1根15m高排气筒排放，有组织排放浓度、排放速率能满足《大气污染物综合排放标准》（GB16297-1996）中表2颗粒物的相关标准限值，实现达标排放。</w:t>
            </w:r>
          </w:p>
          <w:p>
            <w:pPr>
              <w:spacing w:line="500" w:lineRule="exact"/>
              <w:ind w:firstLine="482" w:firstLineChars="200"/>
              <w:rPr>
                <w:rFonts w:hint="eastAsia"/>
                <w:b/>
                <w:bCs/>
                <w:sz w:val="24"/>
                <w:highlight w:val="none"/>
              </w:rPr>
            </w:pPr>
            <w:r>
              <w:rPr>
                <w:rFonts w:hint="eastAsia"/>
                <w:b/>
                <w:bCs/>
                <w:sz w:val="24"/>
                <w:highlight w:val="none"/>
              </w:rPr>
              <w:t>1.1.2油炸工段油烟及异味</w:t>
            </w:r>
          </w:p>
          <w:p>
            <w:pPr>
              <w:autoSpaceDE w:val="0"/>
              <w:spacing w:line="520" w:lineRule="exact"/>
              <w:ind w:firstLine="480" w:firstLineChars="200"/>
              <w:rPr>
                <w:rFonts w:hint="eastAsia"/>
                <w:b/>
                <w:bCs/>
                <w:sz w:val="24"/>
                <w:highlight w:val="none"/>
              </w:rPr>
            </w:pPr>
            <w:r>
              <w:rPr>
                <w:rFonts w:hint="eastAsia"/>
                <w:sz w:val="24"/>
                <w:highlight w:val="none"/>
              </w:rPr>
              <w:t>本项目油炸工段使用植物油200t/a，油炸过程会产生一定油烟，产生量为1t/a（0.42kg/h）。项目排气罩面总投影面积预计5m</w:t>
            </w:r>
            <w:r>
              <w:rPr>
                <w:rFonts w:hint="eastAsia"/>
                <w:sz w:val="24"/>
                <w:highlight w:val="none"/>
                <w:vertAlign w:val="superscript"/>
              </w:rPr>
              <w:t>2</w:t>
            </w:r>
            <w:r>
              <w:rPr>
                <w:rFonts w:hint="eastAsia"/>
                <w:sz w:val="24"/>
                <w:highlight w:val="none"/>
              </w:rPr>
              <w:t>，按中型规模要求进行油烟排放标准选择。评价要求：在油炸锅上方设置集气罩，经集气罩收集后的油烟废气用一套静电油烟净化装置（油烟去除率95%）进行处理，引风机风量为20000m</w:t>
            </w:r>
            <w:r>
              <w:rPr>
                <w:rFonts w:hint="eastAsia"/>
                <w:sz w:val="24"/>
                <w:highlight w:val="none"/>
                <w:vertAlign w:val="superscript"/>
              </w:rPr>
              <w:t>3</w:t>
            </w:r>
            <w:r>
              <w:rPr>
                <w:rFonts w:hint="eastAsia"/>
                <w:sz w:val="24"/>
                <w:highlight w:val="none"/>
              </w:rPr>
              <w:t>/h，本项目两个油炸锅的油炸废气分别经油炸锅正上方集气罩收集，通过1个静电式油烟净化器处理后经15m高排气筒（P2），满足烟道出口段长度应有烟道直径的4.5倍的要求。处理前，油烟产生量和产生浓度为：0.42kg/h、21mg/m</w:t>
            </w:r>
            <w:r>
              <w:rPr>
                <w:rFonts w:hint="eastAsia"/>
                <w:sz w:val="24"/>
                <w:highlight w:val="none"/>
                <w:vertAlign w:val="superscript"/>
              </w:rPr>
              <w:t>3</w:t>
            </w:r>
            <w:r>
              <w:rPr>
                <w:rFonts w:hint="eastAsia"/>
                <w:sz w:val="24"/>
                <w:highlight w:val="none"/>
              </w:rPr>
              <w:t>；处理后，油烟排放量和排放浓度为：0.021kg/h、1.05mg/m</w:t>
            </w:r>
            <w:r>
              <w:rPr>
                <w:rFonts w:hint="eastAsia"/>
                <w:sz w:val="24"/>
                <w:highlight w:val="none"/>
                <w:vertAlign w:val="superscript"/>
              </w:rPr>
              <w:t>3</w:t>
            </w:r>
            <w:r>
              <w:rPr>
                <w:rFonts w:hint="eastAsia"/>
                <w:sz w:val="24"/>
                <w:highlight w:val="none"/>
              </w:rPr>
              <w:t>。可见，处理后，油炸工段产生的油烟排放浓度可</w:t>
            </w:r>
            <w:r>
              <w:rPr>
                <w:rFonts w:hint="eastAsia"/>
                <w:b w:val="0"/>
                <w:bCs/>
                <w:sz w:val="24"/>
                <w:highlight w:val="none"/>
                <w:u w:val="none"/>
                <w:lang w:eastAsia="zh-CN"/>
              </w:rPr>
              <w:t>满足《餐饮业油烟污染物排放标准》（DB41/1604-2018）要求的1.5mg/m</w:t>
            </w:r>
            <w:r>
              <w:rPr>
                <w:rFonts w:hint="eastAsia"/>
                <w:b w:val="0"/>
                <w:bCs/>
                <w:sz w:val="24"/>
                <w:highlight w:val="none"/>
                <w:u w:val="none"/>
                <w:vertAlign w:val="superscript"/>
                <w:lang w:eastAsia="zh-CN"/>
              </w:rPr>
              <w:t>3</w:t>
            </w:r>
            <w:r>
              <w:rPr>
                <w:rFonts w:hint="eastAsia"/>
                <w:sz w:val="24"/>
                <w:highlight w:val="none"/>
              </w:rPr>
              <w:t>。本项目废气不含有毒有害成分，经油炸锅上方集气罩收集，通过静电式油烟净化器处理后沿1根15m高排气筒有组织排放（P2）。气味释放量较少，预计厂界臭气浓度小于20（无量纲），满足《恶臭污染物排放标准》（GB14554-93）要求，对周围环境空气影响很小。</w:t>
            </w:r>
          </w:p>
          <w:p>
            <w:pPr>
              <w:spacing w:line="520" w:lineRule="exact"/>
              <w:ind w:firstLine="720" w:firstLineChars="300"/>
              <w:rPr>
                <w:rFonts w:hint="eastAsia"/>
                <w:sz w:val="24"/>
                <w:highlight w:val="none"/>
              </w:rPr>
            </w:pPr>
            <w:r>
              <w:rPr>
                <w:rFonts w:hint="eastAsia"/>
                <w:sz w:val="24"/>
                <w:highlight w:val="none"/>
              </w:rPr>
              <w:t>综上，本项目油烟废气采取评价提出的污染防治对策与措施，可做到废气达标排放，对周围大气环境影响较小。</w:t>
            </w:r>
          </w:p>
          <w:p>
            <w:pPr>
              <w:spacing w:line="540" w:lineRule="exact"/>
              <w:ind w:firstLine="482" w:firstLineChars="200"/>
              <w:rPr>
                <w:rFonts w:hint="eastAsia"/>
                <w:b/>
                <w:bCs/>
                <w:sz w:val="24"/>
                <w:highlight w:val="none"/>
              </w:rPr>
            </w:pPr>
            <w:r>
              <w:rPr>
                <w:rFonts w:hint="eastAsia"/>
                <w:b/>
                <w:bCs/>
                <w:sz w:val="24"/>
                <w:highlight w:val="none"/>
              </w:rPr>
              <w:t>1.1.3油炸锅燃料废气</w:t>
            </w:r>
          </w:p>
          <w:p>
            <w:pPr>
              <w:spacing w:line="500" w:lineRule="exact"/>
              <w:ind w:firstLine="480" w:firstLineChars="200"/>
              <w:rPr>
                <w:rFonts w:hint="eastAsia"/>
                <w:sz w:val="24"/>
                <w:highlight w:val="none"/>
              </w:rPr>
            </w:pPr>
            <w:r>
              <w:rPr>
                <w:rFonts w:hint="eastAsia"/>
                <w:sz w:val="24"/>
                <w:highlight w:val="none"/>
              </w:rPr>
              <w:t>项目设置2台燃气油炸机，以天然气为能源，据企业提供资料，每天使用天然气量约为320m</w:t>
            </w:r>
            <w:r>
              <w:rPr>
                <w:rFonts w:hint="eastAsia"/>
                <w:sz w:val="24"/>
                <w:highlight w:val="none"/>
                <w:vertAlign w:val="superscript"/>
              </w:rPr>
              <w:t>3</w:t>
            </w:r>
            <w:r>
              <w:rPr>
                <w:rFonts w:hint="eastAsia"/>
                <w:sz w:val="24"/>
                <w:highlight w:val="none"/>
              </w:rPr>
              <w:t>（9.6万m</w:t>
            </w:r>
            <w:r>
              <w:rPr>
                <w:rFonts w:hint="eastAsia"/>
                <w:sz w:val="24"/>
                <w:highlight w:val="none"/>
                <w:vertAlign w:val="superscript"/>
              </w:rPr>
              <w:t>3</w:t>
            </w:r>
            <w:r>
              <w:rPr>
                <w:rFonts w:hint="eastAsia"/>
                <w:sz w:val="24"/>
                <w:highlight w:val="none"/>
                <w:vertAlign w:val="baseline"/>
                <w:lang w:val="en-US" w:eastAsia="zh-CN"/>
              </w:rPr>
              <w:t>/a</w:t>
            </w:r>
            <w:r>
              <w:rPr>
                <w:rFonts w:hint="eastAsia"/>
                <w:sz w:val="24"/>
                <w:highlight w:val="none"/>
              </w:rPr>
              <w:t>），经计算</w:t>
            </w:r>
            <w:r>
              <w:rPr>
                <w:rFonts w:hint="eastAsia"/>
                <w:kern w:val="0"/>
                <w:sz w:val="24"/>
                <w:highlight w:val="none"/>
              </w:rPr>
              <w:t>废气量为9.6万m</w:t>
            </w:r>
            <w:r>
              <w:rPr>
                <w:rFonts w:hint="eastAsia"/>
                <w:kern w:val="0"/>
                <w:sz w:val="24"/>
                <w:highlight w:val="none"/>
                <w:vertAlign w:val="superscript"/>
              </w:rPr>
              <w:t>3</w:t>
            </w:r>
            <w:r>
              <w:rPr>
                <w:rFonts w:hint="eastAsia"/>
                <w:kern w:val="0"/>
                <w:sz w:val="24"/>
                <w:highlight w:val="none"/>
              </w:rPr>
              <w:t>/a，895.07m</w:t>
            </w:r>
            <w:r>
              <w:rPr>
                <w:rFonts w:hint="eastAsia"/>
                <w:kern w:val="0"/>
                <w:sz w:val="24"/>
                <w:highlight w:val="none"/>
                <w:vertAlign w:val="superscript"/>
              </w:rPr>
              <w:t>3</w:t>
            </w:r>
            <w:r>
              <w:rPr>
                <w:rFonts w:hint="eastAsia"/>
                <w:kern w:val="0"/>
                <w:sz w:val="24"/>
                <w:highlight w:val="none"/>
              </w:rPr>
              <w:t>/h，颗粒物排放量为0.015t/a，排放浓度为11.2mg/m</w:t>
            </w:r>
            <w:r>
              <w:rPr>
                <w:rFonts w:hint="eastAsia"/>
                <w:kern w:val="0"/>
                <w:sz w:val="24"/>
                <w:highlight w:val="none"/>
                <w:vertAlign w:val="superscript"/>
              </w:rPr>
              <w:t>3</w:t>
            </w:r>
            <w:r>
              <w:rPr>
                <w:rFonts w:hint="eastAsia"/>
                <w:kern w:val="0"/>
                <w:sz w:val="24"/>
                <w:highlight w:val="none"/>
              </w:rPr>
              <w:t>，SO</w:t>
            </w:r>
            <w:r>
              <w:rPr>
                <w:rFonts w:hint="eastAsia"/>
                <w:kern w:val="0"/>
                <w:sz w:val="24"/>
                <w:highlight w:val="none"/>
                <w:vertAlign w:val="subscript"/>
              </w:rPr>
              <w:t>2</w:t>
            </w:r>
            <w:r>
              <w:rPr>
                <w:rFonts w:hint="eastAsia"/>
                <w:kern w:val="0"/>
                <w:sz w:val="24"/>
                <w:highlight w:val="none"/>
              </w:rPr>
              <w:t>排放量为0.0384t/a，排放浓度为28.6mg/m</w:t>
            </w:r>
            <w:r>
              <w:rPr>
                <w:rFonts w:hint="eastAsia"/>
                <w:kern w:val="0"/>
                <w:sz w:val="24"/>
                <w:highlight w:val="none"/>
                <w:vertAlign w:val="superscript"/>
              </w:rPr>
              <w:t>3</w:t>
            </w:r>
            <w:r>
              <w:rPr>
                <w:rFonts w:hint="eastAsia"/>
                <w:kern w:val="0"/>
                <w:sz w:val="24"/>
                <w:highlight w:val="none"/>
              </w:rPr>
              <w:t>，NO</w:t>
            </w:r>
            <w:r>
              <w:rPr>
                <w:rFonts w:hint="eastAsia"/>
                <w:kern w:val="0"/>
                <w:sz w:val="24"/>
                <w:highlight w:val="none"/>
                <w:vertAlign w:val="subscript"/>
              </w:rPr>
              <w:t>X</w:t>
            </w:r>
            <w:r>
              <w:rPr>
                <w:rFonts w:hint="eastAsia"/>
                <w:kern w:val="0"/>
                <w:sz w:val="24"/>
                <w:highlight w:val="none"/>
              </w:rPr>
              <w:t>排放量为0.18t/a，排放浓度为134.0mg/m</w:t>
            </w:r>
            <w:r>
              <w:rPr>
                <w:rFonts w:hint="eastAsia"/>
                <w:kern w:val="0"/>
                <w:sz w:val="24"/>
                <w:highlight w:val="none"/>
                <w:vertAlign w:val="superscript"/>
              </w:rPr>
              <w:t>3</w:t>
            </w:r>
            <w:r>
              <w:rPr>
                <w:rFonts w:hint="eastAsia"/>
                <w:kern w:val="0"/>
                <w:sz w:val="24"/>
                <w:highlight w:val="none"/>
              </w:rPr>
              <w:t>，两台燃气油炸机废气经1根15m高的排气筒（P3）高空排放。满足</w:t>
            </w:r>
            <w:r>
              <w:rPr>
                <w:snapToGrid w:val="0"/>
                <w:sz w:val="24"/>
                <w:highlight w:val="none"/>
              </w:rPr>
              <w:t>《锅炉大气污染物排放标准》（GB13271-2014）表3大气污染物特别排放限值</w:t>
            </w:r>
            <w:r>
              <w:rPr>
                <w:rFonts w:hint="eastAsia"/>
                <w:kern w:val="0"/>
                <w:sz w:val="24"/>
                <w:highlight w:val="none"/>
              </w:rPr>
              <w:t>。</w:t>
            </w:r>
            <w:r>
              <w:rPr>
                <w:rFonts w:hint="eastAsia"/>
                <w:sz w:val="24"/>
                <w:highlight w:val="none"/>
              </w:rPr>
              <w:t>项目油炸锅燃料废气排放量情况见下表。</w:t>
            </w:r>
          </w:p>
          <w:p>
            <w:pPr>
              <w:spacing w:line="500" w:lineRule="exact"/>
              <w:ind w:firstLine="2319" w:firstLineChars="1100"/>
              <w:rPr>
                <w:b/>
                <w:bCs/>
                <w:szCs w:val="21"/>
                <w:highlight w:val="none"/>
              </w:rPr>
            </w:pPr>
          </w:p>
          <w:p>
            <w:pPr>
              <w:spacing w:line="500" w:lineRule="exact"/>
              <w:ind w:firstLine="2951" w:firstLineChars="1400"/>
              <w:rPr>
                <w:rFonts w:hint="eastAsia"/>
                <w:sz w:val="24"/>
                <w:highlight w:val="none"/>
              </w:rPr>
            </w:pPr>
            <w:r>
              <w:rPr>
                <w:b/>
                <w:bCs/>
                <w:szCs w:val="21"/>
                <w:highlight w:val="none"/>
              </w:rPr>
              <w:t xml:space="preserve">表34  油炸锅燃烧废气排放量 </w:t>
            </w:r>
            <w:r>
              <w:rPr>
                <w:rFonts w:hint="eastAsia"/>
                <w:sz w:val="24"/>
                <w:highlight w:val="none"/>
              </w:rPr>
              <w:t xml:space="preserve"> </w:t>
            </w:r>
          </w:p>
          <w:tbl>
            <w:tblPr>
              <w:tblStyle w:val="2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423"/>
              <w:gridCol w:w="1289"/>
              <w:gridCol w:w="1467"/>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7" w:type="dxa"/>
                  <w:vAlign w:val="top"/>
                </w:tcPr>
                <w:p>
                  <w:pPr>
                    <w:pStyle w:val="17"/>
                    <w:ind w:left="0" w:leftChars="0" w:firstLine="0"/>
                    <w:jc w:val="center"/>
                    <w:rPr>
                      <w:sz w:val="21"/>
                      <w:szCs w:val="21"/>
                      <w:highlight w:val="none"/>
                    </w:rPr>
                  </w:pPr>
                  <w:r>
                    <w:rPr>
                      <w:sz w:val="21"/>
                      <w:szCs w:val="21"/>
                      <w:highlight w:val="none"/>
                    </w:rPr>
                    <w:t>类别</w:t>
                  </w:r>
                </w:p>
              </w:tc>
              <w:tc>
                <w:tcPr>
                  <w:tcW w:w="2712" w:type="dxa"/>
                  <w:gridSpan w:val="2"/>
                  <w:vAlign w:val="top"/>
                </w:tcPr>
                <w:p>
                  <w:pPr>
                    <w:pStyle w:val="17"/>
                    <w:ind w:left="0" w:leftChars="0" w:firstLine="0"/>
                    <w:jc w:val="center"/>
                    <w:rPr>
                      <w:sz w:val="21"/>
                      <w:szCs w:val="21"/>
                      <w:highlight w:val="none"/>
                    </w:rPr>
                  </w:pPr>
                  <w:r>
                    <w:rPr>
                      <w:sz w:val="21"/>
                      <w:szCs w:val="21"/>
                      <w:highlight w:val="none"/>
                    </w:rPr>
                    <w:t>废气量</w:t>
                  </w:r>
                </w:p>
              </w:tc>
              <w:tc>
                <w:tcPr>
                  <w:tcW w:w="1467" w:type="dxa"/>
                  <w:vAlign w:val="top"/>
                </w:tcPr>
                <w:p>
                  <w:pPr>
                    <w:pStyle w:val="17"/>
                    <w:ind w:left="0" w:leftChars="0" w:firstLine="0"/>
                    <w:jc w:val="center"/>
                    <w:rPr>
                      <w:sz w:val="21"/>
                      <w:szCs w:val="21"/>
                      <w:highlight w:val="none"/>
                    </w:rPr>
                  </w:pPr>
                  <w:r>
                    <w:rPr>
                      <w:sz w:val="21"/>
                      <w:szCs w:val="21"/>
                      <w:highlight w:val="none"/>
                    </w:rPr>
                    <w:t>颗粒物</w:t>
                  </w:r>
                </w:p>
              </w:tc>
              <w:tc>
                <w:tcPr>
                  <w:tcW w:w="1812" w:type="dxa"/>
                  <w:vAlign w:val="top"/>
                </w:tcPr>
                <w:p>
                  <w:pPr>
                    <w:pStyle w:val="17"/>
                    <w:ind w:left="0" w:leftChars="0" w:firstLineChars="200"/>
                    <w:rPr>
                      <w:sz w:val="21"/>
                      <w:szCs w:val="21"/>
                      <w:highlight w:val="none"/>
                    </w:rPr>
                  </w:pPr>
                  <w:r>
                    <w:rPr>
                      <w:kern w:val="0"/>
                      <w:sz w:val="21"/>
                      <w:szCs w:val="21"/>
                      <w:highlight w:val="none"/>
                    </w:rPr>
                    <w:t>SO</w:t>
                  </w:r>
                  <w:r>
                    <w:rPr>
                      <w:kern w:val="0"/>
                      <w:sz w:val="21"/>
                      <w:szCs w:val="21"/>
                      <w:highlight w:val="none"/>
                      <w:vertAlign w:val="subscript"/>
                    </w:rPr>
                    <w:t>2</w:t>
                  </w:r>
                </w:p>
              </w:tc>
              <w:tc>
                <w:tcPr>
                  <w:tcW w:w="1812" w:type="dxa"/>
                  <w:vAlign w:val="top"/>
                </w:tcPr>
                <w:p>
                  <w:pPr>
                    <w:pStyle w:val="17"/>
                    <w:ind w:left="0" w:leftChars="0" w:firstLineChars="200"/>
                    <w:rPr>
                      <w:sz w:val="21"/>
                      <w:szCs w:val="21"/>
                      <w:highlight w:val="none"/>
                    </w:rPr>
                  </w:pPr>
                  <w:r>
                    <w:rPr>
                      <w:kern w:val="0"/>
                      <w:sz w:val="21"/>
                      <w:szCs w:val="21"/>
                      <w:highlight w:val="none"/>
                    </w:rPr>
                    <w:t>NO</w:t>
                  </w:r>
                  <w:r>
                    <w:rPr>
                      <w:kern w:val="0"/>
                      <w:sz w:val="21"/>
                      <w:szCs w:val="21"/>
                      <w:highlight w:val="none"/>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7" w:type="dxa"/>
                  <w:vAlign w:val="top"/>
                </w:tcPr>
                <w:p>
                  <w:pPr>
                    <w:pStyle w:val="17"/>
                    <w:ind w:left="0" w:leftChars="0" w:firstLine="0"/>
                    <w:jc w:val="center"/>
                    <w:rPr>
                      <w:sz w:val="21"/>
                      <w:szCs w:val="21"/>
                      <w:highlight w:val="none"/>
                    </w:rPr>
                  </w:pPr>
                  <w:r>
                    <w:rPr>
                      <w:sz w:val="21"/>
                      <w:szCs w:val="21"/>
                      <w:highlight w:val="none"/>
                    </w:rPr>
                    <w:t>油炸锅</w:t>
                  </w:r>
                </w:p>
              </w:tc>
              <w:tc>
                <w:tcPr>
                  <w:tcW w:w="1423" w:type="dxa"/>
                  <w:vAlign w:val="top"/>
                </w:tcPr>
                <w:p>
                  <w:pPr>
                    <w:pStyle w:val="17"/>
                    <w:ind w:left="0" w:leftChars="0" w:firstLine="0"/>
                    <w:jc w:val="center"/>
                    <w:rPr>
                      <w:sz w:val="21"/>
                      <w:szCs w:val="21"/>
                      <w:highlight w:val="none"/>
                    </w:rPr>
                  </w:pPr>
                  <w:r>
                    <w:rPr>
                      <w:kern w:val="0"/>
                      <w:sz w:val="21"/>
                      <w:szCs w:val="21"/>
                      <w:highlight w:val="none"/>
                    </w:rPr>
                    <w:t>9.6万m</w:t>
                  </w:r>
                  <w:r>
                    <w:rPr>
                      <w:kern w:val="0"/>
                      <w:sz w:val="21"/>
                      <w:szCs w:val="21"/>
                      <w:highlight w:val="none"/>
                      <w:vertAlign w:val="superscript"/>
                    </w:rPr>
                    <w:t>3</w:t>
                  </w:r>
                  <w:r>
                    <w:rPr>
                      <w:kern w:val="0"/>
                      <w:sz w:val="21"/>
                      <w:szCs w:val="21"/>
                      <w:highlight w:val="none"/>
                    </w:rPr>
                    <w:t>/a</w:t>
                  </w:r>
                </w:p>
              </w:tc>
              <w:tc>
                <w:tcPr>
                  <w:tcW w:w="1289" w:type="dxa"/>
                  <w:vAlign w:val="top"/>
                </w:tcPr>
                <w:p>
                  <w:pPr>
                    <w:pStyle w:val="17"/>
                    <w:ind w:left="0" w:leftChars="0" w:firstLine="0"/>
                    <w:jc w:val="center"/>
                    <w:rPr>
                      <w:sz w:val="21"/>
                      <w:szCs w:val="21"/>
                      <w:highlight w:val="none"/>
                    </w:rPr>
                  </w:pPr>
                  <w:r>
                    <w:rPr>
                      <w:kern w:val="0"/>
                      <w:sz w:val="21"/>
                      <w:szCs w:val="21"/>
                      <w:highlight w:val="none"/>
                    </w:rPr>
                    <w:t>895.07m</w:t>
                  </w:r>
                  <w:r>
                    <w:rPr>
                      <w:kern w:val="0"/>
                      <w:sz w:val="21"/>
                      <w:szCs w:val="21"/>
                      <w:highlight w:val="none"/>
                      <w:vertAlign w:val="superscript"/>
                    </w:rPr>
                    <w:t>3</w:t>
                  </w:r>
                  <w:r>
                    <w:rPr>
                      <w:kern w:val="0"/>
                      <w:sz w:val="21"/>
                      <w:szCs w:val="21"/>
                      <w:highlight w:val="none"/>
                    </w:rPr>
                    <w:t>/h</w:t>
                  </w:r>
                </w:p>
              </w:tc>
              <w:tc>
                <w:tcPr>
                  <w:tcW w:w="1467" w:type="dxa"/>
                  <w:vAlign w:val="top"/>
                </w:tcPr>
                <w:p>
                  <w:pPr>
                    <w:pStyle w:val="17"/>
                    <w:ind w:left="0" w:leftChars="0" w:firstLine="0"/>
                    <w:jc w:val="center"/>
                    <w:rPr>
                      <w:sz w:val="21"/>
                      <w:szCs w:val="21"/>
                      <w:highlight w:val="none"/>
                    </w:rPr>
                  </w:pPr>
                  <w:r>
                    <w:rPr>
                      <w:kern w:val="0"/>
                      <w:sz w:val="21"/>
                      <w:szCs w:val="21"/>
                      <w:highlight w:val="none"/>
                    </w:rPr>
                    <w:t>0.015t/a</w:t>
                  </w:r>
                </w:p>
              </w:tc>
              <w:tc>
                <w:tcPr>
                  <w:tcW w:w="1812" w:type="dxa"/>
                  <w:vAlign w:val="top"/>
                </w:tcPr>
                <w:p>
                  <w:pPr>
                    <w:pStyle w:val="17"/>
                    <w:ind w:left="0" w:leftChars="0" w:firstLine="0"/>
                    <w:jc w:val="center"/>
                    <w:rPr>
                      <w:sz w:val="21"/>
                      <w:szCs w:val="21"/>
                      <w:highlight w:val="none"/>
                    </w:rPr>
                  </w:pPr>
                  <w:r>
                    <w:rPr>
                      <w:kern w:val="0"/>
                      <w:sz w:val="21"/>
                      <w:szCs w:val="21"/>
                      <w:highlight w:val="none"/>
                    </w:rPr>
                    <w:t>0.0384t/a</w:t>
                  </w:r>
                </w:p>
              </w:tc>
              <w:tc>
                <w:tcPr>
                  <w:tcW w:w="1812" w:type="dxa"/>
                  <w:vAlign w:val="top"/>
                </w:tcPr>
                <w:p>
                  <w:pPr>
                    <w:pStyle w:val="17"/>
                    <w:ind w:left="0" w:leftChars="0" w:firstLine="0"/>
                    <w:jc w:val="center"/>
                    <w:rPr>
                      <w:sz w:val="21"/>
                      <w:szCs w:val="21"/>
                      <w:highlight w:val="none"/>
                    </w:rPr>
                  </w:pPr>
                  <w:r>
                    <w:rPr>
                      <w:kern w:val="0"/>
                      <w:sz w:val="21"/>
                      <w:szCs w:val="21"/>
                      <w:highlight w:val="none"/>
                    </w:rPr>
                    <w:t>0.18t/a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3969" w:type="dxa"/>
                  <w:gridSpan w:val="3"/>
                  <w:vAlign w:val="top"/>
                </w:tcPr>
                <w:p>
                  <w:pPr>
                    <w:pStyle w:val="17"/>
                    <w:jc w:val="center"/>
                    <w:rPr>
                      <w:sz w:val="21"/>
                      <w:szCs w:val="21"/>
                      <w:highlight w:val="none"/>
                    </w:rPr>
                  </w:pPr>
                  <w:r>
                    <w:rPr>
                      <w:sz w:val="21"/>
                      <w:szCs w:val="21"/>
                      <w:highlight w:val="none"/>
                    </w:rPr>
                    <w:t>排放浓度（</w:t>
                  </w:r>
                  <w:r>
                    <w:rPr>
                      <w:kern w:val="0"/>
                      <w:sz w:val="21"/>
                      <w:szCs w:val="21"/>
                      <w:highlight w:val="none"/>
                    </w:rPr>
                    <w:t>mg/m</w:t>
                  </w:r>
                  <w:r>
                    <w:rPr>
                      <w:kern w:val="0"/>
                      <w:sz w:val="21"/>
                      <w:szCs w:val="21"/>
                      <w:highlight w:val="none"/>
                      <w:vertAlign w:val="superscript"/>
                    </w:rPr>
                    <w:t>3</w:t>
                  </w:r>
                  <w:r>
                    <w:rPr>
                      <w:sz w:val="21"/>
                      <w:szCs w:val="21"/>
                      <w:highlight w:val="none"/>
                    </w:rPr>
                    <w:t>）</w:t>
                  </w:r>
                </w:p>
              </w:tc>
              <w:tc>
                <w:tcPr>
                  <w:tcW w:w="1467" w:type="dxa"/>
                  <w:vAlign w:val="top"/>
                </w:tcPr>
                <w:p>
                  <w:pPr>
                    <w:pStyle w:val="17"/>
                    <w:ind w:left="0" w:leftChars="0" w:firstLineChars="200"/>
                    <w:rPr>
                      <w:sz w:val="21"/>
                      <w:szCs w:val="21"/>
                      <w:highlight w:val="none"/>
                    </w:rPr>
                  </w:pPr>
                  <w:r>
                    <w:rPr>
                      <w:sz w:val="21"/>
                      <w:szCs w:val="21"/>
                      <w:highlight w:val="none"/>
                    </w:rPr>
                    <w:t>11.2</w:t>
                  </w:r>
                </w:p>
              </w:tc>
              <w:tc>
                <w:tcPr>
                  <w:tcW w:w="1812" w:type="dxa"/>
                  <w:vAlign w:val="top"/>
                </w:tcPr>
                <w:p>
                  <w:pPr>
                    <w:pStyle w:val="17"/>
                    <w:ind w:left="0" w:leftChars="0" w:firstLineChars="200"/>
                    <w:rPr>
                      <w:sz w:val="21"/>
                      <w:szCs w:val="21"/>
                      <w:highlight w:val="none"/>
                    </w:rPr>
                  </w:pPr>
                  <w:r>
                    <w:rPr>
                      <w:sz w:val="21"/>
                      <w:szCs w:val="21"/>
                      <w:highlight w:val="none"/>
                    </w:rPr>
                    <w:t>28.6</w:t>
                  </w:r>
                </w:p>
              </w:tc>
              <w:tc>
                <w:tcPr>
                  <w:tcW w:w="1812" w:type="dxa"/>
                  <w:vAlign w:val="top"/>
                </w:tcPr>
                <w:p>
                  <w:pPr>
                    <w:pStyle w:val="17"/>
                    <w:ind w:left="0" w:leftChars="0" w:firstLineChars="200"/>
                    <w:rPr>
                      <w:sz w:val="21"/>
                      <w:szCs w:val="21"/>
                      <w:highlight w:val="none"/>
                    </w:rPr>
                  </w:pPr>
                  <w:r>
                    <w:rPr>
                      <w:sz w:val="21"/>
                      <w:szCs w:val="21"/>
                      <w:highlight w:val="none"/>
                    </w:rPr>
                    <w:t>134.0</w:t>
                  </w:r>
                </w:p>
              </w:tc>
            </w:tr>
          </w:tbl>
          <w:p>
            <w:pPr>
              <w:spacing w:line="540" w:lineRule="exact"/>
              <w:ind w:firstLine="482" w:firstLineChars="200"/>
              <w:rPr>
                <w:rFonts w:hint="eastAsia"/>
                <w:b/>
                <w:bCs/>
                <w:sz w:val="24"/>
                <w:highlight w:val="none"/>
              </w:rPr>
            </w:pPr>
            <w:r>
              <w:rPr>
                <w:rFonts w:hint="eastAsia"/>
                <w:b/>
                <w:bCs/>
                <w:sz w:val="24"/>
                <w:highlight w:val="none"/>
              </w:rPr>
              <w:t>1.1.4</w:t>
            </w:r>
            <w:r>
              <w:rPr>
                <w:rFonts w:hint="eastAsia"/>
                <w:b/>
                <w:bCs/>
                <w:sz w:val="24"/>
                <w:highlight w:val="none"/>
                <w:lang w:eastAsia="zh-CN"/>
              </w:rPr>
              <w:t>大气</w:t>
            </w:r>
            <w:r>
              <w:rPr>
                <w:rFonts w:hint="eastAsia"/>
                <w:b/>
                <w:bCs/>
                <w:sz w:val="24"/>
                <w:highlight w:val="none"/>
              </w:rPr>
              <w:t>扩散预测</w:t>
            </w:r>
          </w:p>
          <w:p>
            <w:pPr>
              <w:spacing w:line="360" w:lineRule="auto"/>
              <w:ind w:right="105" w:rightChars="50" w:firstLine="482" w:firstLineChars="200"/>
              <w:rPr>
                <w:rFonts w:hint="eastAsia" w:eastAsia="宋体"/>
                <w:b/>
                <w:bCs w:val="0"/>
                <w:sz w:val="24"/>
                <w:szCs w:val="24"/>
                <w:highlight w:val="none"/>
                <w:lang w:val="en-US" w:eastAsia="zh-CN"/>
              </w:rPr>
            </w:pPr>
            <w:r>
              <w:rPr>
                <w:rFonts w:hint="eastAsia"/>
                <w:b/>
                <w:bCs w:val="0"/>
                <w:sz w:val="24"/>
                <w:szCs w:val="24"/>
                <w:highlight w:val="none"/>
                <w:lang w:val="en-US" w:eastAsia="zh-CN"/>
              </w:rPr>
              <w:t>评价等级</w:t>
            </w:r>
          </w:p>
          <w:p>
            <w:pPr>
              <w:autoSpaceDE w:val="0"/>
              <w:autoSpaceDN w:val="0"/>
              <w:adjustRightInd w:val="0"/>
              <w:spacing w:line="360" w:lineRule="auto"/>
              <w:ind w:firstLine="480" w:firstLineChars="200"/>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根据《环境影响评价技术导则 大气环境》（HJ2.2-20</w:t>
            </w:r>
            <w:r>
              <w:rPr>
                <w:rFonts w:hint="default" w:ascii="Times New Roman" w:hAnsi="Times New Roman" w:cs="Times New Roman"/>
                <w:bCs/>
                <w:sz w:val="24"/>
                <w:szCs w:val="24"/>
                <w:highlight w:val="none"/>
                <w:lang w:val="en-US" w:eastAsia="zh-CN"/>
              </w:rPr>
              <w:t>1</w:t>
            </w:r>
            <w:r>
              <w:rPr>
                <w:rFonts w:hint="default" w:ascii="Times New Roman" w:hAnsi="Times New Roman" w:cs="Times New Roman"/>
                <w:bCs/>
                <w:sz w:val="24"/>
                <w:szCs w:val="24"/>
                <w:highlight w:val="none"/>
              </w:rPr>
              <w:t>8），</w:t>
            </w:r>
            <w:r>
              <w:rPr>
                <w:rFonts w:hint="default" w:ascii="Times New Roman" w:hAnsi="Times New Roman" w:cs="Times New Roman"/>
                <w:bCs/>
                <w:sz w:val="24"/>
                <w:szCs w:val="24"/>
                <w:highlight w:val="none"/>
                <w:lang w:eastAsia="zh-CN"/>
              </w:rPr>
              <w:t>需分别计算项目排放主要污染物最大地面空气质量浓度占</w:t>
            </w:r>
            <w:r>
              <w:rPr>
                <w:rFonts w:hint="eastAsia" w:ascii="Times New Roman" w:hAnsi="Times New Roman" w:cs="Times New Roman"/>
                <w:bCs/>
                <w:sz w:val="24"/>
                <w:szCs w:val="24"/>
                <w:highlight w:val="none"/>
                <w:lang w:eastAsia="zh-CN"/>
              </w:rPr>
              <w:t>标</w:t>
            </w:r>
            <w:r>
              <w:rPr>
                <w:rFonts w:hint="default" w:ascii="Times New Roman" w:hAnsi="Times New Roman" w:cs="Times New Roman"/>
                <w:bCs/>
                <w:sz w:val="24"/>
                <w:szCs w:val="24"/>
                <w:highlight w:val="none"/>
                <w:lang w:eastAsia="zh-CN"/>
              </w:rPr>
              <w:t>率来</w:t>
            </w:r>
            <w:r>
              <w:rPr>
                <w:rFonts w:hint="default" w:ascii="Times New Roman" w:hAnsi="Times New Roman" w:cs="Times New Roman"/>
                <w:bCs/>
                <w:sz w:val="24"/>
                <w:szCs w:val="24"/>
                <w:highlight w:val="none"/>
              </w:rPr>
              <w:t>确定其评价等级，</w:t>
            </w:r>
            <w:r>
              <w:rPr>
                <w:rFonts w:hint="default" w:ascii="Times New Roman" w:hAnsi="Times New Roman" w:cs="Times New Roman"/>
                <w:bCs/>
                <w:sz w:val="24"/>
                <w:szCs w:val="24"/>
                <w:highlight w:val="none"/>
                <w:lang w:eastAsia="zh-CN"/>
              </w:rPr>
              <w:t>确定评价等级需</w:t>
            </w:r>
            <w:r>
              <w:rPr>
                <w:rFonts w:hint="default" w:ascii="Times New Roman" w:hAnsi="Times New Roman" w:cs="Times New Roman"/>
                <w:bCs/>
                <w:sz w:val="24"/>
                <w:szCs w:val="24"/>
                <w:highlight w:val="none"/>
              </w:rPr>
              <w:t>采用</w:t>
            </w:r>
            <w:r>
              <w:rPr>
                <w:rFonts w:hint="default" w:ascii="Times New Roman" w:hAnsi="Times New Roman" w:cs="Times New Roman"/>
                <w:bCs/>
                <w:sz w:val="24"/>
                <w:szCs w:val="24"/>
                <w:highlight w:val="none"/>
                <w:lang w:val="en-GB"/>
              </w:rPr>
              <w:t>估算模式</w:t>
            </w:r>
            <w:r>
              <w:rPr>
                <w:rFonts w:hint="default" w:ascii="Times New Roman" w:hAnsi="Times New Roman" w:cs="Times New Roman"/>
                <w:bCs/>
                <w:sz w:val="24"/>
                <w:szCs w:val="24"/>
                <w:highlight w:val="none"/>
                <w:lang w:val="en-US" w:eastAsia="zh-CN"/>
              </w:rPr>
              <w:t>AERSCREEN</w:t>
            </w:r>
            <w:r>
              <w:rPr>
                <w:rFonts w:hint="default" w:ascii="Times New Roman" w:hAnsi="Times New Roman" w:cs="Times New Roman"/>
                <w:bCs/>
                <w:sz w:val="24"/>
                <w:szCs w:val="24"/>
                <w:highlight w:val="none"/>
                <w:lang w:val="en-GB"/>
              </w:rPr>
              <w:t>计算</w:t>
            </w:r>
            <w:r>
              <w:rPr>
                <w:rFonts w:hint="default" w:ascii="Times New Roman" w:hAnsi="Times New Roman" w:cs="Times New Roman"/>
                <w:bCs/>
                <w:sz w:val="24"/>
                <w:szCs w:val="24"/>
                <w:highlight w:val="none"/>
              </w:rPr>
              <w:t>。</w:t>
            </w:r>
          </w:p>
          <w:p>
            <w:pPr>
              <w:spacing w:line="360" w:lineRule="auto"/>
              <w:ind w:left="105" w:leftChars="50" w:right="105" w:rightChars="50" w:firstLine="480" w:firstLineChars="200"/>
              <w:jc w:val="left"/>
              <w:rPr>
                <w:bCs/>
                <w:sz w:val="24"/>
                <w:szCs w:val="24"/>
                <w:highlight w:val="none"/>
                <w:lang w:val="en-GB"/>
              </w:rPr>
            </w:pPr>
            <w:r>
              <w:rPr>
                <w:bCs/>
                <w:sz w:val="24"/>
                <w:szCs w:val="24"/>
                <w:highlight w:val="none"/>
                <w:lang w:val="en-GB"/>
              </w:rPr>
              <w:t>浓度占标率计算：P</w:t>
            </w:r>
            <w:r>
              <w:rPr>
                <w:bCs/>
                <w:sz w:val="24"/>
                <w:szCs w:val="24"/>
                <w:highlight w:val="none"/>
                <w:vertAlign w:val="subscript"/>
                <w:lang w:val="en-GB"/>
              </w:rPr>
              <w:t>i</w:t>
            </w:r>
            <w:r>
              <w:rPr>
                <w:bCs/>
                <w:sz w:val="24"/>
                <w:szCs w:val="24"/>
                <w:highlight w:val="none"/>
                <w:lang w:val="en-GB"/>
              </w:rPr>
              <w:t>=C</w:t>
            </w:r>
            <w:r>
              <w:rPr>
                <w:bCs/>
                <w:sz w:val="24"/>
                <w:szCs w:val="24"/>
                <w:highlight w:val="none"/>
                <w:vertAlign w:val="subscript"/>
                <w:lang w:val="en-GB"/>
              </w:rPr>
              <w:t>i</w:t>
            </w:r>
            <w:r>
              <w:rPr>
                <w:bCs/>
                <w:sz w:val="24"/>
                <w:szCs w:val="24"/>
                <w:highlight w:val="none"/>
                <w:lang w:val="en-GB"/>
              </w:rPr>
              <w:t>/C</w:t>
            </w:r>
            <w:r>
              <w:rPr>
                <w:bCs/>
                <w:sz w:val="24"/>
                <w:szCs w:val="24"/>
                <w:highlight w:val="none"/>
                <w:vertAlign w:val="subscript"/>
                <w:lang w:val="en-GB"/>
              </w:rPr>
              <w:t>oi</w:t>
            </w:r>
            <w:r>
              <w:rPr>
                <w:bCs/>
                <w:sz w:val="24"/>
                <w:szCs w:val="24"/>
                <w:highlight w:val="none"/>
                <w:lang w:val="en-GB"/>
              </w:rPr>
              <w:t>×100%</w:t>
            </w:r>
          </w:p>
          <w:p>
            <w:pPr>
              <w:spacing w:line="360" w:lineRule="auto"/>
              <w:ind w:left="105" w:leftChars="50" w:right="105" w:rightChars="50" w:firstLine="480" w:firstLineChars="200"/>
              <w:jc w:val="left"/>
              <w:rPr>
                <w:bCs/>
                <w:sz w:val="24"/>
                <w:szCs w:val="24"/>
                <w:highlight w:val="none"/>
                <w:lang w:val="en-GB"/>
              </w:rPr>
            </w:pPr>
            <w:r>
              <w:rPr>
                <w:bCs/>
                <w:sz w:val="24"/>
                <w:szCs w:val="24"/>
                <w:highlight w:val="none"/>
                <w:lang w:val="en-GB"/>
              </w:rPr>
              <w:t>P</w:t>
            </w:r>
            <w:r>
              <w:rPr>
                <w:bCs/>
                <w:sz w:val="24"/>
                <w:szCs w:val="24"/>
                <w:highlight w:val="none"/>
                <w:vertAlign w:val="subscript"/>
                <w:lang w:val="en-GB"/>
              </w:rPr>
              <w:t>i</w:t>
            </w:r>
            <w:r>
              <w:rPr>
                <w:bCs/>
                <w:sz w:val="24"/>
                <w:szCs w:val="24"/>
                <w:highlight w:val="none"/>
                <w:lang w:val="en-GB"/>
              </w:rPr>
              <w:t>——污染物浓度占标率；</w:t>
            </w:r>
          </w:p>
          <w:p>
            <w:pPr>
              <w:spacing w:line="360" w:lineRule="auto"/>
              <w:ind w:left="105" w:leftChars="50" w:right="105" w:rightChars="50" w:firstLine="480" w:firstLineChars="200"/>
              <w:jc w:val="left"/>
              <w:rPr>
                <w:bCs/>
                <w:sz w:val="24"/>
                <w:szCs w:val="24"/>
                <w:highlight w:val="none"/>
                <w:lang w:val="en-GB"/>
              </w:rPr>
            </w:pPr>
            <w:r>
              <w:rPr>
                <w:bCs/>
                <w:sz w:val="24"/>
                <w:szCs w:val="24"/>
                <w:highlight w:val="none"/>
                <w:lang w:val="en-GB"/>
              </w:rPr>
              <w:t>C</w:t>
            </w:r>
            <w:r>
              <w:rPr>
                <w:bCs/>
                <w:sz w:val="24"/>
                <w:szCs w:val="24"/>
                <w:highlight w:val="none"/>
                <w:vertAlign w:val="subscript"/>
                <w:lang w:val="en-GB"/>
              </w:rPr>
              <w:t>i</w:t>
            </w:r>
            <w:r>
              <w:rPr>
                <w:bCs/>
                <w:sz w:val="24"/>
                <w:szCs w:val="24"/>
                <w:highlight w:val="none"/>
                <w:lang w:val="en-GB"/>
              </w:rPr>
              <w:t>——采用估算模式计算出的第i个污染物的地面浓度；mg/m</w:t>
            </w:r>
            <w:r>
              <w:rPr>
                <w:bCs/>
                <w:sz w:val="24"/>
                <w:szCs w:val="24"/>
                <w:highlight w:val="none"/>
                <w:vertAlign w:val="superscript"/>
                <w:lang w:val="en-GB"/>
              </w:rPr>
              <w:t>3</w:t>
            </w:r>
            <w:r>
              <w:rPr>
                <w:bCs/>
                <w:sz w:val="24"/>
                <w:szCs w:val="24"/>
                <w:highlight w:val="none"/>
                <w:lang w:val="en-GB"/>
              </w:rPr>
              <w:t>。</w:t>
            </w:r>
          </w:p>
          <w:p>
            <w:pPr>
              <w:spacing w:line="360" w:lineRule="auto"/>
              <w:ind w:left="105" w:leftChars="50" w:right="105" w:rightChars="50" w:firstLine="480" w:firstLineChars="200"/>
              <w:jc w:val="left"/>
              <w:rPr>
                <w:bCs/>
                <w:sz w:val="24"/>
                <w:szCs w:val="24"/>
                <w:highlight w:val="none"/>
                <w:lang w:val="en-GB"/>
              </w:rPr>
            </w:pPr>
            <w:r>
              <w:rPr>
                <w:bCs/>
                <w:sz w:val="24"/>
                <w:szCs w:val="24"/>
                <w:highlight w:val="none"/>
                <w:lang w:val="en-GB"/>
              </w:rPr>
              <w:t>C</w:t>
            </w:r>
            <w:r>
              <w:rPr>
                <w:bCs/>
                <w:sz w:val="24"/>
                <w:szCs w:val="24"/>
                <w:highlight w:val="none"/>
                <w:vertAlign w:val="subscript"/>
                <w:lang w:val="en-GB"/>
              </w:rPr>
              <w:t>oi</w:t>
            </w:r>
            <w:r>
              <w:rPr>
                <w:bCs/>
                <w:sz w:val="24"/>
                <w:szCs w:val="24"/>
                <w:highlight w:val="none"/>
                <w:lang w:val="en-GB"/>
              </w:rPr>
              <w:t>——第i个污染物的环境空气质量标准，mg/m</w:t>
            </w:r>
            <w:r>
              <w:rPr>
                <w:bCs/>
                <w:sz w:val="24"/>
                <w:szCs w:val="24"/>
                <w:highlight w:val="none"/>
                <w:vertAlign w:val="superscript"/>
                <w:lang w:val="en-GB"/>
              </w:rPr>
              <w:t>3</w:t>
            </w:r>
            <w:r>
              <w:rPr>
                <w:bCs/>
                <w:sz w:val="24"/>
                <w:szCs w:val="24"/>
                <w:highlight w:val="none"/>
                <w:lang w:val="en-GB"/>
              </w:rPr>
              <w:t>。</w:t>
            </w:r>
          </w:p>
          <w:p>
            <w:pPr>
              <w:spacing w:line="360" w:lineRule="auto"/>
              <w:ind w:left="105" w:leftChars="50" w:right="105" w:rightChars="50" w:firstLine="480" w:firstLineChars="200"/>
              <w:jc w:val="left"/>
              <w:rPr>
                <w:bCs/>
                <w:highlight w:val="none"/>
                <w:lang w:val="en-GB"/>
              </w:rPr>
            </w:pPr>
            <w:r>
              <w:rPr>
                <w:bCs/>
                <w:sz w:val="24"/>
                <w:szCs w:val="24"/>
                <w:highlight w:val="none"/>
                <w:lang w:val="en-GB"/>
              </w:rPr>
              <w:t>C</w:t>
            </w:r>
            <w:r>
              <w:rPr>
                <w:bCs/>
                <w:sz w:val="24"/>
                <w:szCs w:val="24"/>
                <w:highlight w:val="none"/>
                <w:vertAlign w:val="subscript"/>
                <w:lang w:val="en-GB"/>
              </w:rPr>
              <w:t>oi</w:t>
            </w:r>
            <w:r>
              <w:rPr>
                <w:bCs/>
                <w:sz w:val="24"/>
                <w:szCs w:val="24"/>
                <w:highlight w:val="none"/>
                <w:lang w:val="en-GB"/>
              </w:rPr>
              <w:t>一般为GB3095中1小时平均取样的二级标准的浓度限值；</w:t>
            </w:r>
          </w:p>
          <w:p>
            <w:pPr>
              <w:jc w:val="center"/>
              <w:rPr>
                <w:rFonts w:hint="eastAsia" w:eastAsia="宋体"/>
                <w:highlight w:val="none"/>
                <w:lang w:val="en-US" w:eastAsia="zh-CN"/>
              </w:rPr>
            </w:pPr>
            <w:r>
              <w:rPr>
                <w:rFonts w:hint="eastAsia"/>
                <w:bCs/>
                <w:sz w:val="21"/>
                <w:szCs w:val="21"/>
                <w:highlight w:val="none"/>
                <w:lang w:val="en-US" w:eastAsia="zh-CN"/>
              </w:rPr>
              <w:t>表42  估算模式参数表</w:t>
            </w:r>
          </w:p>
          <w:tbl>
            <w:tblPr>
              <w:tblStyle w:val="29"/>
              <w:tblW w:w="8982"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34"/>
              <w:gridCol w:w="4154"/>
              <w:gridCol w:w="29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988" w:type="dxa"/>
                  <w:gridSpan w:val="2"/>
                  <w:tcBorders>
                    <w:tl2br w:val="nil"/>
                    <w:tr2bl w:val="nil"/>
                  </w:tcBorders>
                  <w:shd w:val="clear" w:color="auto" w:fill="F1F1F1"/>
                  <w:vAlign w:val="top"/>
                </w:tcPr>
                <w:p>
                  <w:pPr>
                    <w:ind w:firstLine="2100" w:firstLineChars="1000"/>
                    <w:rPr>
                      <w:rFonts w:hint="eastAsia" w:eastAsia="宋体"/>
                      <w:sz w:val="21"/>
                      <w:szCs w:val="21"/>
                      <w:highlight w:val="none"/>
                      <w:vertAlign w:val="baseline"/>
                      <w:lang w:eastAsia="zh-CN"/>
                    </w:rPr>
                  </w:pPr>
                  <w:r>
                    <w:rPr>
                      <w:rFonts w:hint="eastAsia"/>
                      <w:sz w:val="21"/>
                      <w:szCs w:val="21"/>
                      <w:highlight w:val="none"/>
                      <w:vertAlign w:val="baseline"/>
                      <w:lang w:eastAsia="zh-CN"/>
                    </w:rPr>
                    <w:t>参数</w:t>
                  </w:r>
                </w:p>
              </w:tc>
              <w:tc>
                <w:tcPr>
                  <w:tcW w:w="2994" w:type="dxa"/>
                  <w:tcBorders>
                    <w:tl2br w:val="nil"/>
                    <w:tr2bl w:val="nil"/>
                  </w:tcBorders>
                  <w:shd w:val="clear" w:color="auto" w:fill="F1F1F1"/>
                  <w:vAlign w:val="top"/>
                </w:tcPr>
                <w:p>
                  <w:pPr>
                    <w:ind w:firstLine="1260" w:firstLineChars="600"/>
                    <w:rPr>
                      <w:rFonts w:hint="eastAsia" w:eastAsia="宋体"/>
                      <w:sz w:val="21"/>
                      <w:szCs w:val="21"/>
                      <w:highlight w:val="none"/>
                      <w:vertAlign w:val="baseline"/>
                      <w:lang w:eastAsia="zh-CN"/>
                    </w:rPr>
                  </w:pPr>
                  <w:r>
                    <w:rPr>
                      <w:rFonts w:hint="eastAsia"/>
                      <w:sz w:val="21"/>
                      <w:szCs w:val="21"/>
                      <w:highlight w:val="none"/>
                      <w:vertAlign w:val="baseline"/>
                      <w:lang w:eastAsia="zh-CN"/>
                    </w:rPr>
                    <w:t>取值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834" w:type="dxa"/>
                  <w:vMerge w:val="restart"/>
                  <w:tcBorders>
                    <w:tl2br w:val="nil"/>
                    <w:tr2bl w:val="nil"/>
                  </w:tcBorders>
                  <w:vAlign w:val="top"/>
                </w:tcPr>
                <w:p>
                  <w:pPr>
                    <w:rPr>
                      <w:sz w:val="21"/>
                      <w:szCs w:val="21"/>
                      <w:highlight w:val="none"/>
                      <w:vertAlign w:val="baseline"/>
                    </w:rPr>
                  </w:pPr>
                  <w:r>
                    <w:rPr>
                      <w:rFonts w:hint="eastAsia"/>
                      <w:sz w:val="21"/>
                      <w:szCs w:val="21"/>
                      <w:highlight w:val="none"/>
                      <w:vertAlign w:val="baseline"/>
                      <w:lang w:eastAsia="zh-CN"/>
                    </w:rPr>
                    <w:t>城市</w:t>
                  </w:r>
                  <w:r>
                    <w:rPr>
                      <w:rFonts w:hint="eastAsia"/>
                      <w:sz w:val="21"/>
                      <w:szCs w:val="21"/>
                      <w:highlight w:val="none"/>
                      <w:vertAlign w:val="baseline"/>
                      <w:lang w:val="en-US" w:eastAsia="zh-CN"/>
                    </w:rPr>
                    <w:t>/农村选项</w:t>
                  </w:r>
                </w:p>
              </w:tc>
              <w:tc>
                <w:tcPr>
                  <w:tcW w:w="4154" w:type="dxa"/>
                  <w:tcBorders>
                    <w:tl2br w:val="nil"/>
                    <w:tr2bl w:val="nil"/>
                  </w:tcBorders>
                  <w:vAlign w:val="top"/>
                </w:tcPr>
                <w:p>
                  <w:pPr>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城市</w:t>
                  </w:r>
                  <w:r>
                    <w:rPr>
                      <w:rFonts w:hint="eastAsia"/>
                      <w:sz w:val="21"/>
                      <w:szCs w:val="21"/>
                      <w:highlight w:val="none"/>
                      <w:vertAlign w:val="baseline"/>
                      <w:lang w:val="en-US" w:eastAsia="zh-CN"/>
                    </w:rPr>
                    <w:t>/农村</w:t>
                  </w:r>
                </w:p>
              </w:tc>
              <w:tc>
                <w:tcPr>
                  <w:tcW w:w="2994" w:type="dxa"/>
                  <w:tcBorders>
                    <w:tl2br w:val="nil"/>
                    <w:tr2bl w:val="nil"/>
                  </w:tcBorders>
                  <w:vAlign w:val="top"/>
                </w:tcPr>
                <w:p>
                  <w:pPr>
                    <w:ind w:firstLine="1260" w:firstLineChars="600"/>
                    <w:jc w:val="both"/>
                    <w:rPr>
                      <w:rFonts w:hint="eastAsia" w:eastAsia="宋体"/>
                      <w:sz w:val="21"/>
                      <w:szCs w:val="21"/>
                      <w:highlight w:val="none"/>
                      <w:vertAlign w:val="baseline"/>
                      <w:lang w:eastAsia="zh-CN"/>
                    </w:rPr>
                  </w:pPr>
                  <w:r>
                    <w:rPr>
                      <w:rFonts w:hint="eastAsia"/>
                      <w:sz w:val="21"/>
                      <w:szCs w:val="21"/>
                      <w:highlight w:val="none"/>
                      <w:vertAlign w:val="baseline"/>
                      <w:lang w:eastAsia="zh-CN"/>
                    </w:rPr>
                    <w:t>乡村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834" w:type="dxa"/>
                  <w:vMerge w:val="continue"/>
                  <w:tcBorders>
                    <w:tl2br w:val="nil"/>
                    <w:tr2bl w:val="nil"/>
                  </w:tcBorders>
                  <w:vAlign w:val="top"/>
                </w:tcPr>
                <w:p>
                  <w:pPr>
                    <w:rPr>
                      <w:sz w:val="21"/>
                      <w:szCs w:val="21"/>
                      <w:highlight w:val="none"/>
                      <w:vertAlign w:val="baseline"/>
                    </w:rPr>
                  </w:pPr>
                </w:p>
              </w:tc>
              <w:tc>
                <w:tcPr>
                  <w:tcW w:w="4154" w:type="dxa"/>
                  <w:tcBorders>
                    <w:tl2br w:val="nil"/>
                    <w:tr2bl w:val="nil"/>
                  </w:tcBorders>
                  <w:vAlign w:val="top"/>
                </w:tcPr>
                <w:p>
                  <w:pPr>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人口数（城市选项时）</w:t>
                  </w:r>
                </w:p>
              </w:tc>
              <w:tc>
                <w:tcPr>
                  <w:tcW w:w="2994" w:type="dxa"/>
                  <w:tcBorders>
                    <w:tl2br w:val="nil"/>
                    <w:tr2bl w:val="nil"/>
                  </w:tcBorders>
                  <w:vAlign w:val="top"/>
                </w:tcPr>
                <w:p>
                  <w:pPr>
                    <w:jc w:val="center"/>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988" w:type="dxa"/>
                  <w:gridSpan w:val="2"/>
                  <w:tcBorders>
                    <w:tl2br w:val="nil"/>
                    <w:tr2bl w:val="nil"/>
                  </w:tcBorders>
                  <w:vAlign w:val="top"/>
                </w:tcPr>
                <w:p>
                  <w:pPr>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最高环境温度</w:t>
                  </w:r>
                </w:p>
              </w:tc>
              <w:tc>
                <w:tcPr>
                  <w:tcW w:w="2994" w:type="dxa"/>
                  <w:tcBorders>
                    <w:tl2br w:val="nil"/>
                    <w:tr2bl w:val="nil"/>
                  </w:tcBorders>
                  <w:vAlign w:val="top"/>
                </w:tcPr>
                <w:p>
                  <w:pPr>
                    <w:jc w:val="center"/>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43.1℃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988" w:type="dxa"/>
                  <w:gridSpan w:val="2"/>
                  <w:tcBorders>
                    <w:tl2br w:val="nil"/>
                    <w:tr2bl w:val="nil"/>
                  </w:tcBorders>
                  <w:vAlign w:val="top"/>
                </w:tcPr>
                <w:p>
                  <w:pPr>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最低环境温度</w:t>
                  </w:r>
                </w:p>
              </w:tc>
              <w:tc>
                <w:tcPr>
                  <w:tcW w:w="2994" w:type="dxa"/>
                  <w:tcBorders>
                    <w:tl2br w:val="nil"/>
                    <w:tr2bl w:val="nil"/>
                  </w:tcBorders>
                  <w:vAlign w:val="top"/>
                </w:tcPr>
                <w:p>
                  <w:pPr>
                    <w:jc w:val="center"/>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988" w:type="dxa"/>
                  <w:gridSpan w:val="2"/>
                  <w:tcBorders>
                    <w:tl2br w:val="nil"/>
                    <w:tr2bl w:val="nil"/>
                  </w:tcBorders>
                  <w:vAlign w:val="top"/>
                </w:tcPr>
                <w:p>
                  <w:pPr>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土地利用类型</w:t>
                  </w:r>
                </w:p>
              </w:tc>
              <w:tc>
                <w:tcPr>
                  <w:tcW w:w="2994" w:type="dxa"/>
                  <w:tcBorders>
                    <w:tl2br w:val="nil"/>
                    <w:tr2bl w:val="nil"/>
                  </w:tcBorders>
                  <w:vAlign w:val="top"/>
                </w:tcPr>
                <w:p>
                  <w:pPr>
                    <w:jc w:val="center"/>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农田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988" w:type="dxa"/>
                  <w:gridSpan w:val="2"/>
                  <w:tcBorders>
                    <w:tl2br w:val="nil"/>
                    <w:tr2bl w:val="nil"/>
                  </w:tcBorders>
                  <w:vAlign w:val="top"/>
                </w:tcPr>
                <w:p>
                  <w:pPr>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区域湿度条件</w:t>
                  </w:r>
                </w:p>
              </w:tc>
              <w:tc>
                <w:tcPr>
                  <w:tcW w:w="2994" w:type="dxa"/>
                  <w:tcBorders>
                    <w:tl2br w:val="nil"/>
                    <w:tr2bl w:val="nil"/>
                  </w:tcBorders>
                  <w:vAlign w:val="top"/>
                </w:tcPr>
                <w:p>
                  <w:pPr>
                    <w:ind w:firstLine="420" w:firstLineChars="200"/>
                    <w:jc w:val="center"/>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半干旱半湿润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834" w:type="dxa"/>
                  <w:vMerge w:val="restart"/>
                  <w:tcBorders>
                    <w:tl2br w:val="nil"/>
                    <w:tr2bl w:val="nil"/>
                  </w:tcBorders>
                  <w:vAlign w:val="top"/>
                </w:tcPr>
                <w:p>
                  <w:pPr>
                    <w:rPr>
                      <w:sz w:val="21"/>
                      <w:szCs w:val="21"/>
                      <w:highlight w:val="none"/>
                      <w:vertAlign w:val="baseline"/>
                    </w:rPr>
                  </w:pPr>
                  <w:r>
                    <w:rPr>
                      <w:rFonts w:hint="eastAsia"/>
                      <w:sz w:val="21"/>
                      <w:szCs w:val="21"/>
                      <w:highlight w:val="none"/>
                      <w:vertAlign w:val="baseline"/>
                      <w:lang w:eastAsia="zh-CN"/>
                    </w:rPr>
                    <w:t>是否考虑地形</w:t>
                  </w:r>
                </w:p>
              </w:tc>
              <w:tc>
                <w:tcPr>
                  <w:tcW w:w="4154" w:type="dxa"/>
                  <w:tcBorders>
                    <w:tl2br w:val="nil"/>
                    <w:tr2bl w:val="nil"/>
                  </w:tcBorders>
                  <w:vAlign w:val="top"/>
                </w:tcPr>
                <w:p>
                  <w:pPr>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考虑地形</w:t>
                  </w:r>
                </w:p>
              </w:tc>
              <w:tc>
                <w:tcPr>
                  <w:tcW w:w="2994" w:type="dxa"/>
                  <w:tcBorders>
                    <w:tl2br w:val="nil"/>
                    <w:tr2bl w:val="nil"/>
                  </w:tcBorders>
                  <w:vAlign w:val="top"/>
                </w:tcPr>
                <w:p>
                  <w:pPr>
                    <w:jc w:val="center"/>
                    <w:rPr>
                      <w:sz w:val="21"/>
                      <w:szCs w:val="21"/>
                      <w:highlight w:val="none"/>
                      <w:vertAlign w:val="baseline"/>
                    </w:rPr>
                  </w:pPr>
                  <w:r>
                    <w:rPr>
                      <w:rFonts w:ascii="宋体" w:hAnsi="宋体" w:eastAsia="宋体" w:cs="Times New Roman"/>
                      <w:sz w:val="21"/>
                      <w:szCs w:val="21"/>
                      <w:highlight w:val="none"/>
                    </w:rPr>
                    <w:t>□</w:t>
                  </w:r>
                  <w:r>
                    <w:rPr>
                      <w:rFonts w:hint="eastAsia" w:ascii="宋体" w:hAnsi="宋体" w:eastAsia="宋体" w:cs="Times New Roman"/>
                      <w:sz w:val="21"/>
                      <w:szCs w:val="21"/>
                      <w:highlight w:val="none"/>
                      <w:lang w:eastAsia="zh-CN"/>
                    </w:rPr>
                    <w:t>是</w:t>
                  </w:r>
                  <w:r>
                    <w:rPr>
                      <w:rFonts w:hint="eastAsia" w:ascii="宋体" w:hAnsi="宋体" w:eastAsia="宋体" w:cs="Times New Roman"/>
                      <w:sz w:val="21"/>
                      <w:szCs w:val="21"/>
                      <w:highlight w:val="none"/>
                      <w:lang w:val="en-US" w:eastAsia="zh-CN"/>
                    </w:rPr>
                    <w:t xml:space="preserve">  </w:t>
                  </w:r>
                  <w:r>
                    <w:rPr>
                      <w:rFonts w:hint="eastAsia" w:ascii="宋体" w:hAnsi="宋体" w:eastAsia="宋体" w:cs="Times New Roman"/>
                      <w:sz w:val="21"/>
                      <w:szCs w:val="21"/>
                      <w:highlight w:val="none"/>
                      <w:lang w:eastAsia="zh-CN"/>
                    </w:rPr>
                    <w:sym w:font="Wingdings" w:char="00FE"/>
                  </w:r>
                  <w:r>
                    <w:rPr>
                      <w:rFonts w:hint="eastAsia" w:ascii="宋体" w:hAnsi="宋体" w:eastAsia="宋体" w:cs="Times New Roman"/>
                      <w:sz w:val="21"/>
                      <w:szCs w:val="21"/>
                      <w:highlight w:val="none"/>
                      <w:lang w:eastAsia="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834" w:type="dxa"/>
                  <w:vMerge w:val="continue"/>
                  <w:tcBorders>
                    <w:tl2br w:val="nil"/>
                    <w:tr2bl w:val="nil"/>
                  </w:tcBorders>
                  <w:vAlign w:val="top"/>
                </w:tcPr>
                <w:p>
                  <w:pPr>
                    <w:rPr>
                      <w:sz w:val="21"/>
                      <w:szCs w:val="21"/>
                      <w:highlight w:val="none"/>
                      <w:vertAlign w:val="baseline"/>
                    </w:rPr>
                  </w:pPr>
                </w:p>
              </w:tc>
              <w:tc>
                <w:tcPr>
                  <w:tcW w:w="4154" w:type="dxa"/>
                  <w:tcBorders>
                    <w:tl2br w:val="nil"/>
                    <w:tr2bl w:val="nil"/>
                  </w:tcBorders>
                  <w:vAlign w:val="top"/>
                </w:tcPr>
                <w:p>
                  <w:pPr>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地形数据分辨率</w:t>
                  </w:r>
                  <w:r>
                    <w:rPr>
                      <w:rFonts w:hint="eastAsia"/>
                      <w:sz w:val="21"/>
                      <w:szCs w:val="21"/>
                      <w:highlight w:val="none"/>
                      <w:vertAlign w:val="baseline"/>
                      <w:lang w:val="en-US" w:eastAsia="zh-CN"/>
                    </w:rPr>
                    <w:t>/m</w:t>
                  </w:r>
                </w:p>
              </w:tc>
              <w:tc>
                <w:tcPr>
                  <w:tcW w:w="2994" w:type="dxa"/>
                  <w:tcBorders>
                    <w:tl2br w:val="nil"/>
                    <w:tr2bl w:val="nil"/>
                  </w:tcBorders>
                  <w:vAlign w:val="top"/>
                </w:tcPr>
                <w:p>
                  <w:pPr>
                    <w:jc w:val="center"/>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834" w:type="dxa"/>
                  <w:vMerge w:val="restart"/>
                  <w:tcBorders>
                    <w:tl2br w:val="nil"/>
                    <w:tr2bl w:val="nil"/>
                  </w:tcBorders>
                  <w:vAlign w:val="top"/>
                </w:tcPr>
                <w:p>
                  <w:pPr>
                    <w:rPr>
                      <w:sz w:val="21"/>
                      <w:szCs w:val="21"/>
                      <w:highlight w:val="none"/>
                      <w:vertAlign w:val="baseline"/>
                    </w:rPr>
                  </w:pPr>
                  <w:r>
                    <w:rPr>
                      <w:rFonts w:hint="eastAsia"/>
                      <w:sz w:val="21"/>
                      <w:szCs w:val="21"/>
                      <w:highlight w:val="none"/>
                      <w:vertAlign w:val="baseline"/>
                      <w:lang w:eastAsia="zh-CN"/>
                    </w:rPr>
                    <w:t>是否考虑岸线熏烟</w:t>
                  </w:r>
                </w:p>
              </w:tc>
              <w:tc>
                <w:tcPr>
                  <w:tcW w:w="4154" w:type="dxa"/>
                  <w:tcBorders>
                    <w:tl2br w:val="nil"/>
                    <w:tr2bl w:val="nil"/>
                  </w:tcBorders>
                  <w:vAlign w:val="top"/>
                </w:tcPr>
                <w:p>
                  <w:pPr>
                    <w:jc w:val="center"/>
                    <w:rPr>
                      <w:rFonts w:hint="eastAsia" w:eastAsia="宋体"/>
                      <w:sz w:val="21"/>
                      <w:szCs w:val="21"/>
                      <w:highlight w:val="none"/>
                      <w:vertAlign w:val="baseline"/>
                      <w:lang w:eastAsia="zh-CN"/>
                    </w:rPr>
                  </w:pPr>
                  <w:r>
                    <w:rPr>
                      <w:rFonts w:hint="eastAsia"/>
                      <w:sz w:val="21"/>
                      <w:szCs w:val="21"/>
                      <w:highlight w:val="none"/>
                      <w:vertAlign w:val="baseline"/>
                      <w:lang w:eastAsia="zh-CN"/>
                    </w:rPr>
                    <w:t>考虑岸线熏烟</w:t>
                  </w:r>
                </w:p>
              </w:tc>
              <w:tc>
                <w:tcPr>
                  <w:tcW w:w="2994" w:type="dxa"/>
                  <w:tcBorders>
                    <w:tl2br w:val="nil"/>
                    <w:tr2bl w:val="nil"/>
                  </w:tcBorders>
                  <w:vAlign w:val="top"/>
                </w:tcPr>
                <w:p>
                  <w:pPr>
                    <w:jc w:val="center"/>
                    <w:rPr>
                      <w:sz w:val="21"/>
                      <w:szCs w:val="21"/>
                      <w:highlight w:val="none"/>
                      <w:vertAlign w:val="baseline"/>
                    </w:rPr>
                  </w:pPr>
                  <w:r>
                    <w:rPr>
                      <w:rFonts w:ascii="宋体" w:hAnsi="宋体" w:eastAsia="宋体" w:cs="Times New Roman"/>
                      <w:sz w:val="21"/>
                      <w:szCs w:val="21"/>
                      <w:highlight w:val="none"/>
                    </w:rPr>
                    <w:t>□</w:t>
                  </w:r>
                  <w:r>
                    <w:rPr>
                      <w:rFonts w:hint="eastAsia" w:ascii="宋体" w:hAnsi="宋体" w:eastAsia="宋体" w:cs="Times New Roman"/>
                      <w:sz w:val="21"/>
                      <w:szCs w:val="21"/>
                      <w:highlight w:val="none"/>
                      <w:lang w:eastAsia="zh-CN"/>
                    </w:rPr>
                    <w:t>是</w:t>
                  </w:r>
                  <w:r>
                    <w:rPr>
                      <w:rFonts w:hint="eastAsia" w:ascii="宋体" w:hAnsi="宋体" w:eastAsia="宋体" w:cs="Times New Roman"/>
                      <w:sz w:val="21"/>
                      <w:szCs w:val="21"/>
                      <w:highlight w:val="none"/>
                      <w:lang w:val="en-US" w:eastAsia="zh-CN"/>
                    </w:rPr>
                    <w:t xml:space="preserve">  </w:t>
                  </w:r>
                  <w:r>
                    <w:rPr>
                      <w:rFonts w:hint="eastAsia" w:ascii="宋体" w:hAnsi="宋体" w:eastAsia="宋体" w:cs="Times New Roman"/>
                      <w:sz w:val="21"/>
                      <w:szCs w:val="21"/>
                      <w:highlight w:val="none"/>
                      <w:lang w:eastAsia="zh-CN"/>
                    </w:rPr>
                    <w:sym w:font="Wingdings" w:char="00FE"/>
                  </w:r>
                  <w:r>
                    <w:rPr>
                      <w:rFonts w:hint="eastAsia" w:ascii="宋体" w:hAnsi="宋体" w:eastAsia="宋体" w:cs="Times New Roman"/>
                      <w:sz w:val="21"/>
                      <w:szCs w:val="21"/>
                      <w:highlight w:val="none"/>
                      <w:lang w:eastAsia="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834" w:type="dxa"/>
                  <w:vMerge w:val="continue"/>
                  <w:tcBorders>
                    <w:tl2br w:val="nil"/>
                    <w:tr2bl w:val="nil"/>
                  </w:tcBorders>
                  <w:vAlign w:val="top"/>
                </w:tcPr>
                <w:p>
                  <w:pPr>
                    <w:rPr>
                      <w:sz w:val="21"/>
                      <w:szCs w:val="21"/>
                      <w:highlight w:val="none"/>
                      <w:vertAlign w:val="baseline"/>
                    </w:rPr>
                  </w:pPr>
                </w:p>
              </w:tc>
              <w:tc>
                <w:tcPr>
                  <w:tcW w:w="4154" w:type="dxa"/>
                  <w:tcBorders>
                    <w:tl2br w:val="nil"/>
                    <w:tr2bl w:val="nil"/>
                  </w:tcBorders>
                  <w:vAlign w:val="top"/>
                </w:tcPr>
                <w:p>
                  <w:pPr>
                    <w:jc w:val="center"/>
                    <w:rPr>
                      <w:rFonts w:hint="eastAsia"/>
                      <w:sz w:val="21"/>
                      <w:szCs w:val="21"/>
                      <w:highlight w:val="none"/>
                      <w:vertAlign w:val="baseline"/>
                      <w:lang w:eastAsia="zh-CN"/>
                    </w:rPr>
                  </w:pPr>
                  <w:r>
                    <w:rPr>
                      <w:rFonts w:hint="eastAsia"/>
                      <w:sz w:val="21"/>
                      <w:szCs w:val="21"/>
                      <w:highlight w:val="none"/>
                      <w:vertAlign w:val="baseline"/>
                      <w:lang w:eastAsia="zh-CN"/>
                    </w:rPr>
                    <w:t>岸线距离</w:t>
                  </w:r>
                  <w:r>
                    <w:rPr>
                      <w:rFonts w:hint="eastAsia"/>
                      <w:sz w:val="21"/>
                      <w:szCs w:val="21"/>
                      <w:highlight w:val="none"/>
                      <w:vertAlign w:val="baseline"/>
                      <w:lang w:val="en-US" w:eastAsia="zh-CN"/>
                    </w:rPr>
                    <w:t>/km</w:t>
                  </w:r>
                </w:p>
              </w:tc>
              <w:tc>
                <w:tcPr>
                  <w:tcW w:w="2994" w:type="dxa"/>
                  <w:tcBorders>
                    <w:tl2br w:val="nil"/>
                    <w:tr2bl w:val="nil"/>
                  </w:tcBorders>
                  <w:vAlign w:val="top"/>
                </w:tcPr>
                <w:p>
                  <w:pPr>
                    <w:jc w:val="center"/>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834" w:type="dxa"/>
                  <w:vMerge w:val="continue"/>
                  <w:tcBorders>
                    <w:tl2br w:val="nil"/>
                    <w:tr2bl w:val="nil"/>
                  </w:tcBorders>
                  <w:vAlign w:val="top"/>
                </w:tcPr>
                <w:p>
                  <w:pPr>
                    <w:rPr>
                      <w:sz w:val="21"/>
                      <w:szCs w:val="21"/>
                      <w:highlight w:val="none"/>
                      <w:vertAlign w:val="baseline"/>
                    </w:rPr>
                  </w:pPr>
                </w:p>
              </w:tc>
              <w:tc>
                <w:tcPr>
                  <w:tcW w:w="4154" w:type="dxa"/>
                  <w:tcBorders>
                    <w:tl2br w:val="nil"/>
                    <w:tr2bl w:val="nil"/>
                  </w:tcBorders>
                  <w:vAlign w:val="top"/>
                </w:tcPr>
                <w:p>
                  <w:pPr>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岸线方向/°</w:t>
                  </w:r>
                </w:p>
              </w:tc>
              <w:tc>
                <w:tcPr>
                  <w:tcW w:w="2994" w:type="dxa"/>
                  <w:tcBorders>
                    <w:tl2br w:val="nil"/>
                    <w:tr2bl w:val="nil"/>
                  </w:tcBorders>
                  <w:vAlign w:val="top"/>
                </w:tcPr>
                <w:p>
                  <w:pPr>
                    <w:jc w:val="center"/>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w:t>
                  </w:r>
                </w:p>
              </w:tc>
            </w:tr>
          </w:tbl>
          <w:p>
            <w:pPr>
              <w:spacing w:line="360" w:lineRule="auto"/>
              <w:ind w:right="105" w:rightChars="50" w:firstLine="480" w:firstLineChars="200"/>
              <w:rPr>
                <w:bCs/>
                <w:sz w:val="24"/>
                <w:szCs w:val="24"/>
                <w:highlight w:val="none"/>
              </w:rPr>
            </w:pPr>
            <w:r>
              <w:rPr>
                <w:rFonts w:hint="eastAsia"/>
                <w:bCs/>
                <w:sz w:val="24"/>
                <w:szCs w:val="24"/>
                <w:highlight w:val="none"/>
                <w:lang w:eastAsia="zh-CN"/>
              </w:rPr>
              <w:t>本项目涉及点源（有组织排放）、面源（无组织排放），则需要分别确定评价等级。</w:t>
            </w:r>
          </w:p>
          <w:p>
            <w:pPr>
              <w:spacing w:line="360" w:lineRule="auto"/>
              <w:ind w:right="105" w:rightChars="50" w:firstLine="240" w:firstLineChars="100"/>
              <w:rPr>
                <w:bCs/>
                <w:sz w:val="24"/>
                <w:szCs w:val="24"/>
                <w:highlight w:val="none"/>
              </w:rPr>
            </w:pPr>
            <w:r>
              <w:rPr>
                <w:rFonts w:hint="eastAsia"/>
                <w:bCs/>
                <w:sz w:val="24"/>
                <w:szCs w:val="24"/>
                <w:highlight w:val="none"/>
                <w:lang w:val="en-US" w:eastAsia="zh-CN"/>
              </w:rPr>
              <w:t>（1）</w:t>
            </w:r>
            <w:r>
              <w:rPr>
                <w:rFonts w:hint="eastAsia"/>
                <w:bCs/>
                <w:sz w:val="24"/>
                <w:szCs w:val="24"/>
                <w:highlight w:val="none"/>
                <w:lang w:eastAsia="zh-CN"/>
              </w:rPr>
              <w:t>有组织排放</w:t>
            </w:r>
          </w:p>
          <w:p>
            <w:pPr>
              <w:spacing w:line="360" w:lineRule="auto"/>
              <w:ind w:firstLine="480" w:firstLineChars="200"/>
              <w:rPr>
                <w:bCs/>
                <w:sz w:val="24"/>
                <w:szCs w:val="24"/>
                <w:highlight w:val="none"/>
              </w:rPr>
            </w:pPr>
            <w:r>
              <w:rPr>
                <w:bCs/>
                <w:sz w:val="24"/>
                <w:szCs w:val="24"/>
                <w:highlight w:val="none"/>
              </w:rPr>
              <w:t>预测因子：</w:t>
            </w:r>
          </w:p>
          <w:p>
            <w:pPr>
              <w:spacing w:line="360" w:lineRule="auto"/>
              <w:ind w:firstLine="480"/>
              <w:rPr>
                <w:bCs/>
                <w:sz w:val="24"/>
                <w:szCs w:val="24"/>
                <w:highlight w:val="none"/>
              </w:rPr>
            </w:pPr>
            <w:r>
              <w:rPr>
                <w:bCs/>
                <w:sz w:val="24"/>
                <w:szCs w:val="24"/>
                <w:highlight w:val="none"/>
              </w:rPr>
              <w:t>根据本项目有组织大气污染因子的产生特征，确定本项目的大气评价因子为</w:t>
            </w:r>
            <w:r>
              <w:rPr>
                <w:rFonts w:hint="eastAsia"/>
                <w:bCs/>
                <w:sz w:val="24"/>
                <w:szCs w:val="24"/>
                <w:highlight w:val="none"/>
                <w:lang w:val="en-US" w:eastAsia="zh-CN"/>
              </w:rPr>
              <w:t>SO</w:t>
            </w:r>
            <w:r>
              <w:rPr>
                <w:rFonts w:hint="eastAsia"/>
                <w:bCs/>
                <w:sz w:val="24"/>
                <w:szCs w:val="24"/>
                <w:highlight w:val="none"/>
                <w:vertAlign w:val="subscript"/>
                <w:lang w:val="en-US" w:eastAsia="zh-CN"/>
              </w:rPr>
              <w:t>2</w:t>
            </w:r>
            <w:r>
              <w:rPr>
                <w:rFonts w:hint="eastAsia"/>
                <w:bCs/>
                <w:sz w:val="24"/>
                <w:szCs w:val="24"/>
                <w:highlight w:val="none"/>
                <w:lang w:val="en-US" w:eastAsia="zh-CN"/>
              </w:rPr>
              <w:t>、NO</w:t>
            </w:r>
            <w:r>
              <w:rPr>
                <w:rFonts w:hint="eastAsia"/>
                <w:bCs/>
                <w:sz w:val="24"/>
                <w:szCs w:val="24"/>
                <w:highlight w:val="none"/>
                <w:vertAlign w:val="subscript"/>
                <w:lang w:val="en-US" w:eastAsia="zh-CN"/>
              </w:rPr>
              <w:t>X</w:t>
            </w:r>
            <w:r>
              <w:rPr>
                <w:rFonts w:hint="eastAsia"/>
                <w:bCs/>
                <w:sz w:val="24"/>
                <w:szCs w:val="24"/>
                <w:highlight w:val="none"/>
                <w:lang w:val="en-US" w:eastAsia="zh-CN"/>
              </w:rPr>
              <w:t>、</w:t>
            </w:r>
            <w:r>
              <w:rPr>
                <w:rFonts w:hint="eastAsia"/>
                <w:bCs/>
                <w:sz w:val="24"/>
                <w:szCs w:val="24"/>
                <w:highlight w:val="none"/>
              </w:rPr>
              <w:t>颗粒物</w:t>
            </w:r>
            <w:r>
              <w:rPr>
                <w:bCs/>
                <w:sz w:val="24"/>
                <w:szCs w:val="24"/>
                <w:highlight w:val="none"/>
              </w:rPr>
              <w:t>。</w:t>
            </w:r>
          </w:p>
          <w:p>
            <w:pPr>
              <w:spacing w:line="360" w:lineRule="auto"/>
              <w:ind w:firstLine="480" w:firstLineChars="200"/>
              <w:rPr>
                <w:bCs/>
                <w:sz w:val="24"/>
                <w:szCs w:val="24"/>
                <w:highlight w:val="none"/>
              </w:rPr>
            </w:pPr>
            <w:r>
              <w:rPr>
                <w:bCs/>
                <w:sz w:val="24"/>
                <w:szCs w:val="24"/>
                <w:highlight w:val="none"/>
              </w:rPr>
              <w:t>评价标准：</w:t>
            </w:r>
          </w:p>
          <w:p>
            <w:pPr>
              <w:autoSpaceDE w:val="0"/>
              <w:autoSpaceDN w:val="0"/>
              <w:adjustRightInd w:val="0"/>
              <w:spacing w:line="360" w:lineRule="auto"/>
              <w:ind w:firstLine="480" w:firstLineChars="200"/>
              <w:rPr>
                <w:bCs/>
                <w:sz w:val="24"/>
                <w:szCs w:val="24"/>
                <w:highlight w:val="none"/>
              </w:rPr>
            </w:pPr>
            <w:r>
              <w:rPr>
                <w:rFonts w:hint="default" w:ascii="Times New Roman" w:hAnsi="Times New Roman" w:eastAsia="宋体" w:cs="Times New Roman"/>
                <w:sz w:val="24"/>
                <w:szCs w:val="24"/>
                <w:highlight w:val="none"/>
              </w:rPr>
              <w:t>SO</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为</w:t>
            </w:r>
            <w:r>
              <w:rPr>
                <w:rFonts w:hint="default" w:ascii="Times New Roman" w:hAnsi="Times New Roman" w:eastAsia="宋体" w:cs="Times New Roman"/>
                <w:color w:val="000000"/>
                <w:sz w:val="24"/>
                <w:szCs w:val="24"/>
                <w:highlight w:val="none"/>
              </w:rPr>
              <w:t>《环境空气质量标准》（GB3095-2012）中二级标准中</w:t>
            </w:r>
            <w:r>
              <w:rPr>
                <w:rFonts w:hint="default" w:ascii="Times New Roman" w:hAnsi="Times New Roman" w:eastAsia="宋体" w:cs="Times New Roman"/>
                <w:sz w:val="24"/>
                <w:szCs w:val="24"/>
                <w:highlight w:val="none"/>
              </w:rPr>
              <w:t>SO</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小时值500μg/m</w:t>
            </w:r>
            <w:r>
              <w:rPr>
                <w:rFonts w:hint="default" w:ascii="Times New Roman" w:hAnsi="Times New Roman" w:eastAsia="宋体" w:cs="Times New Roman"/>
                <w:sz w:val="24"/>
                <w:szCs w:val="24"/>
                <w:highlight w:val="none"/>
                <w:vertAlign w:val="superscript"/>
              </w:rPr>
              <w:t>3</w:t>
            </w:r>
            <w:r>
              <w:rPr>
                <w:rFonts w:hint="eastAsia"/>
                <w:bCs/>
                <w:sz w:val="24"/>
                <w:szCs w:val="24"/>
                <w:highlight w:val="none"/>
                <w:lang w:eastAsia="zh-CN"/>
              </w:rPr>
              <w:t>；</w:t>
            </w:r>
            <w:r>
              <w:rPr>
                <w:rFonts w:hint="default" w:ascii="Times New Roman" w:hAnsi="Times New Roman" w:eastAsia="宋体" w:cs="Times New Roman"/>
                <w:sz w:val="24"/>
                <w:szCs w:val="24"/>
                <w:highlight w:val="none"/>
              </w:rPr>
              <w:t>NO</w:t>
            </w:r>
            <w:r>
              <w:rPr>
                <w:rFonts w:hint="default" w:ascii="Times New Roman" w:hAnsi="Times New Roman" w:eastAsia="宋体" w:cs="Times New Roman"/>
                <w:sz w:val="24"/>
                <w:szCs w:val="24"/>
                <w:highlight w:val="none"/>
                <w:vertAlign w:val="subscript"/>
              </w:rPr>
              <w:t>x</w:t>
            </w:r>
            <w:r>
              <w:rPr>
                <w:rFonts w:hint="default" w:ascii="Times New Roman" w:hAnsi="Times New Roman" w:eastAsia="宋体" w:cs="Times New Roman"/>
                <w:sz w:val="24"/>
                <w:szCs w:val="24"/>
                <w:highlight w:val="none"/>
              </w:rPr>
              <w:t>为</w:t>
            </w:r>
            <w:r>
              <w:rPr>
                <w:rFonts w:hint="default" w:ascii="Times New Roman" w:hAnsi="Times New Roman" w:eastAsia="宋体" w:cs="Times New Roman"/>
                <w:color w:val="000000"/>
                <w:sz w:val="24"/>
                <w:szCs w:val="24"/>
                <w:highlight w:val="none"/>
              </w:rPr>
              <w:t>《环境空气质量标准》（GB3095-2012）中二级标准中NO</w:t>
            </w:r>
            <w:r>
              <w:rPr>
                <w:rFonts w:hint="default" w:ascii="Times New Roman" w:hAnsi="Times New Roman" w:eastAsia="宋体" w:cs="Times New Roman"/>
                <w:color w:val="000000"/>
                <w:sz w:val="24"/>
                <w:szCs w:val="24"/>
                <w:highlight w:val="none"/>
                <w:vertAlign w:val="subscript"/>
              </w:rPr>
              <w:t>2</w:t>
            </w:r>
            <w:r>
              <w:rPr>
                <w:rFonts w:hint="default" w:ascii="Times New Roman" w:hAnsi="Times New Roman" w:eastAsia="宋体" w:cs="Times New Roman"/>
                <w:sz w:val="24"/>
                <w:szCs w:val="24"/>
                <w:highlight w:val="none"/>
              </w:rPr>
              <w:t>小时值200μg/m</w:t>
            </w:r>
            <w:r>
              <w:rPr>
                <w:rFonts w:hint="default" w:ascii="Times New Roman" w:hAnsi="Times New Roman" w:eastAsia="宋体" w:cs="Times New Roman"/>
                <w:sz w:val="24"/>
                <w:szCs w:val="24"/>
                <w:highlight w:val="none"/>
                <w:vertAlign w:val="superscript"/>
              </w:rPr>
              <w:t>3</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color w:val="000000"/>
                <w:sz w:val="24"/>
                <w:szCs w:val="24"/>
                <w:highlight w:val="none"/>
              </w:rPr>
              <w:t>颗粒物小时浓度限值质量标准参照《环境空气质量标准》（GB3095-2012）中二级标准中颗粒物（PM</w:t>
            </w:r>
            <w:r>
              <w:rPr>
                <w:rFonts w:hint="default" w:ascii="Times New Roman" w:hAnsi="Times New Roman" w:eastAsia="宋体" w:cs="Times New Roman"/>
                <w:color w:val="000000"/>
                <w:sz w:val="24"/>
                <w:szCs w:val="24"/>
                <w:highlight w:val="none"/>
                <w:vertAlign w:val="subscript"/>
              </w:rPr>
              <w:t>10</w:t>
            </w:r>
            <w:r>
              <w:rPr>
                <w:rFonts w:hint="default" w:ascii="Times New Roman" w:hAnsi="Times New Roman" w:eastAsia="宋体" w:cs="Times New Roman"/>
                <w:color w:val="000000"/>
                <w:sz w:val="24"/>
                <w:szCs w:val="24"/>
                <w:highlight w:val="none"/>
              </w:rPr>
              <w:t>）日均浓度限值的3倍，即为0.45mg/m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w:t>
            </w:r>
          </w:p>
          <w:p>
            <w:pPr>
              <w:spacing w:line="360" w:lineRule="auto"/>
              <w:ind w:firstLine="480" w:firstLineChars="200"/>
              <w:rPr>
                <w:bCs/>
                <w:sz w:val="24"/>
                <w:szCs w:val="24"/>
                <w:highlight w:val="none"/>
              </w:rPr>
            </w:pPr>
            <w:r>
              <w:rPr>
                <w:bCs/>
                <w:sz w:val="24"/>
                <w:szCs w:val="24"/>
                <w:highlight w:val="none"/>
              </w:rPr>
              <w:t>预测结果及影响评价：</w:t>
            </w:r>
          </w:p>
          <w:p>
            <w:pPr>
              <w:spacing w:line="360" w:lineRule="auto"/>
              <w:ind w:firstLine="480" w:firstLineChars="200"/>
              <w:rPr>
                <w:bCs/>
                <w:sz w:val="24"/>
                <w:szCs w:val="24"/>
                <w:highlight w:val="none"/>
              </w:rPr>
            </w:pPr>
            <w:r>
              <w:rPr>
                <w:bCs/>
                <w:sz w:val="24"/>
                <w:szCs w:val="24"/>
                <w:highlight w:val="none"/>
              </w:rPr>
              <w:t>考虑到本次环评评价区域地处农村平原地带，依据《环境影响评价技术导则 大气环境》（HJ/2.2-20</w:t>
            </w:r>
            <w:r>
              <w:rPr>
                <w:rFonts w:hint="eastAsia"/>
                <w:bCs/>
                <w:sz w:val="24"/>
                <w:szCs w:val="24"/>
                <w:highlight w:val="none"/>
                <w:lang w:val="en-US" w:eastAsia="zh-CN"/>
              </w:rPr>
              <w:t>1</w:t>
            </w:r>
            <w:r>
              <w:rPr>
                <w:bCs/>
                <w:sz w:val="24"/>
                <w:szCs w:val="24"/>
                <w:highlight w:val="none"/>
              </w:rPr>
              <w:t>8）推荐的估算模式</w:t>
            </w:r>
            <w:r>
              <w:rPr>
                <w:rFonts w:hint="eastAsia"/>
                <w:bCs/>
                <w:sz w:val="24"/>
                <w:szCs w:val="24"/>
                <w:highlight w:val="none"/>
                <w:lang w:val="en-US" w:eastAsia="zh-CN"/>
              </w:rPr>
              <w:t>AERSCREEN</w:t>
            </w:r>
            <w:r>
              <w:rPr>
                <w:bCs/>
                <w:sz w:val="24"/>
                <w:szCs w:val="24"/>
                <w:highlight w:val="none"/>
              </w:rPr>
              <w:t>计算，各计算参数为：</w:t>
            </w:r>
          </w:p>
          <w:p>
            <w:pPr>
              <w:spacing w:line="520" w:lineRule="exact"/>
              <w:jc w:val="center"/>
              <w:rPr>
                <w:bCs/>
                <w:highlight w:val="none"/>
                <w:lang w:val="en-GB"/>
              </w:rPr>
            </w:pPr>
            <w:r>
              <w:rPr>
                <w:bCs/>
                <w:highlight w:val="none"/>
                <w:lang w:val="en-GB"/>
              </w:rPr>
              <w:t>表</w:t>
            </w:r>
            <w:r>
              <w:rPr>
                <w:rFonts w:hint="eastAsia"/>
                <w:bCs/>
                <w:highlight w:val="none"/>
                <w:lang w:val="en-US" w:eastAsia="zh-CN"/>
              </w:rPr>
              <w:t>35</w:t>
            </w:r>
            <w:r>
              <w:rPr>
                <w:bCs/>
                <w:highlight w:val="none"/>
                <w:lang w:val="en-GB"/>
              </w:rPr>
              <w:t xml:space="preserve">  </w:t>
            </w:r>
            <w:r>
              <w:rPr>
                <w:rFonts w:hint="eastAsia"/>
                <w:bCs/>
                <w:highlight w:val="none"/>
                <w:lang w:val="en-GB"/>
              </w:rPr>
              <w:t>有组织</w:t>
            </w:r>
            <w:r>
              <w:rPr>
                <w:bCs/>
                <w:highlight w:val="none"/>
                <w:lang w:val="en-GB"/>
              </w:rPr>
              <w:t>计算参数一览表</w:t>
            </w:r>
          </w:p>
          <w:tbl>
            <w:tblPr>
              <w:tblStyle w:val="28"/>
              <w:tblW w:w="8982" w:type="dxa"/>
              <w:jc w:val="center"/>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79"/>
              <w:gridCol w:w="1045"/>
              <w:gridCol w:w="894"/>
              <w:gridCol w:w="1099"/>
              <w:gridCol w:w="1415"/>
              <w:gridCol w:w="1106"/>
              <w:gridCol w:w="706"/>
              <w:gridCol w:w="1072"/>
              <w:gridCol w:w="10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78" w:hRule="atLeast"/>
                <w:jc w:val="center"/>
              </w:trPr>
              <w:tc>
                <w:tcPr>
                  <w:tcW w:w="579" w:type="dxa"/>
                  <w:tcBorders>
                    <w:tl2br w:val="nil"/>
                    <w:tr2bl w:val="nil"/>
                  </w:tcBorders>
                  <w:shd w:val="clear" w:color="auto" w:fill="F1F1F1"/>
                  <w:vAlign w:val="center"/>
                </w:tcPr>
                <w:p>
                  <w:pPr>
                    <w:adjustRightInd w:val="0"/>
                    <w:snapToGrid w:val="0"/>
                    <w:ind w:left="-105" w:leftChars="-50" w:right="-105" w:rightChars="-50"/>
                    <w:jc w:val="center"/>
                    <w:rPr>
                      <w:bCs/>
                      <w:sz w:val="21"/>
                      <w:szCs w:val="21"/>
                      <w:highlight w:val="none"/>
                    </w:rPr>
                  </w:pPr>
                  <w:r>
                    <w:rPr>
                      <w:bCs/>
                      <w:sz w:val="21"/>
                      <w:szCs w:val="21"/>
                      <w:highlight w:val="none"/>
                    </w:rPr>
                    <w:t>排气筒</w:t>
                  </w:r>
                </w:p>
              </w:tc>
              <w:tc>
                <w:tcPr>
                  <w:tcW w:w="1045" w:type="dxa"/>
                  <w:tcBorders>
                    <w:tl2br w:val="nil"/>
                    <w:tr2bl w:val="nil"/>
                  </w:tcBorders>
                  <w:shd w:val="clear" w:color="auto" w:fill="F1F1F1"/>
                  <w:vAlign w:val="center"/>
                </w:tcPr>
                <w:p>
                  <w:pPr>
                    <w:adjustRightInd w:val="0"/>
                    <w:snapToGrid w:val="0"/>
                    <w:jc w:val="center"/>
                    <w:rPr>
                      <w:bCs/>
                      <w:sz w:val="21"/>
                      <w:szCs w:val="21"/>
                      <w:highlight w:val="none"/>
                    </w:rPr>
                  </w:pPr>
                  <w:r>
                    <w:rPr>
                      <w:bCs/>
                      <w:sz w:val="21"/>
                      <w:szCs w:val="21"/>
                      <w:highlight w:val="none"/>
                    </w:rPr>
                    <w:t>污染物类型</w:t>
                  </w:r>
                </w:p>
              </w:tc>
              <w:tc>
                <w:tcPr>
                  <w:tcW w:w="894" w:type="dxa"/>
                  <w:tcBorders>
                    <w:tl2br w:val="nil"/>
                    <w:tr2bl w:val="nil"/>
                  </w:tcBorders>
                  <w:shd w:val="clear" w:color="auto" w:fill="F1F1F1"/>
                  <w:vAlign w:val="center"/>
                </w:tcPr>
                <w:p>
                  <w:pPr>
                    <w:adjustRightInd w:val="0"/>
                    <w:snapToGrid w:val="0"/>
                    <w:jc w:val="center"/>
                    <w:rPr>
                      <w:bCs/>
                      <w:sz w:val="21"/>
                      <w:szCs w:val="21"/>
                      <w:highlight w:val="none"/>
                    </w:rPr>
                  </w:pPr>
                  <w:r>
                    <w:rPr>
                      <w:bCs/>
                      <w:sz w:val="21"/>
                      <w:szCs w:val="21"/>
                      <w:highlight w:val="none"/>
                    </w:rPr>
                    <w:t>排放类型</w:t>
                  </w:r>
                </w:p>
              </w:tc>
              <w:tc>
                <w:tcPr>
                  <w:tcW w:w="1099" w:type="dxa"/>
                  <w:tcBorders>
                    <w:tl2br w:val="nil"/>
                    <w:tr2bl w:val="nil"/>
                  </w:tcBorders>
                  <w:shd w:val="clear" w:color="auto" w:fill="F1F1F1"/>
                  <w:vAlign w:val="top"/>
                </w:tcPr>
                <w:p>
                  <w:pPr>
                    <w:adjustRightInd w:val="0"/>
                    <w:snapToGrid w:val="0"/>
                    <w:jc w:val="center"/>
                    <w:rPr>
                      <w:highlight w:val="none"/>
                    </w:rPr>
                  </w:pPr>
                  <w:r>
                    <w:rPr>
                      <w:bCs/>
                      <w:sz w:val="21"/>
                      <w:szCs w:val="21"/>
                      <w:highlight w:val="none"/>
                    </w:rPr>
                    <w:t>排气筒高度</w:t>
                  </w:r>
                </w:p>
              </w:tc>
              <w:tc>
                <w:tcPr>
                  <w:tcW w:w="1415" w:type="dxa"/>
                  <w:tcBorders>
                    <w:tl2br w:val="nil"/>
                    <w:tr2bl w:val="nil"/>
                  </w:tcBorders>
                  <w:shd w:val="clear" w:color="auto" w:fill="F1F1F1"/>
                  <w:vAlign w:val="top"/>
                </w:tcPr>
                <w:p>
                  <w:pPr>
                    <w:adjustRightInd w:val="0"/>
                    <w:snapToGrid w:val="0"/>
                    <w:jc w:val="center"/>
                    <w:rPr>
                      <w:highlight w:val="none"/>
                    </w:rPr>
                  </w:pPr>
                  <w:r>
                    <w:rPr>
                      <w:bCs/>
                      <w:sz w:val="21"/>
                      <w:szCs w:val="21"/>
                      <w:highlight w:val="none"/>
                    </w:rPr>
                    <w:t>排气筒出口内径</w:t>
                  </w:r>
                </w:p>
              </w:tc>
              <w:tc>
                <w:tcPr>
                  <w:tcW w:w="1106" w:type="dxa"/>
                  <w:tcBorders>
                    <w:tl2br w:val="nil"/>
                    <w:tr2bl w:val="nil"/>
                  </w:tcBorders>
                  <w:shd w:val="clear" w:color="auto" w:fill="F1F1F1"/>
                  <w:vAlign w:val="center"/>
                </w:tcPr>
                <w:p>
                  <w:pPr>
                    <w:adjustRightInd w:val="0"/>
                    <w:snapToGrid w:val="0"/>
                    <w:jc w:val="center"/>
                    <w:rPr>
                      <w:rFonts w:hint="eastAsia" w:eastAsia="宋体"/>
                      <w:bCs/>
                      <w:sz w:val="21"/>
                      <w:szCs w:val="21"/>
                      <w:highlight w:val="none"/>
                      <w:lang w:eastAsia="zh-CN"/>
                    </w:rPr>
                  </w:pPr>
                  <w:r>
                    <w:rPr>
                      <w:rFonts w:hint="eastAsia"/>
                      <w:bCs/>
                      <w:sz w:val="21"/>
                      <w:szCs w:val="21"/>
                      <w:highlight w:val="none"/>
                      <w:lang w:eastAsia="zh-CN"/>
                    </w:rPr>
                    <w:t>烟气流速</w:t>
                  </w:r>
                  <w:r>
                    <w:rPr>
                      <w:rFonts w:hint="eastAsia"/>
                      <w:bCs/>
                      <w:sz w:val="21"/>
                      <w:szCs w:val="21"/>
                      <w:highlight w:val="none"/>
                      <w:lang w:val="en-US" w:eastAsia="zh-CN"/>
                    </w:rPr>
                    <w:t>/(m/s)</w:t>
                  </w:r>
                </w:p>
              </w:tc>
              <w:tc>
                <w:tcPr>
                  <w:tcW w:w="706" w:type="dxa"/>
                  <w:tcBorders>
                    <w:tl2br w:val="nil"/>
                    <w:tr2bl w:val="nil"/>
                  </w:tcBorders>
                  <w:shd w:val="clear" w:color="auto" w:fill="F1F1F1"/>
                  <w:vAlign w:val="center"/>
                </w:tcPr>
                <w:p>
                  <w:pPr>
                    <w:adjustRightInd w:val="0"/>
                    <w:snapToGrid w:val="0"/>
                    <w:ind w:left="-105" w:leftChars="-50" w:right="-105" w:rightChars="-50"/>
                    <w:jc w:val="center"/>
                    <w:rPr>
                      <w:bCs/>
                      <w:sz w:val="21"/>
                      <w:szCs w:val="21"/>
                      <w:highlight w:val="none"/>
                    </w:rPr>
                  </w:pPr>
                  <w:r>
                    <w:rPr>
                      <w:rFonts w:hint="eastAsia"/>
                      <w:bCs/>
                      <w:sz w:val="21"/>
                      <w:szCs w:val="21"/>
                      <w:highlight w:val="none"/>
                      <w:lang w:eastAsia="zh-CN"/>
                    </w:rPr>
                    <w:t>烟</w:t>
                  </w:r>
                  <w:r>
                    <w:rPr>
                      <w:bCs/>
                      <w:sz w:val="21"/>
                      <w:szCs w:val="21"/>
                      <w:highlight w:val="none"/>
                    </w:rPr>
                    <w:t>气</w:t>
                  </w:r>
                </w:p>
                <w:p>
                  <w:pPr>
                    <w:adjustRightInd w:val="0"/>
                    <w:snapToGrid w:val="0"/>
                    <w:ind w:left="-105" w:leftChars="-50" w:right="-105" w:rightChars="-50"/>
                    <w:jc w:val="center"/>
                    <w:rPr>
                      <w:highlight w:val="none"/>
                    </w:rPr>
                  </w:pPr>
                  <w:r>
                    <w:rPr>
                      <w:bCs/>
                      <w:sz w:val="21"/>
                      <w:szCs w:val="21"/>
                      <w:highlight w:val="none"/>
                    </w:rPr>
                    <w:t>温度</w:t>
                  </w:r>
                </w:p>
              </w:tc>
              <w:tc>
                <w:tcPr>
                  <w:tcW w:w="1072" w:type="dxa"/>
                  <w:tcBorders>
                    <w:tl2br w:val="nil"/>
                    <w:tr2bl w:val="nil"/>
                  </w:tcBorders>
                  <w:shd w:val="clear" w:color="auto" w:fill="F1F1F1"/>
                  <w:vAlign w:val="center"/>
                </w:tcPr>
                <w:p>
                  <w:pPr>
                    <w:adjustRightInd w:val="0"/>
                    <w:snapToGrid w:val="0"/>
                    <w:jc w:val="center"/>
                    <w:rPr>
                      <w:bCs/>
                      <w:sz w:val="21"/>
                      <w:szCs w:val="21"/>
                      <w:highlight w:val="none"/>
                    </w:rPr>
                  </w:pPr>
                  <w:r>
                    <w:rPr>
                      <w:bCs/>
                      <w:sz w:val="21"/>
                      <w:szCs w:val="21"/>
                      <w:highlight w:val="none"/>
                    </w:rPr>
                    <w:t>排放速率kg/h</w:t>
                  </w:r>
                </w:p>
              </w:tc>
              <w:tc>
                <w:tcPr>
                  <w:tcW w:w="1066" w:type="dxa"/>
                  <w:tcBorders>
                    <w:tl2br w:val="nil"/>
                    <w:tr2bl w:val="nil"/>
                  </w:tcBorders>
                  <w:shd w:val="clear" w:color="auto" w:fill="F1F1F1"/>
                  <w:vAlign w:val="center"/>
                </w:tcPr>
                <w:p>
                  <w:pPr>
                    <w:adjustRightInd w:val="0"/>
                    <w:snapToGrid w:val="0"/>
                    <w:jc w:val="center"/>
                    <w:rPr>
                      <w:rFonts w:hint="eastAsia" w:eastAsia="宋体"/>
                      <w:bCs/>
                      <w:sz w:val="21"/>
                      <w:szCs w:val="21"/>
                      <w:highlight w:val="none"/>
                      <w:lang w:val="en-US" w:eastAsia="zh-CN"/>
                    </w:rPr>
                  </w:pPr>
                  <w:r>
                    <w:rPr>
                      <w:rFonts w:hint="eastAsia"/>
                      <w:bCs/>
                      <w:sz w:val="21"/>
                      <w:szCs w:val="21"/>
                      <w:highlight w:val="none"/>
                      <w:lang w:val="en-US" w:eastAsia="zh-CN"/>
                    </w:rPr>
                    <w:t>排放速率g/s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79" w:type="dxa"/>
                  <w:tcBorders>
                    <w:tl2br w:val="nil"/>
                    <w:tr2bl w:val="nil"/>
                  </w:tcBorders>
                  <w:vAlign w:val="center"/>
                </w:tcPr>
                <w:p>
                  <w:pPr>
                    <w:autoSpaceDE w:val="0"/>
                    <w:autoSpaceDN w:val="0"/>
                    <w:adjustRightInd w:val="0"/>
                    <w:snapToGrid w:val="0"/>
                    <w:jc w:val="center"/>
                    <w:rPr>
                      <w:rFonts w:hint="eastAsia"/>
                      <w:bCs/>
                      <w:sz w:val="21"/>
                      <w:szCs w:val="21"/>
                      <w:highlight w:val="none"/>
                    </w:rPr>
                  </w:pPr>
                  <w:r>
                    <w:rPr>
                      <w:bCs/>
                      <w:sz w:val="21"/>
                      <w:szCs w:val="21"/>
                      <w:highlight w:val="none"/>
                    </w:rPr>
                    <w:t>P</w:t>
                  </w:r>
                  <w:r>
                    <w:rPr>
                      <w:rFonts w:hint="eastAsia"/>
                      <w:bCs/>
                      <w:sz w:val="21"/>
                      <w:szCs w:val="21"/>
                      <w:highlight w:val="none"/>
                    </w:rPr>
                    <w:t>1</w:t>
                  </w:r>
                </w:p>
              </w:tc>
              <w:tc>
                <w:tcPr>
                  <w:tcW w:w="1045" w:type="dxa"/>
                  <w:tcBorders>
                    <w:tl2br w:val="nil"/>
                    <w:tr2bl w:val="nil"/>
                  </w:tcBorders>
                  <w:vAlign w:val="center"/>
                </w:tcPr>
                <w:p>
                  <w:pPr>
                    <w:adjustRightInd w:val="0"/>
                    <w:snapToGrid w:val="0"/>
                    <w:jc w:val="center"/>
                    <w:rPr>
                      <w:bCs/>
                      <w:szCs w:val="21"/>
                      <w:highlight w:val="none"/>
                    </w:rPr>
                  </w:pPr>
                  <w:r>
                    <w:rPr>
                      <w:bCs/>
                      <w:sz w:val="21"/>
                      <w:szCs w:val="21"/>
                      <w:highlight w:val="none"/>
                    </w:rPr>
                    <w:t>颗粒物</w:t>
                  </w:r>
                </w:p>
              </w:tc>
              <w:tc>
                <w:tcPr>
                  <w:tcW w:w="894" w:type="dxa"/>
                  <w:tcBorders>
                    <w:tl2br w:val="nil"/>
                    <w:tr2bl w:val="nil"/>
                  </w:tcBorders>
                  <w:vAlign w:val="center"/>
                </w:tcPr>
                <w:p>
                  <w:pPr>
                    <w:adjustRightInd w:val="0"/>
                    <w:snapToGrid w:val="0"/>
                    <w:jc w:val="center"/>
                    <w:rPr>
                      <w:bCs/>
                      <w:sz w:val="21"/>
                      <w:szCs w:val="21"/>
                      <w:highlight w:val="none"/>
                    </w:rPr>
                  </w:pPr>
                  <w:r>
                    <w:rPr>
                      <w:bCs/>
                      <w:sz w:val="21"/>
                      <w:szCs w:val="21"/>
                      <w:highlight w:val="none"/>
                    </w:rPr>
                    <w:t>点源</w:t>
                  </w:r>
                </w:p>
              </w:tc>
              <w:tc>
                <w:tcPr>
                  <w:tcW w:w="1099" w:type="dxa"/>
                  <w:tcBorders>
                    <w:tl2br w:val="nil"/>
                    <w:tr2bl w:val="nil"/>
                  </w:tcBorders>
                  <w:vAlign w:val="center"/>
                </w:tcPr>
                <w:p>
                  <w:pPr>
                    <w:adjustRightInd w:val="0"/>
                    <w:snapToGrid w:val="0"/>
                    <w:jc w:val="center"/>
                    <w:rPr>
                      <w:highlight w:val="none"/>
                    </w:rPr>
                  </w:pPr>
                  <w:r>
                    <w:rPr>
                      <w:rFonts w:hint="eastAsia"/>
                      <w:bCs/>
                      <w:sz w:val="21"/>
                      <w:szCs w:val="21"/>
                      <w:highlight w:val="none"/>
                      <w:lang w:eastAsia="zh-CN"/>
                    </w:rPr>
                    <w:t>1</w:t>
                  </w:r>
                  <w:r>
                    <w:rPr>
                      <w:rFonts w:hint="eastAsia"/>
                      <w:bCs/>
                      <w:sz w:val="21"/>
                      <w:szCs w:val="21"/>
                      <w:highlight w:val="none"/>
                      <w:lang w:val="en-US" w:eastAsia="zh-CN"/>
                    </w:rPr>
                    <w:t>5</w:t>
                  </w:r>
                  <w:r>
                    <w:rPr>
                      <w:rFonts w:hint="eastAsia"/>
                      <w:bCs/>
                      <w:sz w:val="21"/>
                      <w:szCs w:val="21"/>
                      <w:highlight w:val="none"/>
                      <w:lang w:eastAsia="zh-CN"/>
                    </w:rPr>
                    <w:t>m</w:t>
                  </w:r>
                </w:p>
              </w:tc>
              <w:tc>
                <w:tcPr>
                  <w:tcW w:w="1415" w:type="dxa"/>
                  <w:tcBorders>
                    <w:tl2br w:val="nil"/>
                    <w:tr2bl w:val="nil"/>
                  </w:tcBorders>
                  <w:vAlign w:val="center"/>
                </w:tcPr>
                <w:p>
                  <w:pPr>
                    <w:adjustRightInd w:val="0"/>
                    <w:snapToGrid w:val="0"/>
                    <w:jc w:val="center"/>
                    <w:rPr>
                      <w:highlight w:val="none"/>
                    </w:rPr>
                  </w:pPr>
                  <w:r>
                    <w:rPr>
                      <w:rFonts w:hint="eastAsia"/>
                      <w:bCs/>
                      <w:sz w:val="21"/>
                      <w:szCs w:val="21"/>
                      <w:highlight w:val="none"/>
                    </w:rPr>
                    <w:t>0.</w:t>
                  </w:r>
                  <w:r>
                    <w:rPr>
                      <w:rFonts w:hint="eastAsia"/>
                      <w:bCs/>
                      <w:sz w:val="21"/>
                      <w:szCs w:val="21"/>
                      <w:highlight w:val="none"/>
                      <w:lang w:val="en-US" w:eastAsia="zh-CN"/>
                    </w:rPr>
                    <w:t>5</w:t>
                  </w:r>
                  <w:r>
                    <w:rPr>
                      <w:bCs/>
                      <w:sz w:val="21"/>
                      <w:szCs w:val="21"/>
                      <w:highlight w:val="none"/>
                    </w:rPr>
                    <w:t>m</w:t>
                  </w:r>
                </w:p>
              </w:tc>
              <w:tc>
                <w:tcPr>
                  <w:tcW w:w="1106" w:type="dxa"/>
                  <w:tcBorders>
                    <w:tl2br w:val="nil"/>
                    <w:tr2bl w:val="nil"/>
                  </w:tcBorders>
                  <w:vAlign w:val="center"/>
                </w:tcPr>
                <w:p>
                  <w:pPr>
                    <w:adjustRightInd w:val="0"/>
                    <w:snapToGrid w:val="0"/>
                    <w:jc w:val="center"/>
                    <w:rPr>
                      <w:rFonts w:hint="eastAsia" w:eastAsia="宋体"/>
                      <w:bCs/>
                      <w:sz w:val="21"/>
                      <w:szCs w:val="21"/>
                      <w:highlight w:val="none"/>
                      <w:lang w:val="en-US" w:eastAsia="zh-CN"/>
                    </w:rPr>
                  </w:pPr>
                  <w:r>
                    <w:rPr>
                      <w:rFonts w:hint="eastAsia" w:eastAsia="宋体"/>
                      <w:bCs/>
                      <w:sz w:val="21"/>
                      <w:szCs w:val="21"/>
                      <w:highlight w:val="none"/>
                      <w:lang w:val="en-US" w:eastAsia="zh-CN"/>
                    </w:rPr>
                    <w:t>15.18</w:t>
                  </w:r>
                </w:p>
              </w:tc>
              <w:tc>
                <w:tcPr>
                  <w:tcW w:w="706" w:type="dxa"/>
                  <w:tcBorders>
                    <w:tl2br w:val="nil"/>
                    <w:tr2bl w:val="nil"/>
                  </w:tcBorders>
                  <w:vAlign w:val="center"/>
                </w:tcPr>
                <w:p>
                  <w:pPr>
                    <w:adjustRightInd w:val="0"/>
                    <w:snapToGrid w:val="0"/>
                    <w:ind w:left="-105" w:leftChars="-50" w:right="-105" w:rightChars="-50"/>
                    <w:jc w:val="center"/>
                    <w:rPr>
                      <w:highlight w:val="none"/>
                    </w:rPr>
                  </w:pPr>
                  <w:r>
                    <w:rPr>
                      <w:bCs/>
                      <w:sz w:val="21"/>
                      <w:szCs w:val="21"/>
                      <w:highlight w:val="none"/>
                    </w:rPr>
                    <w:t>293K</w:t>
                  </w:r>
                </w:p>
              </w:tc>
              <w:tc>
                <w:tcPr>
                  <w:tcW w:w="1072" w:type="dxa"/>
                  <w:tcBorders>
                    <w:tl2br w:val="nil"/>
                    <w:tr2bl w:val="nil"/>
                  </w:tcBorders>
                  <w:vAlign w:val="center"/>
                </w:tcPr>
                <w:p>
                  <w:pPr>
                    <w:adjustRightInd w:val="0"/>
                    <w:snapToGrid w:val="0"/>
                    <w:jc w:val="center"/>
                    <w:rPr>
                      <w:bCs/>
                      <w:sz w:val="21"/>
                      <w:szCs w:val="21"/>
                      <w:highlight w:val="none"/>
                    </w:rPr>
                  </w:pPr>
                  <w:r>
                    <w:rPr>
                      <w:sz w:val="21"/>
                      <w:szCs w:val="21"/>
                      <w:highlight w:val="none"/>
                    </w:rPr>
                    <w:t>0.077</w:t>
                  </w:r>
                </w:p>
              </w:tc>
              <w:tc>
                <w:tcPr>
                  <w:tcW w:w="10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Cs/>
                      <w:sz w:val="21"/>
                      <w:szCs w:val="21"/>
                      <w:highlight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0.0</w:t>
                  </w:r>
                  <w:r>
                    <w:rPr>
                      <w:rFonts w:hint="eastAsia" w:ascii="Times New Roman" w:hAnsi="Times New Roman" w:eastAsia="宋体" w:cs="Times New Roman"/>
                      <w:i w:val="0"/>
                      <w:color w:val="000000"/>
                      <w:kern w:val="0"/>
                      <w:sz w:val="21"/>
                      <w:szCs w:val="21"/>
                      <w:highlight w:val="none"/>
                      <w:u w:val="none"/>
                      <w:lang w:val="en-US" w:eastAsia="zh-CN" w:bidi="ar"/>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3" w:hRule="atLeast"/>
                <w:jc w:val="center"/>
              </w:trPr>
              <w:tc>
                <w:tcPr>
                  <w:tcW w:w="579" w:type="dxa"/>
                  <w:vMerge w:val="restart"/>
                  <w:tcBorders>
                    <w:tl2br w:val="nil"/>
                    <w:tr2bl w:val="nil"/>
                  </w:tcBorders>
                  <w:vAlign w:val="center"/>
                </w:tcPr>
                <w:p>
                  <w:pPr>
                    <w:autoSpaceDE w:val="0"/>
                    <w:autoSpaceDN w:val="0"/>
                    <w:adjustRightInd w:val="0"/>
                    <w:snapToGrid w:val="0"/>
                    <w:jc w:val="center"/>
                    <w:rPr>
                      <w:bCs/>
                      <w:sz w:val="21"/>
                      <w:szCs w:val="21"/>
                      <w:highlight w:val="none"/>
                      <w:lang w:val="en-US"/>
                    </w:rPr>
                  </w:pPr>
                  <w:r>
                    <w:rPr>
                      <w:rFonts w:hint="eastAsia"/>
                      <w:bCs/>
                      <w:sz w:val="21"/>
                      <w:szCs w:val="21"/>
                      <w:highlight w:val="none"/>
                      <w:lang w:val="en-US" w:eastAsia="zh-CN"/>
                    </w:rPr>
                    <w:t>P3</w:t>
                  </w:r>
                </w:p>
              </w:tc>
              <w:tc>
                <w:tcPr>
                  <w:tcW w:w="1045" w:type="dxa"/>
                  <w:tcBorders>
                    <w:tl2br w:val="nil"/>
                    <w:tr2bl w:val="nil"/>
                  </w:tcBorders>
                  <w:vAlign w:val="center"/>
                </w:tcPr>
                <w:p>
                  <w:pPr>
                    <w:adjustRightInd w:val="0"/>
                    <w:snapToGrid w:val="0"/>
                    <w:jc w:val="center"/>
                    <w:rPr>
                      <w:rFonts w:hint="eastAsia" w:eastAsia="宋体"/>
                      <w:bCs/>
                      <w:sz w:val="21"/>
                      <w:szCs w:val="21"/>
                      <w:highlight w:val="none"/>
                      <w:lang w:eastAsia="zh-CN"/>
                    </w:rPr>
                  </w:pPr>
                  <w:r>
                    <w:rPr>
                      <w:rFonts w:hint="eastAsia"/>
                      <w:bCs/>
                      <w:sz w:val="21"/>
                      <w:szCs w:val="21"/>
                      <w:highlight w:val="none"/>
                      <w:lang w:eastAsia="zh-CN"/>
                    </w:rPr>
                    <w:t>颗粒物</w:t>
                  </w:r>
                </w:p>
              </w:tc>
              <w:tc>
                <w:tcPr>
                  <w:tcW w:w="894" w:type="dxa"/>
                  <w:vMerge w:val="restart"/>
                  <w:tcBorders>
                    <w:tl2br w:val="nil"/>
                    <w:tr2bl w:val="nil"/>
                  </w:tcBorders>
                  <w:vAlign w:val="center"/>
                </w:tcPr>
                <w:p>
                  <w:pPr>
                    <w:adjustRightInd w:val="0"/>
                    <w:snapToGrid w:val="0"/>
                    <w:jc w:val="center"/>
                    <w:rPr>
                      <w:bCs/>
                      <w:sz w:val="21"/>
                      <w:szCs w:val="21"/>
                      <w:highlight w:val="none"/>
                    </w:rPr>
                  </w:pPr>
                  <w:r>
                    <w:rPr>
                      <w:bCs/>
                      <w:sz w:val="21"/>
                      <w:szCs w:val="21"/>
                      <w:highlight w:val="none"/>
                    </w:rPr>
                    <w:t>点源</w:t>
                  </w:r>
                </w:p>
              </w:tc>
              <w:tc>
                <w:tcPr>
                  <w:tcW w:w="1099" w:type="dxa"/>
                  <w:vMerge w:val="restart"/>
                  <w:tcBorders>
                    <w:tl2br w:val="nil"/>
                    <w:tr2bl w:val="nil"/>
                  </w:tcBorders>
                  <w:vAlign w:val="center"/>
                </w:tcPr>
                <w:p>
                  <w:pPr>
                    <w:adjustRightInd w:val="0"/>
                    <w:snapToGrid w:val="0"/>
                    <w:jc w:val="center"/>
                    <w:rPr>
                      <w:rFonts w:hint="eastAsia"/>
                      <w:bCs/>
                      <w:sz w:val="21"/>
                      <w:szCs w:val="21"/>
                      <w:highlight w:val="none"/>
                      <w:lang w:eastAsia="zh-CN"/>
                    </w:rPr>
                  </w:pPr>
                  <w:r>
                    <w:rPr>
                      <w:rFonts w:hint="eastAsia"/>
                      <w:bCs/>
                      <w:sz w:val="21"/>
                      <w:szCs w:val="21"/>
                      <w:highlight w:val="none"/>
                      <w:lang w:eastAsia="zh-CN"/>
                    </w:rPr>
                    <w:t>1</w:t>
                  </w:r>
                  <w:r>
                    <w:rPr>
                      <w:rFonts w:hint="eastAsia"/>
                      <w:bCs/>
                      <w:sz w:val="21"/>
                      <w:szCs w:val="21"/>
                      <w:highlight w:val="none"/>
                      <w:lang w:val="en-US" w:eastAsia="zh-CN"/>
                    </w:rPr>
                    <w:t>5</w:t>
                  </w:r>
                  <w:r>
                    <w:rPr>
                      <w:rFonts w:hint="eastAsia"/>
                      <w:bCs/>
                      <w:sz w:val="21"/>
                      <w:szCs w:val="21"/>
                      <w:highlight w:val="none"/>
                      <w:lang w:eastAsia="zh-CN"/>
                    </w:rPr>
                    <w:t>m</w:t>
                  </w:r>
                </w:p>
              </w:tc>
              <w:tc>
                <w:tcPr>
                  <w:tcW w:w="1415" w:type="dxa"/>
                  <w:vMerge w:val="restart"/>
                  <w:tcBorders>
                    <w:tl2br w:val="nil"/>
                    <w:tr2bl w:val="nil"/>
                  </w:tcBorders>
                  <w:vAlign w:val="center"/>
                </w:tcPr>
                <w:p>
                  <w:pPr>
                    <w:adjustRightInd w:val="0"/>
                    <w:snapToGrid w:val="0"/>
                    <w:jc w:val="center"/>
                    <w:rPr>
                      <w:rFonts w:hint="eastAsia"/>
                      <w:bCs/>
                      <w:sz w:val="21"/>
                      <w:szCs w:val="21"/>
                      <w:highlight w:val="none"/>
                    </w:rPr>
                  </w:pPr>
                  <w:r>
                    <w:rPr>
                      <w:rFonts w:hint="eastAsia"/>
                      <w:bCs/>
                      <w:sz w:val="21"/>
                      <w:szCs w:val="21"/>
                      <w:highlight w:val="none"/>
                    </w:rPr>
                    <w:t>0.</w:t>
                  </w:r>
                  <w:r>
                    <w:rPr>
                      <w:rFonts w:hint="eastAsia"/>
                      <w:bCs/>
                      <w:sz w:val="21"/>
                      <w:szCs w:val="21"/>
                      <w:highlight w:val="none"/>
                      <w:lang w:val="en-US" w:eastAsia="zh-CN"/>
                    </w:rPr>
                    <w:t>5</w:t>
                  </w:r>
                  <w:r>
                    <w:rPr>
                      <w:bCs/>
                      <w:sz w:val="21"/>
                      <w:szCs w:val="21"/>
                      <w:highlight w:val="none"/>
                    </w:rPr>
                    <w:t>m</w:t>
                  </w:r>
                </w:p>
              </w:tc>
              <w:tc>
                <w:tcPr>
                  <w:tcW w:w="1106" w:type="dxa"/>
                  <w:vMerge w:val="restart"/>
                  <w:tcBorders>
                    <w:tl2br w:val="nil"/>
                    <w:tr2bl w:val="nil"/>
                  </w:tcBorders>
                  <w:vAlign w:val="center"/>
                </w:tcPr>
                <w:p>
                  <w:pPr>
                    <w:adjustRightInd w:val="0"/>
                    <w:snapToGrid w:val="0"/>
                    <w:jc w:val="center"/>
                    <w:rPr>
                      <w:rFonts w:hint="eastAsia"/>
                      <w:bCs/>
                      <w:sz w:val="21"/>
                      <w:szCs w:val="21"/>
                      <w:highlight w:val="none"/>
                      <w:lang w:val="en-US" w:eastAsia="zh-CN"/>
                    </w:rPr>
                  </w:pPr>
                  <w:r>
                    <w:rPr>
                      <w:rFonts w:hint="eastAsia"/>
                      <w:bCs/>
                      <w:sz w:val="21"/>
                      <w:szCs w:val="21"/>
                      <w:highlight w:val="none"/>
                      <w:lang w:val="en-US" w:eastAsia="zh-CN"/>
                    </w:rPr>
                    <w:t>14.15</w:t>
                  </w:r>
                </w:p>
              </w:tc>
              <w:tc>
                <w:tcPr>
                  <w:tcW w:w="706" w:type="dxa"/>
                  <w:vMerge w:val="restart"/>
                  <w:tcBorders>
                    <w:tl2br w:val="nil"/>
                    <w:tr2bl w:val="nil"/>
                  </w:tcBorders>
                  <w:vAlign w:val="center"/>
                </w:tcPr>
                <w:p>
                  <w:pPr>
                    <w:adjustRightInd w:val="0"/>
                    <w:snapToGrid w:val="0"/>
                    <w:ind w:left="-105" w:leftChars="-50" w:right="-105" w:rightChars="-50"/>
                    <w:jc w:val="center"/>
                    <w:rPr>
                      <w:bCs/>
                      <w:sz w:val="21"/>
                      <w:szCs w:val="21"/>
                      <w:highlight w:val="none"/>
                    </w:rPr>
                  </w:pPr>
                  <w:r>
                    <w:rPr>
                      <w:bCs/>
                      <w:sz w:val="21"/>
                      <w:szCs w:val="21"/>
                      <w:highlight w:val="none"/>
                    </w:rPr>
                    <w:t>293K</w:t>
                  </w:r>
                </w:p>
              </w:tc>
              <w:tc>
                <w:tcPr>
                  <w:tcW w:w="1072" w:type="dxa"/>
                  <w:tcBorders>
                    <w:tl2br w:val="nil"/>
                    <w:tr2bl w:val="nil"/>
                  </w:tcBorders>
                  <w:vAlign w:val="center"/>
                </w:tcPr>
                <w:p>
                  <w:pPr>
                    <w:adjustRightInd w:val="0"/>
                    <w:snapToGrid w:val="0"/>
                    <w:jc w:val="center"/>
                    <w:rPr>
                      <w:rFonts w:hint="eastAsia" w:eastAsia="宋体"/>
                      <w:bCs/>
                      <w:sz w:val="21"/>
                      <w:szCs w:val="21"/>
                      <w:highlight w:val="none"/>
                      <w:lang w:val="en-US" w:eastAsia="zh-CN"/>
                    </w:rPr>
                  </w:pPr>
                  <w:r>
                    <w:rPr>
                      <w:rFonts w:hint="eastAsia"/>
                      <w:bCs/>
                      <w:sz w:val="21"/>
                      <w:szCs w:val="21"/>
                      <w:highlight w:val="none"/>
                      <w:lang w:val="en-US" w:eastAsia="zh-CN"/>
                    </w:rPr>
                    <w:t>0.01</w:t>
                  </w:r>
                </w:p>
              </w:tc>
              <w:tc>
                <w:tcPr>
                  <w:tcW w:w="106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3" w:hRule="atLeast"/>
                <w:jc w:val="center"/>
              </w:trPr>
              <w:tc>
                <w:tcPr>
                  <w:tcW w:w="579" w:type="dxa"/>
                  <w:vMerge w:val="continue"/>
                  <w:tcBorders>
                    <w:tl2br w:val="nil"/>
                    <w:tr2bl w:val="nil"/>
                  </w:tcBorders>
                  <w:vAlign w:val="center"/>
                </w:tcPr>
                <w:p>
                  <w:pPr>
                    <w:adjustRightInd w:val="0"/>
                    <w:snapToGrid w:val="0"/>
                    <w:jc w:val="center"/>
                    <w:rPr>
                      <w:highlight w:val="none"/>
                    </w:rPr>
                  </w:pPr>
                </w:p>
              </w:tc>
              <w:tc>
                <w:tcPr>
                  <w:tcW w:w="1045" w:type="dxa"/>
                  <w:tcBorders>
                    <w:tl2br w:val="nil"/>
                    <w:tr2bl w:val="nil"/>
                  </w:tcBorders>
                  <w:vAlign w:val="center"/>
                </w:tcPr>
                <w:p>
                  <w:pPr>
                    <w:keepNext w:val="0"/>
                    <w:keepLines w:val="0"/>
                    <w:pageBreakBefore w:val="0"/>
                    <w:widowControl w:val="0"/>
                    <w:tabs>
                      <w:tab w:val="left" w:pos="8820"/>
                    </w:tabs>
                    <w:kinsoku/>
                    <w:wordWrap/>
                    <w:overflowPunct/>
                    <w:topLinePunct w:val="0"/>
                    <w:autoSpaceDE/>
                    <w:autoSpaceDN/>
                    <w:bidi w:val="0"/>
                    <w:adjustRightInd/>
                    <w:snapToGrid/>
                    <w:spacing w:line="360" w:lineRule="exact"/>
                    <w:jc w:val="center"/>
                    <w:textAlignment w:val="auto"/>
                    <w:rPr>
                      <w:rFonts w:hint="eastAsia"/>
                      <w:bCs/>
                      <w:sz w:val="21"/>
                      <w:szCs w:val="21"/>
                      <w:highlight w:val="none"/>
                      <w:lang w:eastAsia="zh-CN"/>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p>
              </w:tc>
              <w:tc>
                <w:tcPr>
                  <w:tcW w:w="894"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1099"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1415"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1106"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706"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1072" w:type="dxa"/>
                  <w:tcBorders>
                    <w:tl2br w:val="nil"/>
                    <w:tr2bl w:val="nil"/>
                  </w:tcBorders>
                  <w:vAlign w:val="center"/>
                </w:tcPr>
                <w:p>
                  <w:pPr>
                    <w:adjustRightInd w:val="0"/>
                    <w:snapToGrid w:val="0"/>
                    <w:jc w:val="center"/>
                    <w:rPr>
                      <w:rFonts w:hint="eastAsia"/>
                      <w:bCs/>
                      <w:sz w:val="21"/>
                      <w:szCs w:val="21"/>
                      <w:highlight w:val="none"/>
                      <w:lang w:val="en-US" w:eastAsia="zh-CN"/>
                    </w:rPr>
                  </w:pPr>
                  <w:r>
                    <w:rPr>
                      <w:rFonts w:hint="eastAsia"/>
                      <w:bCs/>
                      <w:sz w:val="21"/>
                      <w:szCs w:val="21"/>
                      <w:highlight w:val="none"/>
                      <w:lang w:val="en-US" w:eastAsia="zh-CN"/>
                    </w:rPr>
                    <w:t>0.026</w:t>
                  </w:r>
                </w:p>
              </w:tc>
              <w:tc>
                <w:tcPr>
                  <w:tcW w:w="1066" w:type="dxa"/>
                  <w:tcBorders>
                    <w:tl2br w:val="nil"/>
                    <w:tr2bl w:val="nil"/>
                  </w:tcBorders>
                  <w:vAlign w:val="center"/>
                </w:tcPr>
                <w:p>
                  <w:pPr>
                    <w:adjustRightInd w:val="0"/>
                    <w:snapToGrid w:val="0"/>
                    <w:jc w:val="center"/>
                    <w:rPr>
                      <w:rFonts w:hint="eastAsia"/>
                      <w:bCs/>
                      <w:sz w:val="21"/>
                      <w:szCs w:val="21"/>
                      <w:highlight w:val="none"/>
                      <w:lang w:val="en-US" w:eastAsia="zh-CN"/>
                    </w:rPr>
                  </w:pPr>
                  <w:r>
                    <w:rPr>
                      <w:rFonts w:hint="eastAsia"/>
                      <w:bCs/>
                      <w:sz w:val="21"/>
                      <w:szCs w:val="21"/>
                      <w:highlight w:val="none"/>
                      <w:lang w:val="en-US" w:eastAsia="zh-CN"/>
                    </w:rPr>
                    <w:t>0.0072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3" w:hRule="atLeast"/>
                <w:jc w:val="center"/>
              </w:trPr>
              <w:tc>
                <w:tcPr>
                  <w:tcW w:w="579"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1045" w:type="dxa"/>
                  <w:tcBorders>
                    <w:tl2br w:val="nil"/>
                    <w:tr2bl w:val="nil"/>
                  </w:tcBorders>
                  <w:vAlign w:val="center"/>
                </w:tcPr>
                <w:p>
                  <w:pPr>
                    <w:keepNext w:val="0"/>
                    <w:keepLines w:val="0"/>
                    <w:pageBreakBefore w:val="0"/>
                    <w:widowControl w:val="0"/>
                    <w:tabs>
                      <w:tab w:val="left" w:pos="8820"/>
                    </w:tabs>
                    <w:kinsoku/>
                    <w:wordWrap/>
                    <w:overflowPunct/>
                    <w:topLinePunct w:val="0"/>
                    <w:autoSpaceDE/>
                    <w:autoSpaceDN/>
                    <w:bidi w:val="0"/>
                    <w:adjustRightInd/>
                    <w:snapToGrid/>
                    <w:spacing w:line="360" w:lineRule="exact"/>
                    <w:jc w:val="center"/>
                    <w:textAlignment w:val="auto"/>
                    <w:rPr>
                      <w:rFonts w:hint="eastAsia"/>
                      <w:bCs/>
                      <w:sz w:val="21"/>
                      <w:szCs w:val="21"/>
                      <w:highlight w:val="none"/>
                      <w:lang w:eastAsia="zh-CN"/>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x</w:t>
                  </w:r>
                </w:p>
              </w:tc>
              <w:tc>
                <w:tcPr>
                  <w:tcW w:w="894"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1099"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1415"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1106"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706" w:type="dxa"/>
                  <w:vMerge w:val="continue"/>
                  <w:tcBorders>
                    <w:tl2br w:val="nil"/>
                    <w:tr2bl w:val="nil"/>
                  </w:tcBorders>
                  <w:vAlign w:val="center"/>
                </w:tcPr>
                <w:p>
                  <w:pPr>
                    <w:adjustRightInd w:val="0"/>
                    <w:snapToGrid w:val="0"/>
                    <w:jc w:val="center"/>
                    <w:rPr>
                      <w:rFonts w:hint="eastAsia"/>
                      <w:bCs/>
                      <w:sz w:val="21"/>
                      <w:szCs w:val="21"/>
                      <w:highlight w:val="none"/>
                      <w:lang w:eastAsia="zh-CN"/>
                    </w:rPr>
                  </w:pPr>
                </w:p>
              </w:tc>
              <w:tc>
                <w:tcPr>
                  <w:tcW w:w="1072" w:type="dxa"/>
                  <w:tcBorders>
                    <w:tl2br w:val="nil"/>
                    <w:tr2bl w:val="nil"/>
                  </w:tcBorders>
                  <w:vAlign w:val="center"/>
                </w:tcPr>
                <w:p>
                  <w:pPr>
                    <w:adjustRightInd w:val="0"/>
                    <w:snapToGrid w:val="0"/>
                    <w:jc w:val="center"/>
                    <w:rPr>
                      <w:rFonts w:hint="eastAsia"/>
                      <w:bCs/>
                      <w:sz w:val="21"/>
                      <w:szCs w:val="21"/>
                      <w:highlight w:val="none"/>
                      <w:lang w:val="en-US" w:eastAsia="zh-CN"/>
                    </w:rPr>
                  </w:pPr>
                  <w:r>
                    <w:rPr>
                      <w:rFonts w:hint="eastAsia"/>
                      <w:bCs/>
                      <w:sz w:val="21"/>
                      <w:szCs w:val="21"/>
                      <w:highlight w:val="none"/>
                      <w:lang w:val="en-US" w:eastAsia="zh-CN"/>
                    </w:rPr>
                    <w:t>0.12</w:t>
                  </w:r>
                </w:p>
              </w:tc>
              <w:tc>
                <w:tcPr>
                  <w:tcW w:w="1066" w:type="dxa"/>
                  <w:tcBorders>
                    <w:tl2br w:val="nil"/>
                    <w:tr2bl w:val="nil"/>
                  </w:tcBorders>
                  <w:vAlign w:val="center"/>
                </w:tcPr>
                <w:p>
                  <w:pPr>
                    <w:adjustRightInd w:val="0"/>
                    <w:snapToGrid w:val="0"/>
                    <w:jc w:val="center"/>
                    <w:rPr>
                      <w:rFonts w:hint="eastAsia"/>
                      <w:bCs/>
                      <w:sz w:val="21"/>
                      <w:szCs w:val="21"/>
                      <w:highlight w:val="none"/>
                      <w:lang w:val="en-US" w:eastAsia="zh-CN"/>
                    </w:rPr>
                  </w:pPr>
                  <w:r>
                    <w:rPr>
                      <w:rFonts w:hint="eastAsia"/>
                      <w:bCs/>
                      <w:sz w:val="21"/>
                      <w:szCs w:val="21"/>
                      <w:highlight w:val="none"/>
                      <w:lang w:val="en-US" w:eastAsia="zh-CN"/>
                    </w:rPr>
                    <w:t>0.033</w:t>
                  </w:r>
                </w:p>
              </w:tc>
            </w:tr>
          </w:tbl>
          <w:p>
            <w:pPr>
              <w:spacing w:line="520" w:lineRule="exact"/>
              <w:ind w:firstLine="480" w:firstLineChars="200"/>
              <w:rPr>
                <w:bCs/>
                <w:sz w:val="24"/>
                <w:szCs w:val="24"/>
                <w:highlight w:val="none"/>
              </w:rPr>
            </w:pPr>
            <w:r>
              <w:rPr>
                <w:bCs/>
                <w:sz w:val="24"/>
                <w:szCs w:val="24"/>
                <w:highlight w:val="none"/>
              </w:rPr>
              <w:t>算结果见下表：</w:t>
            </w:r>
          </w:p>
          <w:p>
            <w:pPr>
              <w:pStyle w:val="13"/>
              <w:spacing w:line="360" w:lineRule="auto"/>
              <w:ind w:firstLine="420" w:firstLineChars="20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rPr>
              <w:t>表</w:t>
            </w:r>
            <w:r>
              <w:rPr>
                <w:rFonts w:hint="eastAsia" w:ascii="Times New Roman" w:hAnsi="Times New Roman" w:cs="Times New Roman"/>
                <w:b w:val="0"/>
                <w:bCs w:val="0"/>
                <w:color w:val="auto"/>
                <w:kern w:val="0"/>
                <w:sz w:val="21"/>
                <w:szCs w:val="21"/>
                <w:highlight w:val="none"/>
                <w:lang w:val="en-US" w:eastAsia="zh-CN"/>
              </w:rPr>
              <w:t>36</w:t>
            </w:r>
            <w:r>
              <w:rPr>
                <w:rFonts w:hint="eastAsia" w:ascii="Times New Roman" w:hAnsi="Times New Roman" w:eastAsia="宋体" w:cs="Times New Roman"/>
                <w:b w:val="0"/>
                <w:bCs w:val="0"/>
                <w:color w:val="auto"/>
                <w:kern w:val="0"/>
                <w:sz w:val="21"/>
                <w:szCs w:val="21"/>
                <w:highlight w:val="none"/>
                <w:lang w:val="en-US" w:eastAsia="zh-CN"/>
              </w:rPr>
              <w:t>（1）</w:t>
            </w:r>
            <w:r>
              <w:rPr>
                <w:rFonts w:hint="default" w:ascii="Times New Roman" w:hAnsi="Times New Roman" w:eastAsia="宋体" w:cs="Times New Roman"/>
                <w:b w:val="0"/>
                <w:bCs w:val="0"/>
                <w:color w:val="auto"/>
                <w:kern w:val="0"/>
                <w:sz w:val="21"/>
                <w:szCs w:val="21"/>
                <w:highlight w:val="none"/>
              </w:rPr>
              <w:t xml:space="preserve">  估算模式预测有组织扩散结果</w:t>
            </w:r>
          </w:p>
          <w:tbl>
            <w:tblPr>
              <w:tblStyle w:val="28"/>
              <w:tblW w:w="9054" w:type="dxa"/>
              <w:jc w:val="center"/>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397"/>
              <w:gridCol w:w="1279"/>
              <w:gridCol w:w="1278"/>
              <w:gridCol w:w="1273"/>
              <w:gridCol w:w="1277"/>
              <w:gridCol w:w="1274"/>
              <w:gridCol w:w="1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vMerge w:val="restart"/>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距离（m）</w:t>
                  </w:r>
                </w:p>
              </w:tc>
              <w:tc>
                <w:tcPr>
                  <w:tcW w:w="2557" w:type="dxa"/>
                  <w:gridSpan w:val="2"/>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P1排气筒</w:t>
                  </w:r>
                  <w:r>
                    <w:rPr>
                      <w:rFonts w:hint="default" w:ascii="Times New Roman" w:hAnsi="Times New Roman" w:eastAsia="宋体" w:cs="Times New Roman"/>
                      <w:b/>
                      <w:bCs/>
                      <w:color w:val="auto"/>
                      <w:kern w:val="0"/>
                      <w:sz w:val="21"/>
                      <w:szCs w:val="21"/>
                      <w:highlight w:val="none"/>
                      <w:lang w:eastAsia="zh-CN"/>
                    </w:rPr>
                    <w:t>颗粒物</w:t>
                  </w:r>
                </w:p>
              </w:tc>
              <w:tc>
                <w:tcPr>
                  <w:tcW w:w="2550" w:type="dxa"/>
                  <w:gridSpan w:val="2"/>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P</w:t>
                  </w:r>
                  <w:r>
                    <w:rPr>
                      <w:rFonts w:hint="eastAsia" w:ascii="Times New Roman" w:hAnsi="Times New Roman" w:eastAsia="宋体" w:cs="Times New Roman"/>
                      <w:b/>
                      <w:bCs/>
                      <w:color w:val="auto"/>
                      <w:kern w:val="0"/>
                      <w:sz w:val="21"/>
                      <w:szCs w:val="21"/>
                      <w:highlight w:val="none"/>
                      <w:lang w:val="en-US" w:eastAsia="zh-CN"/>
                    </w:rPr>
                    <w:t>3</w:t>
                  </w:r>
                  <w:r>
                    <w:rPr>
                      <w:rFonts w:hint="default" w:ascii="Times New Roman" w:hAnsi="Times New Roman" w:eastAsia="宋体" w:cs="Times New Roman"/>
                      <w:b/>
                      <w:bCs/>
                      <w:color w:val="auto"/>
                      <w:kern w:val="0"/>
                      <w:sz w:val="21"/>
                      <w:szCs w:val="21"/>
                      <w:highlight w:val="none"/>
                    </w:rPr>
                    <w:t>排气筒</w:t>
                  </w:r>
                  <w:r>
                    <w:rPr>
                      <w:rFonts w:hint="default" w:ascii="Times New Roman" w:hAnsi="Times New Roman" w:eastAsia="宋体" w:cs="Times New Roman"/>
                      <w:b/>
                      <w:bCs/>
                      <w:color w:val="auto"/>
                      <w:kern w:val="0"/>
                      <w:sz w:val="21"/>
                      <w:szCs w:val="21"/>
                      <w:highlight w:val="none"/>
                      <w:lang w:val="en-US" w:eastAsia="zh-CN"/>
                    </w:rPr>
                    <w:t>SO</w:t>
                  </w:r>
                  <w:r>
                    <w:rPr>
                      <w:rFonts w:hint="default" w:ascii="Times New Roman" w:hAnsi="Times New Roman" w:eastAsia="宋体" w:cs="Times New Roman"/>
                      <w:b/>
                      <w:bCs/>
                      <w:color w:val="auto"/>
                      <w:kern w:val="0"/>
                      <w:sz w:val="21"/>
                      <w:szCs w:val="21"/>
                      <w:highlight w:val="none"/>
                      <w:vertAlign w:val="subscript"/>
                      <w:lang w:val="en-US" w:eastAsia="zh-CN"/>
                    </w:rPr>
                    <w:t>2</w:t>
                  </w:r>
                </w:p>
              </w:tc>
              <w:tc>
                <w:tcPr>
                  <w:tcW w:w="2550" w:type="dxa"/>
                  <w:gridSpan w:val="2"/>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P</w:t>
                  </w:r>
                  <w:r>
                    <w:rPr>
                      <w:rFonts w:hint="eastAsia" w:ascii="Times New Roman" w:hAnsi="Times New Roman" w:eastAsia="宋体" w:cs="Times New Roman"/>
                      <w:b/>
                      <w:bCs/>
                      <w:color w:val="auto"/>
                      <w:kern w:val="0"/>
                      <w:sz w:val="21"/>
                      <w:szCs w:val="21"/>
                      <w:highlight w:val="none"/>
                      <w:lang w:val="en-US" w:eastAsia="zh-CN"/>
                    </w:rPr>
                    <w:t>3</w:t>
                  </w:r>
                  <w:r>
                    <w:rPr>
                      <w:rFonts w:hint="default" w:ascii="Times New Roman" w:hAnsi="Times New Roman" w:eastAsia="宋体" w:cs="Times New Roman"/>
                      <w:b/>
                      <w:bCs/>
                      <w:color w:val="auto"/>
                      <w:kern w:val="0"/>
                      <w:sz w:val="21"/>
                      <w:szCs w:val="21"/>
                      <w:highlight w:val="none"/>
                    </w:rPr>
                    <w:t>排气筒</w:t>
                  </w:r>
                  <w:r>
                    <w:rPr>
                      <w:rFonts w:hint="default" w:ascii="Times New Roman" w:hAnsi="Times New Roman" w:eastAsia="宋体" w:cs="Times New Roman"/>
                      <w:b/>
                      <w:bCs/>
                      <w:color w:val="auto"/>
                      <w:kern w:val="0"/>
                      <w:sz w:val="21"/>
                      <w:szCs w:val="21"/>
                      <w:highlight w:val="none"/>
                      <w:lang w:eastAsia="zh-CN"/>
                    </w:rPr>
                    <w:t>颗粒物</w:t>
                  </w: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vMerge w:val="continue"/>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p>
              </w:tc>
              <w:tc>
                <w:tcPr>
                  <w:tcW w:w="1279" w:type="dxa"/>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w:t>
                  </w:r>
                  <w:r>
                    <w:rPr>
                      <w:rFonts w:hint="default" w:ascii="Times New Roman" w:hAnsi="Times New Roman" w:eastAsia="宋体" w:cs="Times New Roman"/>
                      <w:b/>
                      <w:bCs/>
                      <w:color w:val="auto"/>
                      <w:kern w:val="0"/>
                      <w:sz w:val="21"/>
                      <w:szCs w:val="21"/>
                      <w:highlight w:val="none"/>
                      <w:lang w:eastAsia="zh-CN"/>
                    </w:rPr>
                    <w:t>μ</w:t>
                  </w:r>
                  <w:r>
                    <w:rPr>
                      <w:rFonts w:hint="default" w:ascii="Times New Roman" w:hAnsi="Times New Roman" w:eastAsia="宋体" w:cs="Times New Roman"/>
                      <w:b/>
                      <w:bCs/>
                      <w:color w:val="auto"/>
                      <w:kern w:val="0"/>
                      <w:sz w:val="21"/>
                      <w:szCs w:val="21"/>
                      <w:highlight w:val="none"/>
                    </w:rPr>
                    <w:t>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1278" w:type="dxa"/>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占标率（%）</w:t>
                  </w:r>
                </w:p>
              </w:tc>
              <w:tc>
                <w:tcPr>
                  <w:tcW w:w="1273" w:type="dxa"/>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w:t>
                  </w:r>
                  <w:r>
                    <w:rPr>
                      <w:rFonts w:hint="default" w:ascii="Times New Roman" w:hAnsi="Times New Roman" w:eastAsia="宋体" w:cs="Times New Roman"/>
                      <w:b/>
                      <w:bCs/>
                      <w:color w:val="auto"/>
                      <w:kern w:val="0"/>
                      <w:sz w:val="21"/>
                      <w:szCs w:val="21"/>
                      <w:highlight w:val="none"/>
                      <w:lang w:eastAsia="zh-CN"/>
                    </w:rPr>
                    <w:t>μ</w:t>
                  </w:r>
                  <w:r>
                    <w:rPr>
                      <w:rFonts w:hint="default" w:ascii="Times New Roman" w:hAnsi="Times New Roman" w:eastAsia="宋体" w:cs="Times New Roman"/>
                      <w:b/>
                      <w:bCs/>
                      <w:color w:val="auto"/>
                      <w:kern w:val="0"/>
                      <w:sz w:val="21"/>
                      <w:szCs w:val="21"/>
                      <w:highlight w:val="none"/>
                    </w:rPr>
                    <w:t>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1277" w:type="dxa"/>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占标率（%）</w:t>
                  </w:r>
                </w:p>
              </w:tc>
              <w:tc>
                <w:tcPr>
                  <w:tcW w:w="1274" w:type="dxa"/>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w:t>
                  </w:r>
                  <w:r>
                    <w:rPr>
                      <w:rFonts w:hint="default" w:ascii="Times New Roman" w:hAnsi="Times New Roman" w:eastAsia="宋体" w:cs="Times New Roman"/>
                      <w:b/>
                      <w:bCs/>
                      <w:color w:val="auto"/>
                      <w:kern w:val="0"/>
                      <w:sz w:val="21"/>
                      <w:szCs w:val="21"/>
                      <w:highlight w:val="none"/>
                      <w:lang w:eastAsia="zh-CN"/>
                    </w:rPr>
                    <w:t>μ</w:t>
                  </w:r>
                  <w:r>
                    <w:rPr>
                      <w:rFonts w:hint="default" w:ascii="Times New Roman" w:hAnsi="Times New Roman" w:eastAsia="宋体" w:cs="Times New Roman"/>
                      <w:b/>
                      <w:bCs/>
                      <w:color w:val="auto"/>
                      <w:kern w:val="0"/>
                      <w:sz w:val="21"/>
                      <w:szCs w:val="21"/>
                      <w:highlight w:val="none"/>
                    </w:rPr>
                    <w:t>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1276" w:type="dxa"/>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占标率（%）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4.58E-05</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0.00001225</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0.00005615</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1.52</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0.34%</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0.5729</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0.11%</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2.626</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50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1.531</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0.34%</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0.5727</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0.11%</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2.625</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75</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2.006</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0.45%</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0.7322</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3.356</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2.035</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0.45%</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0.7367</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3.377</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2.357</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0.52%</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0.8266</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0.17%</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3.788</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2.024</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0.45%</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0.7058</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0.14%</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3.235</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1.72</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0.38%</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0.5989</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0.12%</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2.745</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1.574</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0.35%</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0.5723</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0.11%</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2.623</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1.506</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0.33%</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0.5406</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0.11%</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2.478</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1.393</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0.31%</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0.4959</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0.10%</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2.273</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1.301</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0.29%</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0.4645</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0.09%</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2.129</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1.215</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0.27%</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0.4314</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0.09%</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1.977</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1.134</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0.25%</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0.3994</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0.08%</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1.83</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1.065</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0.24%</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0.3775</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0.08%</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1.73</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1.005</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0.22%</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0.3568</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0.07%</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1.635</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0.9558</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0.21%</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0.3367</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0.07%</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1.543</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0.9121</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0.20%</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0.3199</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0.06%</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1.466</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0.8709</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0.19%</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0.3052</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0.06%</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1.399</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0.8324</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0.18%</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0.2915</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0.06%</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1.336</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0.8014</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0.18%</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0.2831</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0.06%</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1.298</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0.7819</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0.17%</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0.2749</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1.26</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0.7629</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0.17%</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0.2667</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1.222</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0.7443</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0.17%</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0.2593</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1.189</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0.7264</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0.16%</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0.253</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1.16</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0.7091</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0.16%</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0.2469</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1.132</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0.6924</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0.15%</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0.2411</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1.105</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0.6765</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0.15%</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0.2355</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1.079</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2500</w:t>
                  </w:r>
                </w:p>
              </w:tc>
              <w:tc>
                <w:tcPr>
                  <w:tcW w:w="12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0.6611</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0.15%</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0.2301</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1.055</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1"/>
                      <w:sz w:val="21"/>
                      <w:szCs w:val="21"/>
                      <w:highlight w:val="none"/>
                    </w:rPr>
                    <w:t>下风向最大质量浓度</w:t>
                  </w:r>
                  <w:r>
                    <w:rPr>
                      <w:rFonts w:hint="default" w:ascii="Times New Roman" w:hAnsi="Times New Roman" w:eastAsia="宋体" w:cs="Times New Roman"/>
                      <w:color w:val="auto"/>
                      <w:kern w:val="21"/>
                      <w:sz w:val="21"/>
                      <w:szCs w:val="21"/>
                      <w:highlight w:val="none"/>
                      <w:lang w:eastAsia="zh-CN"/>
                    </w:rPr>
                    <w:t>及占标率</w:t>
                  </w:r>
                  <w:r>
                    <w:rPr>
                      <w:rFonts w:hint="default" w:ascii="Times New Roman" w:hAnsi="Times New Roman" w:eastAsia="宋体" w:cs="Times New Roman"/>
                      <w:color w:val="auto"/>
                      <w:kern w:val="21"/>
                      <w:sz w:val="21"/>
                      <w:szCs w:val="21"/>
                      <w:highlight w:val="none"/>
                      <w:lang w:val="en-US" w:eastAsia="zh-CN"/>
                    </w:rPr>
                    <w:t>/%</w:t>
                  </w:r>
                </w:p>
              </w:tc>
              <w:tc>
                <w:tcPr>
                  <w:tcW w:w="12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2.411</w:t>
                  </w:r>
                </w:p>
              </w:tc>
              <w:tc>
                <w:tcPr>
                  <w:tcW w:w="12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0.54%</w:t>
                  </w:r>
                </w:p>
              </w:tc>
              <w:tc>
                <w:tcPr>
                  <w:tcW w:w="12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i w:val="0"/>
                      <w:color w:val="auto"/>
                      <w:kern w:val="0"/>
                      <w:sz w:val="21"/>
                      <w:szCs w:val="21"/>
                      <w:highlight w:val="none"/>
                      <w:u w:val="none"/>
                      <w:lang w:val="en-US" w:eastAsia="zh-CN" w:bidi="ar"/>
                    </w:rPr>
                    <w:t>0.8504</w:t>
                  </w:r>
                </w:p>
              </w:tc>
              <w:tc>
                <w:tcPr>
                  <w:tcW w:w="12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ascii="Times New Roman" w:hAnsi="Times New Roman" w:eastAsia="宋体" w:cs="Times New Roman"/>
                      <w:i w:val="0"/>
                      <w:color w:val="auto"/>
                      <w:kern w:val="0"/>
                      <w:sz w:val="21"/>
                      <w:szCs w:val="21"/>
                      <w:highlight w:val="none"/>
                      <w:u w:val="none"/>
                      <w:lang w:val="en-US" w:eastAsia="zh-CN" w:bidi="ar"/>
                    </w:rPr>
                    <w:t>17</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12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3.898</w:t>
                  </w:r>
                </w:p>
              </w:tc>
              <w:tc>
                <w:tcPr>
                  <w:tcW w:w="127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1.29</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1"/>
                      <w:sz w:val="21"/>
                      <w:szCs w:val="21"/>
                      <w:highlight w:val="none"/>
                    </w:rPr>
                    <w:t>下风向最大质量浓度距源距离D(m)</w:t>
                  </w:r>
                </w:p>
              </w:tc>
              <w:tc>
                <w:tcPr>
                  <w:tcW w:w="255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164</w:t>
                  </w:r>
                </w:p>
              </w:tc>
              <w:tc>
                <w:tcPr>
                  <w:tcW w:w="25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159</w:t>
                  </w:r>
                </w:p>
              </w:tc>
              <w:tc>
                <w:tcPr>
                  <w:tcW w:w="2550"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1397"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1"/>
                      <w:sz w:val="21"/>
                      <w:szCs w:val="21"/>
                      <w:highlight w:val="none"/>
                    </w:rPr>
                    <w:t>D</w:t>
                  </w:r>
                  <w:r>
                    <w:rPr>
                      <w:rFonts w:hint="default" w:ascii="Times New Roman" w:hAnsi="Times New Roman" w:eastAsia="宋体" w:cs="Times New Roman"/>
                      <w:color w:val="auto"/>
                      <w:kern w:val="21"/>
                      <w:sz w:val="21"/>
                      <w:szCs w:val="21"/>
                      <w:highlight w:val="none"/>
                      <w:vertAlign w:val="subscript"/>
                    </w:rPr>
                    <w:t>10%</w:t>
                  </w:r>
                  <w:r>
                    <w:rPr>
                      <w:rFonts w:hint="default" w:ascii="Times New Roman" w:hAnsi="Times New Roman" w:eastAsia="宋体" w:cs="Times New Roman"/>
                      <w:color w:val="auto"/>
                      <w:kern w:val="21"/>
                      <w:sz w:val="21"/>
                      <w:szCs w:val="21"/>
                      <w:highlight w:val="none"/>
                    </w:rPr>
                    <w:t>最远距离</w:t>
                  </w:r>
                  <w:r>
                    <w:rPr>
                      <w:rFonts w:hint="default" w:ascii="Times New Roman" w:hAnsi="Times New Roman" w:eastAsia="宋体" w:cs="Times New Roman"/>
                      <w:color w:val="auto"/>
                      <w:kern w:val="21"/>
                      <w:sz w:val="21"/>
                      <w:szCs w:val="21"/>
                      <w:highlight w:val="none"/>
                      <w:lang w:val="en-US" w:eastAsia="zh-CN"/>
                    </w:rPr>
                    <w:t>/</w:t>
                  </w:r>
                  <w:r>
                    <w:rPr>
                      <w:rFonts w:hint="default" w:ascii="Times New Roman" w:hAnsi="Times New Roman" w:eastAsia="宋体" w:cs="Times New Roman"/>
                      <w:color w:val="auto"/>
                      <w:kern w:val="21"/>
                      <w:sz w:val="21"/>
                      <w:szCs w:val="21"/>
                      <w:highlight w:val="none"/>
                    </w:rPr>
                    <w:t>m</w:t>
                  </w:r>
                </w:p>
              </w:tc>
              <w:tc>
                <w:tcPr>
                  <w:tcW w:w="255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5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bl>
          <w:p>
            <w:pPr>
              <w:pStyle w:val="13"/>
              <w:spacing w:line="360" w:lineRule="auto"/>
              <w:ind w:firstLine="482" w:firstLineChars="20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表</w:t>
            </w:r>
            <w:r>
              <w:rPr>
                <w:rFonts w:hint="eastAsia" w:ascii="Times New Roman" w:hAnsi="Times New Roman" w:cs="Times New Roman"/>
                <w:b/>
                <w:bCs/>
                <w:color w:val="auto"/>
                <w:kern w:val="0"/>
                <w:sz w:val="24"/>
                <w:highlight w:val="none"/>
                <w:lang w:val="en-US" w:eastAsia="zh-CN"/>
              </w:rPr>
              <w:t>36</w:t>
            </w:r>
            <w:r>
              <w:rPr>
                <w:rFonts w:hint="eastAsia" w:ascii="Times New Roman" w:hAnsi="Times New Roman" w:eastAsia="宋体" w:cs="Times New Roman"/>
                <w:b/>
                <w:bCs/>
                <w:color w:val="auto"/>
                <w:kern w:val="0"/>
                <w:sz w:val="24"/>
                <w:highlight w:val="none"/>
                <w:lang w:val="en-US" w:eastAsia="zh-CN"/>
              </w:rPr>
              <w:t>（</w:t>
            </w:r>
            <w:r>
              <w:rPr>
                <w:rFonts w:hint="eastAsia" w:ascii="Times New Roman" w:hAnsi="Times New Roman" w:cs="Times New Roman"/>
                <w:b/>
                <w:bCs/>
                <w:color w:val="auto"/>
                <w:kern w:val="0"/>
                <w:sz w:val="24"/>
                <w:highlight w:val="none"/>
                <w:lang w:val="en-US" w:eastAsia="zh-CN"/>
              </w:rPr>
              <w:t>2</w:t>
            </w:r>
            <w:r>
              <w:rPr>
                <w:rFonts w:hint="eastAsia" w:ascii="Times New Roman" w:hAnsi="Times New Roman" w:eastAsia="宋体" w:cs="Times New Roman"/>
                <w:b/>
                <w:bCs/>
                <w:color w:val="auto"/>
                <w:kern w:val="0"/>
                <w:sz w:val="24"/>
                <w:highlight w:val="none"/>
                <w:lang w:val="en-US" w:eastAsia="zh-CN"/>
              </w:rPr>
              <w:t>）</w:t>
            </w:r>
            <w:r>
              <w:rPr>
                <w:rFonts w:hint="default" w:ascii="Times New Roman" w:hAnsi="Times New Roman" w:eastAsia="宋体" w:cs="Times New Roman"/>
                <w:b/>
                <w:bCs/>
                <w:color w:val="auto"/>
                <w:kern w:val="0"/>
                <w:sz w:val="24"/>
                <w:highlight w:val="none"/>
              </w:rPr>
              <w:t xml:space="preserve">  估算模式预测有组织扩散结果</w:t>
            </w:r>
          </w:p>
          <w:tbl>
            <w:tblPr>
              <w:tblStyle w:val="28"/>
              <w:tblW w:w="900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3181"/>
              <w:gridCol w:w="2912"/>
              <w:gridCol w:w="29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Merge w:val="restart"/>
                  <w:shd w:val="clear" w:color="auto" w:fill="F1F1F1"/>
                  <w:vAlign w:val="center"/>
                </w:tcPr>
                <w:p>
                  <w:pPr>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距离（m）</w:t>
                  </w:r>
                </w:p>
              </w:tc>
              <w:tc>
                <w:tcPr>
                  <w:tcW w:w="5821" w:type="dxa"/>
                  <w:gridSpan w:val="2"/>
                  <w:shd w:val="clear" w:color="auto" w:fill="F1F1F1"/>
                  <w:vAlign w:val="center"/>
                </w:tcPr>
                <w:p>
                  <w:pPr>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P</w:t>
                  </w:r>
                  <w:r>
                    <w:rPr>
                      <w:rFonts w:hint="eastAsia" w:ascii="Times New Roman" w:hAnsi="Times New Roman" w:cs="Times New Roman"/>
                      <w:b/>
                      <w:bCs/>
                      <w:color w:val="auto"/>
                      <w:kern w:val="0"/>
                      <w:sz w:val="21"/>
                      <w:szCs w:val="21"/>
                      <w:highlight w:val="none"/>
                      <w:lang w:val="en-US" w:eastAsia="zh-CN"/>
                    </w:rPr>
                    <w:t>3</w:t>
                  </w:r>
                  <w:r>
                    <w:rPr>
                      <w:rFonts w:hint="default" w:ascii="Times New Roman" w:hAnsi="Times New Roman" w:eastAsia="宋体" w:cs="Times New Roman"/>
                      <w:b/>
                      <w:bCs/>
                      <w:color w:val="auto"/>
                      <w:kern w:val="0"/>
                      <w:sz w:val="21"/>
                      <w:szCs w:val="21"/>
                      <w:highlight w:val="none"/>
                    </w:rPr>
                    <w:t>排气筒</w:t>
                  </w:r>
                  <w:r>
                    <w:rPr>
                      <w:rFonts w:hint="default" w:ascii="Times New Roman" w:hAnsi="Times New Roman" w:eastAsia="宋体" w:cs="Times New Roman"/>
                      <w:b/>
                      <w:bCs/>
                      <w:color w:val="auto"/>
                      <w:kern w:val="0"/>
                      <w:sz w:val="21"/>
                      <w:szCs w:val="21"/>
                      <w:highlight w:val="none"/>
                      <w:lang w:eastAsia="zh-CN"/>
                    </w:rPr>
                    <w:t>颗粒物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Merge w:val="continue"/>
                  <w:shd w:val="clear" w:color="auto" w:fill="F1F1F1"/>
                  <w:vAlign w:val="center"/>
                </w:tcPr>
                <w:p>
                  <w:pPr>
                    <w:spacing w:line="360" w:lineRule="exact"/>
                    <w:jc w:val="center"/>
                    <w:rPr>
                      <w:rFonts w:hint="default" w:ascii="Times New Roman" w:hAnsi="Times New Roman" w:eastAsia="宋体" w:cs="Times New Roman"/>
                      <w:b/>
                      <w:bCs/>
                      <w:color w:val="auto"/>
                      <w:kern w:val="0"/>
                      <w:sz w:val="21"/>
                      <w:szCs w:val="21"/>
                      <w:highlight w:val="none"/>
                    </w:rPr>
                  </w:pPr>
                </w:p>
              </w:tc>
              <w:tc>
                <w:tcPr>
                  <w:tcW w:w="2912" w:type="dxa"/>
                  <w:shd w:val="clear" w:color="auto" w:fill="F1F1F1"/>
                  <w:vAlign w:val="center"/>
                </w:tcPr>
                <w:p>
                  <w:pPr>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w:t>
                  </w:r>
                  <w:r>
                    <w:rPr>
                      <w:rFonts w:hint="default" w:ascii="Times New Roman" w:hAnsi="Times New Roman" w:eastAsia="宋体" w:cs="Times New Roman"/>
                      <w:b/>
                      <w:bCs/>
                      <w:color w:val="auto"/>
                      <w:kern w:val="0"/>
                      <w:sz w:val="21"/>
                      <w:szCs w:val="21"/>
                      <w:highlight w:val="none"/>
                      <w:lang w:eastAsia="zh-CN"/>
                    </w:rPr>
                    <w:t>μ</w:t>
                  </w:r>
                  <w:r>
                    <w:rPr>
                      <w:rFonts w:hint="default" w:ascii="Times New Roman" w:hAnsi="Times New Roman" w:eastAsia="宋体" w:cs="Times New Roman"/>
                      <w:b/>
                      <w:bCs/>
                      <w:color w:val="auto"/>
                      <w:kern w:val="0"/>
                      <w:sz w:val="21"/>
                      <w:szCs w:val="21"/>
                      <w:highlight w:val="none"/>
                    </w:rPr>
                    <w:t>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2909" w:type="dxa"/>
                  <w:shd w:val="clear" w:color="auto" w:fill="F1F1F1"/>
                  <w:vAlign w:val="center"/>
                </w:tcPr>
                <w:p>
                  <w:pPr>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占标率（%）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0.000004594</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0.2149</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50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0.2148</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75</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0.2746</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0.2763</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0.31</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0.2647</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0.2246</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0.2146</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0.2027</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0.186</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0.1742</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0.1618</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0.1498</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0.1416</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0.1338</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0.1263</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0.12</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0.1144</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0.1093</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0.1062</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0.1031</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0.09725</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0.09488</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0.0926</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0.09041</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0.08831</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2500</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0.08629</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napToGrid w:val="0"/>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1"/>
                      <w:sz w:val="21"/>
                      <w:szCs w:val="21"/>
                      <w:highlight w:val="none"/>
                    </w:rPr>
                    <w:t>下风向最大质量浓度</w:t>
                  </w:r>
                  <w:r>
                    <w:rPr>
                      <w:rFonts w:hint="default" w:ascii="Times New Roman" w:hAnsi="Times New Roman" w:eastAsia="宋体" w:cs="Times New Roman"/>
                      <w:color w:val="auto"/>
                      <w:kern w:val="21"/>
                      <w:sz w:val="21"/>
                      <w:szCs w:val="21"/>
                      <w:highlight w:val="none"/>
                      <w:lang w:eastAsia="zh-CN"/>
                    </w:rPr>
                    <w:t>及占标率</w:t>
                  </w:r>
                  <w:r>
                    <w:rPr>
                      <w:rFonts w:hint="default" w:ascii="Times New Roman" w:hAnsi="Times New Roman" w:eastAsia="宋体" w:cs="Times New Roman"/>
                      <w:color w:val="auto"/>
                      <w:kern w:val="21"/>
                      <w:sz w:val="21"/>
                      <w:szCs w:val="21"/>
                      <w:highlight w:val="none"/>
                      <w:lang w:val="en-US" w:eastAsia="zh-CN"/>
                    </w:rPr>
                    <w:t>/%</w:t>
                  </w:r>
                </w:p>
              </w:tc>
              <w:tc>
                <w:tcPr>
                  <w:tcW w:w="291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0.3189</w:t>
                  </w:r>
                </w:p>
              </w:tc>
              <w:tc>
                <w:tcPr>
                  <w:tcW w:w="2909"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napToGrid w:val="0"/>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1"/>
                      <w:sz w:val="21"/>
                      <w:szCs w:val="21"/>
                      <w:highlight w:val="none"/>
                    </w:rPr>
                    <w:t>下风向最大质量浓度距源距离D(m)</w:t>
                  </w:r>
                </w:p>
              </w:tc>
              <w:tc>
                <w:tcPr>
                  <w:tcW w:w="5821" w:type="dxa"/>
                  <w:gridSpan w:val="2"/>
                  <w:vAlign w:val="center"/>
                </w:tcPr>
                <w:p>
                  <w:pPr>
                    <w:widowControl/>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181" w:type="dxa"/>
                  <w:vAlign w:val="center"/>
                </w:tcPr>
                <w:p>
                  <w:pPr>
                    <w:snapToGrid w:val="0"/>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1"/>
                      <w:sz w:val="21"/>
                      <w:szCs w:val="21"/>
                      <w:highlight w:val="none"/>
                    </w:rPr>
                    <w:t>D</w:t>
                  </w:r>
                  <w:r>
                    <w:rPr>
                      <w:rFonts w:hint="default" w:ascii="Times New Roman" w:hAnsi="Times New Roman" w:eastAsia="宋体" w:cs="Times New Roman"/>
                      <w:color w:val="auto"/>
                      <w:kern w:val="21"/>
                      <w:sz w:val="21"/>
                      <w:szCs w:val="21"/>
                      <w:highlight w:val="none"/>
                      <w:vertAlign w:val="subscript"/>
                    </w:rPr>
                    <w:t>10%</w:t>
                  </w:r>
                  <w:r>
                    <w:rPr>
                      <w:rFonts w:hint="default" w:ascii="Times New Roman" w:hAnsi="Times New Roman" w:eastAsia="宋体" w:cs="Times New Roman"/>
                      <w:color w:val="auto"/>
                      <w:kern w:val="21"/>
                      <w:sz w:val="21"/>
                      <w:szCs w:val="21"/>
                      <w:highlight w:val="none"/>
                    </w:rPr>
                    <w:t>最远距离</w:t>
                  </w:r>
                  <w:r>
                    <w:rPr>
                      <w:rFonts w:hint="default" w:ascii="Times New Roman" w:hAnsi="Times New Roman" w:eastAsia="宋体" w:cs="Times New Roman"/>
                      <w:color w:val="auto"/>
                      <w:kern w:val="21"/>
                      <w:sz w:val="21"/>
                      <w:szCs w:val="21"/>
                      <w:highlight w:val="none"/>
                      <w:lang w:val="en-US" w:eastAsia="zh-CN"/>
                    </w:rPr>
                    <w:t>/</w:t>
                  </w:r>
                  <w:r>
                    <w:rPr>
                      <w:rFonts w:hint="default" w:ascii="Times New Roman" w:hAnsi="Times New Roman" w:eastAsia="宋体" w:cs="Times New Roman"/>
                      <w:color w:val="auto"/>
                      <w:kern w:val="21"/>
                      <w:sz w:val="21"/>
                      <w:szCs w:val="21"/>
                      <w:highlight w:val="none"/>
                    </w:rPr>
                    <w:t>m</w:t>
                  </w:r>
                </w:p>
              </w:tc>
              <w:tc>
                <w:tcPr>
                  <w:tcW w:w="5821" w:type="dxa"/>
                  <w:gridSpan w:val="2"/>
                  <w:vAlign w:val="center"/>
                </w:tcPr>
                <w:p>
                  <w:pPr>
                    <w:widowControl/>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bl>
          <w:p>
            <w:pPr>
              <w:pStyle w:val="12"/>
              <w:pageBreakBefore w:val="0"/>
              <w:kinsoku/>
              <w:wordWrap/>
              <w:overflowPunct/>
              <w:topLinePunct w:val="0"/>
              <w:bidi w:val="0"/>
              <w:spacing w:line="360" w:lineRule="auto"/>
              <w:ind w:left="0" w:right="0" w:firstLine="480" w:firstLineChars="200"/>
              <w:jc w:val="left"/>
              <w:rPr>
                <w:b w:val="0"/>
                <w:bCs/>
                <w:color w:val="auto"/>
                <w:highlight w:val="none"/>
                <w:u w:val="none"/>
              </w:rPr>
            </w:pPr>
            <w:r>
              <w:rPr>
                <w:b w:val="0"/>
                <w:bCs/>
                <w:color w:val="auto"/>
                <w:highlight w:val="none"/>
                <w:u w:val="none"/>
              </w:rPr>
              <w:t>由以上预测结果可知，项目</w:t>
            </w:r>
            <w:r>
              <w:rPr>
                <w:rFonts w:hint="eastAsia"/>
                <w:b w:val="0"/>
                <w:bCs/>
                <w:color w:val="auto"/>
                <w:highlight w:val="none"/>
                <w:u w:val="none"/>
                <w:lang w:val="en-US" w:eastAsia="zh-CN"/>
              </w:rPr>
              <w:t>P1和P3排放大气污染物最大占标率为1.29%，1%</w:t>
            </w:r>
            <w:r>
              <w:rPr>
                <w:rFonts w:hint="eastAsia"/>
                <w:b w:val="0"/>
                <w:bCs/>
                <w:color w:val="auto"/>
                <w:highlight w:val="none"/>
                <w:u w:val="none"/>
                <w:lang w:eastAsia="zh-CN"/>
              </w:rPr>
              <w:t>＜</w:t>
            </w:r>
            <w:r>
              <w:rPr>
                <w:rFonts w:hint="eastAsia"/>
                <w:b w:val="0"/>
                <w:bCs/>
                <w:color w:val="auto"/>
                <w:highlight w:val="none"/>
                <w:u w:val="none"/>
                <w:lang w:val="en-US" w:eastAsia="zh-CN"/>
              </w:rPr>
              <w:t>P</w:t>
            </w:r>
            <w:r>
              <w:rPr>
                <w:rFonts w:hint="eastAsia"/>
                <w:b w:val="0"/>
                <w:bCs/>
                <w:color w:val="auto"/>
                <w:highlight w:val="none"/>
                <w:u w:val="none"/>
                <w:vertAlign w:val="subscript"/>
                <w:lang w:val="en-US" w:eastAsia="zh-CN"/>
              </w:rPr>
              <w:t>max</w:t>
            </w:r>
            <w:r>
              <w:rPr>
                <w:rFonts w:hint="eastAsia"/>
                <w:b w:val="0"/>
                <w:bCs/>
                <w:color w:val="auto"/>
                <w:highlight w:val="none"/>
                <w:u w:val="none"/>
                <w:lang w:eastAsia="zh-CN"/>
              </w:rPr>
              <w:t>＜</w:t>
            </w:r>
            <w:r>
              <w:rPr>
                <w:rFonts w:hint="eastAsia"/>
                <w:b w:val="0"/>
                <w:bCs/>
                <w:color w:val="auto"/>
                <w:highlight w:val="none"/>
                <w:u w:val="none"/>
                <w:lang w:val="en-US" w:eastAsia="zh-CN"/>
              </w:rPr>
              <w:t>10%</w:t>
            </w:r>
            <w:r>
              <w:rPr>
                <w:b w:val="0"/>
                <w:bCs/>
                <w:color w:val="auto"/>
                <w:highlight w:val="none"/>
                <w:u w:val="none"/>
              </w:rPr>
              <w:t>，，</w:t>
            </w:r>
            <w:r>
              <w:rPr>
                <w:rFonts w:hint="eastAsia"/>
                <w:color w:val="auto"/>
                <w:highlight w:val="none"/>
                <w:lang w:val="en-US" w:eastAsia="zh-CN"/>
              </w:rPr>
              <w:t>环境影响评价等级判定为二级级，</w:t>
            </w:r>
            <w:r>
              <w:rPr>
                <w:rFonts w:cs="Times New Roman"/>
                <w:color w:val="auto"/>
                <w:highlight w:val="none"/>
              </w:rPr>
              <w:t>对周边环境影响很小。</w:t>
            </w:r>
          </w:p>
          <w:p>
            <w:pPr>
              <w:pStyle w:val="4"/>
              <w:keepNext w:val="0"/>
              <w:spacing w:line="360" w:lineRule="auto"/>
              <w:ind w:right="105" w:rightChars="50"/>
              <w:rPr>
                <w:rFonts w:ascii="Times New Roman" w:hAnsi="Times New Roman"/>
                <w:b w:val="0"/>
                <w:color w:val="auto"/>
                <w:sz w:val="24"/>
                <w:highlight w:val="none"/>
              </w:rPr>
            </w:pPr>
            <w:bookmarkStart w:id="5" w:name="_Toc478484800"/>
            <w:bookmarkStart w:id="6" w:name="_Toc481606833"/>
            <w:r>
              <w:rPr>
                <w:rFonts w:hint="eastAsia" w:ascii="Times New Roman" w:hAnsi="Times New Roman"/>
                <w:b w:val="0"/>
                <w:color w:val="auto"/>
                <w:sz w:val="24"/>
                <w:highlight w:val="none"/>
                <w:lang w:eastAsia="zh-CN"/>
              </w:rPr>
              <w:t>（</w:t>
            </w:r>
            <w:r>
              <w:rPr>
                <w:rFonts w:hint="eastAsia" w:ascii="Times New Roman" w:hAnsi="Times New Roman"/>
                <w:b w:val="0"/>
                <w:color w:val="auto"/>
                <w:sz w:val="24"/>
                <w:highlight w:val="none"/>
                <w:lang w:val="en-US" w:eastAsia="zh-CN"/>
              </w:rPr>
              <w:t>2</w:t>
            </w:r>
            <w:r>
              <w:rPr>
                <w:rFonts w:hint="eastAsia" w:ascii="Times New Roman" w:hAnsi="Times New Roman"/>
                <w:b w:val="0"/>
                <w:color w:val="auto"/>
                <w:sz w:val="24"/>
                <w:highlight w:val="none"/>
                <w:lang w:eastAsia="zh-CN"/>
              </w:rPr>
              <w:t>）</w:t>
            </w:r>
            <w:r>
              <w:rPr>
                <w:rFonts w:ascii="Times New Roman" w:hAnsi="Times New Roman"/>
                <w:b w:val="0"/>
                <w:color w:val="auto"/>
                <w:sz w:val="24"/>
                <w:highlight w:val="none"/>
              </w:rPr>
              <w:t>无组织</w:t>
            </w:r>
            <w:r>
              <w:rPr>
                <w:rFonts w:hint="eastAsia" w:ascii="Times New Roman" w:hAnsi="Times New Roman"/>
                <w:b w:val="0"/>
                <w:color w:val="auto"/>
                <w:sz w:val="24"/>
                <w:highlight w:val="none"/>
              </w:rPr>
              <w:t>排放</w:t>
            </w:r>
            <w:bookmarkEnd w:id="5"/>
            <w:bookmarkEnd w:id="6"/>
          </w:p>
          <w:p>
            <w:pPr>
              <w:spacing w:line="360" w:lineRule="auto"/>
              <w:ind w:left="50" w:right="50" w:firstLine="420" w:firstLineChars="200"/>
              <w:rPr>
                <w:bCs/>
                <w:color w:val="auto"/>
                <w:szCs w:val="24"/>
                <w:highlight w:val="none"/>
              </w:rPr>
            </w:pPr>
            <w:r>
              <w:rPr>
                <w:bCs/>
                <w:color w:val="auto"/>
                <w:highlight w:val="none"/>
              </w:rPr>
              <w:t>根据工程分析，各生产环节中</w:t>
            </w:r>
            <w:r>
              <w:rPr>
                <w:rFonts w:hint="eastAsia"/>
                <w:bCs/>
                <w:color w:val="auto"/>
                <w:highlight w:val="none"/>
              </w:rPr>
              <w:t>无组织</w:t>
            </w:r>
            <w:r>
              <w:rPr>
                <w:bCs/>
                <w:color w:val="auto"/>
                <w:highlight w:val="none"/>
              </w:rPr>
              <w:t>废气产生具体情况见</w:t>
            </w:r>
            <w:r>
              <w:rPr>
                <w:rFonts w:hint="eastAsia"/>
                <w:bCs/>
                <w:color w:val="auto"/>
                <w:highlight w:val="none"/>
              </w:rPr>
              <w:t>下</w:t>
            </w:r>
            <w:r>
              <w:rPr>
                <w:bCs/>
                <w:color w:val="auto"/>
                <w:highlight w:val="none"/>
              </w:rPr>
              <w:t>表。</w:t>
            </w:r>
          </w:p>
          <w:p>
            <w:pPr>
              <w:spacing w:line="360" w:lineRule="auto"/>
              <w:ind w:firstLine="420" w:firstLineChars="200"/>
              <w:jc w:val="center"/>
              <w:rPr>
                <w:bCs/>
                <w:color w:val="auto"/>
                <w:szCs w:val="24"/>
                <w:highlight w:val="none"/>
              </w:rPr>
            </w:pPr>
            <w:r>
              <w:rPr>
                <w:bCs/>
                <w:color w:val="auto"/>
                <w:szCs w:val="24"/>
                <w:highlight w:val="none"/>
              </w:rPr>
              <w:t>表</w:t>
            </w:r>
            <w:r>
              <w:rPr>
                <w:rFonts w:hint="eastAsia"/>
                <w:bCs/>
                <w:color w:val="auto"/>
                <w:szCs w:val="24"/>
                <w:highlight w:val="none"/>
                <w:lang w:val="en-US" w:eastAsia="zh-CN"/>
              </w:rPr>
              <w:t>45</w:t>
            </w:r>
            <w:r>
              <w:rPr>
                <w:bCs/>
                <w:color w:val="auto"/>
                <w:szCs w:val="24"/>
                <w:highlight w:val="none"/>
              </w:rPr>
              <w:t xml:space="preserve">  本项目各生产环节</w:t>
            </w:r>
            <w:r>
              <w:rPr>
                <w:rFonts w:hint="eastAsia"/>
                <w:bCs/>
                <w:color w:val="auto"/>
                <w:szCs w:val="24"/>
                <w:highlight w:val="none"/>
              </w:rPr>
              <w:t>无组织颗粒物</w:t>
            </w:r>
            <w:r>
              <w:rPr>
                <w:bCs/>
                <w:color w:val="auto"/>
                <w:szCs w:val="24"/>
                <w:highlight w:val="none"/>
              </w:rPr>
              <w:t>产生情况</w:t>
            </w:r>
          </w:p>
          <w:tbl>
            <w:tblPr>
              <w:tblStyle w:val="28"/>
              <w:tblW w:w="8982" w:type="dxa"/>
              <w:jc w:val="center"/>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06"/>
              <w:gridCol w:w="1491"/>
              <w:gridCol w:w="2442"/>
              <w:gridCol w:w="24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2606" w:type="dxa"/>
                  <w:tcBorders>
                    <w:tl2br w:val="nil"/>
                    <w:tr2bl w:val="nil"/>
                  </w:tcBorders>
                  <w:shd w:val="clear" w:color="auto" w:fill="F1F1F1"/>
                  <w:vAlign w:val="center"/>
                </w:tcPr>
                <w:p>
                  <w:pPr>
                    <w:adjustRightInd w:val="0"/>
                    <w:snapToGrid w:val="0"/>
                    <w:ind w:left="-105" w:leftChars="-50"/>
                    <w:jc w:val="center"/>
                    <w:rPr>
                      <w:bCs/>
                      <w:color w:val="auto"/>
                      <w:sz w:val="21"/>
                      <w:szCs w:val="21"/>
                      <w:highlight w:val="none"/>
                    </w:rPr>
                  </w:pPr>
                  <w:r>
                    <w:rPr>
                      <w:bCs/>
                      <w:color w:val="auto"/>
                      <w:sz w:val="21"/>
                      <w:szCs w:val="21"/>
                      <w:highlight w:val="none"/>
                    </w:rPr>
                    <w:t>污染工序</w:t>
                  </w:r>
                </w:p>
              </w:tc>
              <w:tc>
                <w:tcPr>
                  <w:tcW w:w="1491" w:type="dxa"/>
                  <w:tcBorders>
                    <w:tl2br w:val="nil"/>
                    <w:tr2bl w:val="nil"/>
                  </w:tcBorders>
                  <w:shd w:val="clear" w:color="auto" w:fill="F1F1F1"/>
                  <w:vAlign w:val="center"/>
                </w:tcPr>
                <w:p>
                  <w:pPr>
                    <w:adjustRightInd w:val="0"/>
                    <w:snapToGrid w:val="0"/>
                    <w:ind w:left="-105" w:leftChars="-50"/>
                    <w:jc w:val="center"/>
                    <w:rPr>
                      <w:bCs/>
                      <w:color w:val="auto"/>
                      <w:sz w:val="21"/>
                      <w:szCs w:val="21"/>
                      <w:highlight w:val="none"/>
                    </w:rPr>
                  </w:pPr>
                  <w:r>
                    <w:rPr>
                      <w:bCs/>
                      <w:color w:val="auto"/>
                      <w:sz w:val="21"/>
                      <w:szCs w:val="21"/>
                      <w:highlight w:val="none"/>
                    </w:rPr>
                    <w:t>污染物</w:t>
                  </w:r>
                </w:p>
              </w:tc>
              <w:tc>
                <w:tcPr>
                  <w:tcW w:w="2442" w:type="dxa"/>
                  <w:tcBorders>
                    <w:tl2br w:val="nil"/>
                    <w:tr2bl w:val="nil"/>
                  </w:tcBorders>
                  <w:shd w:val="clear" w:color="auto" w:fill="F1F1F1"/>
                  <w:vAlign w:val="center"/>
                </w:tcPr>
                <w:p>
                  <w:pPr>
                    <w:adjustRightInd w:val="0"/>
                    <w:snapToGrid w:val="0"/>
                    <w:ind w:left="-105" w:leftChars="-50"/>
                    <w:jc w:val="center"/>
                    <w:rPr>
                      <w:rFonts w:hint="eastAsia"/>
                      <w:bCs/>
                      <w:color w:val="auto"/>
                      <w:sz w:val="21"/>
                      <w:szCs w:val="21"/>
                      <w:highlight w:val="none"/>
                    </w:rPr>
                  </w:pPr>
                  <w:r>
                    <w:rPr>
                      <w:rFonts w:hint="eastAsia"/>
                      <w:bCs/>
                      <w:color w:val="auto"/>
                      <w:sz w:val="21"/>
                      <w:szCs w:val="21"/>
                      <w:highlight w:val="none"/>
                    </w:rPr>
                    <w:t>排放量（t/a）</w:t>
                  </w:r>
                </w:p>
              </w:tc>
              <w:tc>
                <w:tcPr>
                  <w:tcW w:w="2443" w:type="dxa"/>
                  <w:tcBorders>
                    <w:tl2br w:val="nil"/>
                    <w:tr2bl w:val="nil"/>
                  </w:tcBorders>
                  <w:shd w:val="clear" w:color="auto" w:fill="F1F1F1"/>
                  <w:vAlign w:val="center"/>
                </w:tcPr>
                <w:p>
                  <w:pPr>
                    <w:adjustRightInd w:val="0"/>
                    <w:snapToGrid w:val="0"/>
                    <w:ind w:left="-105" w:leftChars="-50"/>
                    <w:jc w:val="center"/>
                    <w:rPr>
                      <w:bCs/>
                      <w:color w:val="auto"/>
                      <w:sz w:val="21"/>
                      <w:szCs w:val="21"/>
                      <w:highlight w:val="none"/>
                    </w:rPr>
                  </w:pPr>
                  <w:r>
                    <w:rPr>
                      <w:rFonts w:hint="eastAsia"/>
                      <w:bCs/>
                      <w:color w:val="auto"/>
                      <w:sz w:val="21"/>
                      <w:szCs w:val="21"/>
                      <w:highlight w:val="none"/>
                    </w:rPr>
                    <w:t>排放速率</w:t>
                  </w:r>
                  <w:r>
                    <w:rPr>
                      <w:bCs/>
                      <w:color w:val="auto"/>
                      <w:sz w:val="21"/>
                      <w:szCs w:val="21"/>
                      <w:highlight w:val="none"/>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1" w:hRule="atLeast"/>
                <w:jc w:val="center"/>
              </w:trPr>
              <w:tc>
                <w:tcPr>
                  <w:tcW w:w="2606" w:type="dxa"/>
                  <w:tcBorders>
                    <w:tl2br w:val="nil"/>
                    <w:tr2bl w:val="nil"/>
                  </w:tcBorders>
                  <w:vAlign w:val="center"/>
                </w:tcPr>
                <w:p>
                  <w:pPr>
                    <w:ind w:left="-105" w:leftChars="-50" w:right="-105" w:rightChars="-50"/>
                    <w:jc w:val="center"/>
                    <w:rPr>
                      <w:rFonts w:hint="eastAsia"/>
                      <w:bCs/>
                      <w:color w:val="auto"/>
                      <w:sz w:val="21"/>
                      <w:szCs w:val="21"/>
                      <w:highlight w:val="none"/>
                    </w:rPr>
                  </w:pPr>
                  <w:r>
                    <w:rPr>
                      <w:bCs/>
                      <w:color w:val="auto"/>
                      <w:szCs w:val="21"/>
                      <w:highlight w:val="none"/>
                    </w:rPr>
                    <w:t>备料粉尘</w:t>
                  </w:r>
                </w:p>
              </w:tc>
              <w:tc>
                <w:tcPr>
                  <w:tcW w:w="1491" w:type="dxa"/>
                  <w:tcBorders>
                    <w:tl2br w:val="nil"/>
                    <w:tr2bl w:val="nil"/>
                  </w:tcBorders>
                  <w:vAlign w:val="center"/>
                </w:tcPr>
                <w:p>
                  <w:pPr>
                    <w:adjustRightInd w:val="0"/>
                    <w:snapToGrid w:val="0"/>
                    <w:ind w:left="-105" w:leftChars="-50"/>
                    <w:jc w:val="center"/>
                    <w:rPr>
                      <w:rFonts w:hint="eastAsia"/>
                      <w:bCs/>
                      <w:color w:val="auto"/>
                      <w:sz w:val="21"/>
                      <w:szCs w:val="21"/>
                      <w:highlight w:val="none"/>
                    </w:rPr>
                  </w:pPr>
                  <w:r>
                    <w:rPr>
                      <w:rFonts w:hint="eastAsia"/>
                      <w:bCs/>
                      <w:color w:val="auto"/>
                      <w:sz w:val="21"/>
                      <w:szCs w:val="21"/>
                      <w:highlight w:val="none"/>
                    </w:rPr>
                    <w:t>颗粒物</w:t>
                  </w:r>
                </w:p>
              </w:tc>
              <w:tc>
                <w:tcPr>
                  <w:tcW w:w="24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0.3</w:t>
                  </w:r>
                </w:p>
              </w:tc>
              <w:tc>
                <w:tcPr>
                  <w:tcW w:w="2443"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21"/>
                      <w:szCs w:val="21"/>
                      <w:highlight w:val="none"/>
                      <w:lang w:val="en-US" w:eastAsia="zh-CN"/>
                    </w:rPr>
                  </w:pPr>
                  <w:r>
                    <w:rPr>
                      <w:bCs/>
                      <w:color w:val="auto"/>
                      <w:szCs w:val="21"/>
                      <w:highlight w:val="none"/>
                    </w:rPr>
                    <w:t>0.125</w:t>
                  </w:r>
                </w:p>
              </w:tc>
            </w:tr>
          </w:tbl>
          <w:p>
            <w:pPr>
              <w:spacing w:line="360" w:lineRule="auto"/>
              <w:ind w:firstLine="480" w:firstLineChars="200"/>
              <w:rPr>
                <w:rFonts w:hint="eastAsia" w:eastAsia="宋体"/>
                <w:bCs/>
                <w:color w:val="auto"/>
                <w:sz w:val="24"/>
                <w:szCs w:val="24"/>
                <w:highlight w:val="none"/>
                <w:lang w:eastAsia="zh-CN"/>
              </w:rPr>
            </w:pPr>
            <w:r>
              <w:rPr>
                <w:rFonts w:hint="eastAsia"/>
                <w:bCs/>
                <w:color w:val="auto"/>
                <w:sz w:val="24"/>
                <w:szCs w:val="24"/>
                <w:highlight w:val="none"/>
                <w:lang w:eastAsia="zh-CN"/>
              </w:rPr>
              <w:t>预测因子：</w:t>
            </w:r>
          </w:p>
          <w:p>
            <w:pPr>
              <w:spacing w:line="360" w:lineRule="auto"/>
              <w:ind w:firstLine="480" w:firstLineChars="200"/>
              <w:rPr>
                <w:bCs/>
                <w:color w:val="auto"/>
                <w:sz w:val="24"/>
                <w:szCs w:val="24"/>
                <w:highlight w:val="none"/>
              </w:rPr>
            </w:pPr>
            <w:r>
              <w:rPr>
                <w:bCs/>
                <w:color w:val="auto"/>
                <w:sz w:val="24"/>
                <w:szCs w:val="24"/>
                <w:highlight w:val="none"/>
              </w:rPr>
              <w:t>根据本项目污染因子的产生特征，确定本项目的评价因子为</w:t>
            </w:r>
            <w:r>
              <w:rPr>
                <w:rFonts w:hint="eastAsia"/>
                <w:bCs/>
                <w:color w:val="auto"/>
                <w:sz w:val="24"/>
                <w:szCs w:val="24"/>
                <w:highlight w:val="none"/>
              </w:rPr>
              <w:t>颗粒物。将</w:t>
            </w:r>
            <w:r>
              <w:rPr>
                <w:rFonts w:hint="eastAsia"/>
                <w:bCs/>
                <w:color w:val="auto"/>
                <w:sz w:val="24"/>
                <w:szCs w:val="24"/>
                <w:highlight w:val="none"/>
                <w:lang w:eastAsia="zh-CN"/>
              </w:rPr>
              <w:t>生产车间</w:t>
            </w:r>
            <w:r>
              <w:rPr>
                <w:rFonts w:hint="eastAsia"/>
                <w:bCs/>
                <w:color w:val="auto"/>
                <w:sz w:val="24"/>
                <w:szCs w:val="24"/>
                <w:highlight w:val="none"/>
              </w:rPr>
              <w:t>所围区域视为一个面源，</w:t>
            </w:r>
            <w:r>
              <w:rPr>
                <w:bCs/>
                <w:color w:val="auto"/>
                <w:sz w:val="24"/>
                <w:szCs w:val="24"/>
                <w:highlight w:val="none"/>
                <w:lang w:bidi="en-US"/>
              </w:rPr>
              <w:t>无组织排放的</w:t>
            </w:r>
            <w:r>
              <w:rPr>
                <w:rFonts w:hint="eastAsia"/>
                <w:bCs/>
                <w:color w:val="auto"/>
                <w:sz w:val="24"/>
                <w:szCs w:val="24"/>
                <w:highlight w:val="none"/>
                <w:lang w:bidi="en-US"/>
              </w:rPr>
              <w:t>颗粒物</w:t>
            </w:r>
            <w:r>
              <w:rPr>
                <w:bCs/>
                <w:color w:val="auto"/>
                <w:sz w:val="24"/>
                <w:szCs w:val="24"/>
                <w:highlight w:val="none"/>
              </w:rPr>
              <w:t>排放速率</w:t>
            </w:r>
            <w:r>
              <w:rPr>
                <w:rFonts w:hint="eastAsia"/>
                <w:bCs/>
                <w:color w:val="auto"/>
                <w:sz w:val="24"/>
                <w:szCs w:val="24"/>
                <w:highlight w:val="none"/>
              </w:rPr>
              <w:t>约</w:t>
            </w:r>
            <w:r>
              <w:rPr>
                <w:bCs/>
                <w:color w:val="auto"/>
                <w:sz w:val="24"/>
                <w:szCs w:val="24"/>
                <w:highlight w:val="none"/>
              </w:rPr>
              <w:t>为</w:t>
            </w:r>
            <w:r>
              <w:rPr>
                <w:rFonts w:hint="eastAsia"/>
                <w:bCs/>
                <w:color w:val="auto"/>
                <w:sz w:val="24"/>
                <w:szCs w:val="24"/>
                <w:highlight w:val="none"/>
                <w:lang w:val="en-US" w:eastAsia="zh-CN"/>
              </w:rPr>
              <w:t>0.125</w:t>
            </w:r>
            <w:r>
              <w:rPr>
                <w:bCs/>
                <w:color w:val="auto"/>
                <w:sz w:val="24"/>
                <w:szCs w:val="24"/>
                <w:highlight w:val="none"/>
              </w:rPr>
              <w:t>kg/h。</w:t>
            </w:r>
          </w:p>
          <w:p>
            <w:pPr>
              <w:spacing w:line="360" w:lineRule="auto"/>
              <w:ind w:left="6" w:leftChars="3" w:firstLine="480" w:firstLineChars="200"/>
              <w:rPr>
                <w:bCs/>
                <w:color w:val="auto"/>
                <w:sz w:val="24"/>
                <w:szCs w:val="24"/>
                <w:highlight w:val="none"/>
              </w:rPr>
            </w:pPr>
            <w:r>
              <w:rPr>
                <w:bCs/>
                <w:color w:val="auto"/>
                <w:sz w:val="24"/>
                <w:szCs w:val="24"/>
                <w:highlight w:val="none"/>
              </w:rPr>
              <w:t>评价标准：</w:t>
            </w:r>
          </w:p>
          <w:p>
            <w:pPr>
              <w:spacing w:line="360" w:lineRule="auto"/>
              <w:ind w:firstLine="480" w:firstLineChars="200"/>
              <w:rPr>
                <w:bCs/>
                <w:color w:val="auto"/>
                <w:sz w:val="24"/>
                <w:szCs w:val="24"/>
                <w:highlight w:val="none"/>
              </w:rPr>
            </w:pPr>
            <w:r>
              <w:rPr>
                <w:rFonts w:hint="default" w:ascii="Times New Roman" w:hAnsi="Times New Roman" w:eastAsia="宋体" w:cs="Times New Roman"/>
                <w:color w:val="auto"/>
                <w:sz w:val="24"/>
                <w:szCs w:val="24"/>
                <w:highlight w:val="none"/>
              </w:rPr>
              <w:t>颗粒物小时浓度限值质量标准参照《环境空气质量标准》（GB3095-2012）中二级标准中颗粒物（PM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）日均浓度限值的3倍，即为0.45mg/m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w:t>
            </w:r>
          </w:p>
          <w:p>
            <w:pPr>
              <w:spacing w:line="360" w:lineRule="auto"/>
              <w:ind w:firstLine="480" w:firstLineChars="200"/>
              <w:rPr>
                <w:bCs/>
                <w:color w:val="auto"/>
                <w:sz w:val="24"/>
                <w:szCs w:val="24"/>
                <w:highlight w:val="none"/>
              </w:rPr>
            </w:pPr>
            <w:r>
              <w:rPr>
                <w:bCs/>
                <w:color w:val="auto"/>
                <w:sz w:val="24"/>
                <w:szCs w:val="24"/>
                <w:highlight w:val="none"/>
              </w:rPr>
              <w:t>考虑到本次环评评价区域地处农村平原地带，依据《环境影响评价技术导则 大气环境》（HJ/2.2-20</w:t>
            </w:r>
            <w:r>
              <w:rPr>
                <w:rFonts w:hint="eastAsia"/>
                <w:bCs/>
                <w:color w:val="auto"/>
                <w:sz w:val="24"/>
                <w:szCs w:val="24"/>
                <w:highlight w:val="none"/>
                <w:lang w:val="en-US" w:eastAsia="zh-CN"/>
              </w:rPr>
              <w:t>1</w:t>
            </w:r>
            <w:r>
              <w:rPr>
                <w:bCs/>
                <w:color w:val="auto"/>
                <w:sz w:val="24"/>
                <w:szCs w:val="24"/>
                <w:highlight w:val="none"/>
              </w:rPr>
              <w:t>8）推荐的估算模式</w:t>
            </w:r>
            <w:r>
              <w:rPr>
                <w:rFonts w:hint="eastAsia"/>
                <w:bCs/>
                <w:color w:val="auto"/>
                <w:sz w:val="24"/>
                <w:szCs w:val="24"/>
                <w:highlight w:val="none"/>
              </w:rPr>
              <w:t>AERSCREEN</w:t>
            </w:r>
            <w:r>
              <w:rPr>
                <w:bCs/>
                <w:color w:val="auto"/>
                <w:sz w:val="24"/>
                <w:szCs w:val="24"/>
                <w:highlight w:val="none"/>
              </w:rPr>
              <w:t>计算，各计算参数为：</w:t>
            </w:r>
          </w:p>
          <w:p>
            <w:pPr>
              <w:spacing w:line="520" w:lineRule="exact"/>
              <w:ind w:firstLine="420" w:firstLineChars="200"/>
              <w:jc w:val="center"/>
              <w:rPr>
                <w:bCs/>
                <w:color w:val="auto"/>
                <w:highlight w:val="none"/>
              </w:rPr>
            </w:pPr>
            <w:r>
              <w:rPr>
                <w:bCs/>
                <w:color w:val="auto"/>
                <w:highlight w:val="none"/>
              </w:rPr>
              <w:t>表</w:t>
            </w:r>
            <w:r>
              <w:rPr>
                <w:rFonts w:hint="eastAsia"/>
                <w:bCs/>
                <w:color w:val="auto"/>
                <w:highlight w:val="none"/>
                <w:lang w:val="en-US" w:eastAsia="zh-CN"/>
              </w:rPr>
              <w:t>46</w:t>
            </w:r>
            <w:r>
              <w:rPr>
                <w:bCs/>
                <w:color w:val="auto"/>
                <w:highlight w:val="none"/>
              </w:rPr>
              <w:t xml:space="preserve">  本项目大气污染物无组织排放参数汇总表</w:t>
            </w:r>
          </w:p>
          <w:tbl>
            <w:tblPr>
              <w:tblStyle w:val="28"/>
              <w:tblW w:w="905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351"/>
              <w:gridCol w:w="37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5351" w:type="dxa"/>
                  <w:tcBorders>
                    <w:tl2br w:val="nil"/>
                    <w:tr2bl w:val="nil"/>
                  </w:tcBorders>
                  <w:shd w:val="clear" w:color="auto" w:fill="F1F1F1"/>
                  <w:tcMar>
                    <w:left w:w="28" w:type="dxa"/>
                    <w:right w:w="28" w:type="dxa"/>
                  </w:tcMar>
                  <w:vAlign w:val="center"/>
                </w:tcPr>
                <w:p>
                  <w:pPr>
                    <w:ind w:firstLine="480"/>
                    <w:jc w:val="center"/>
                    <w:rPr>
                      <w:bCs/>
                      <w:color w:val="auto"/>
                      <w:sz w:val="21"/>
                      <w:szCs w:val="21"/>
                      <w:highlight w:val="none"/>
                    </w:rPr>
                  </w:pPr>
                  <w:r>
                    <w:rPr>
                      <w:bCs/>
                      <w:color w:val="auto"/>
                      <w:sz w:val="21"/>
                      <w:szCs w:val="21"/>
                      <w:highlight w:val="none"/>
                    </w:rPr>
                    <w:t>污染物种类</w:t>
                  </w:r>
                </w:p>
              </w:tc>
              <w:tc>
                <w:tcPr>
                  <w:tcW w:w="3705" w:type="dxa"/>
                  <w:tcBorders>
                    <w:tl2br w:val="nil"/>
                    <w:tr2bl w:val="nil"/>
                  </w:tcBorders>
                  <w:shd w:val="clear" w:color="auto" w:fill="F1F1F1"/>
                  <w:vAlign w:val="center"/>
                </w:tcPr>
                <w:p>
                  <w:pPr>
                    <w:jc w:val="center"/>
                    <w:rPr>
                      <w:rFonts w:hint="eastAsia"/>
                      <w:bCs/>
                      <w:color w:val="auto"/>
                      <w:sz w:val="21"/>
                      <w:szCs w:val="21"/>
                      <w:highlight w:val="none"/>
                    </w:rPr>
                  </w:pPr>
                  <w:r>
                    <w:rPr>
                      <w:rFonts w:hint="eastAsia"/>
                      <w:bCs/>
                      <w:color w:val="auto"/>
                      <w:sz w:val="21"/>
                      <w:szCs w:val="21"/>
                      <w:highlight w:val="none"/>
                    </w:rPr>
                    <w:t>颗粒物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5351" w:type="dxa"/>
                  <w:tcBorders>
                    <w:tl2br w:val="nil"/>
                    <w:tr2bl w:val="nil"/>
                  </w:tcBorders>
                  <w:tcMar>
                    <w:left w:w="85" w:type="dxa"/>
                    <w:right w:w="85" w:type="dxa"/>
                  </w:tcMar>
                  <w:vAlign w:val="center"/>
                </w:tcPr>
                <w:p>
                  <w:pPr>
                    <w:ind w:firstLine="480"/>
                    <w:jc w:val="center"/>
                    <w:rPr>
                      <w:bCs/>
                      <w:color w:val="auto"/>
                      <w:sz w:val="21"/>
                      <w:szCs w:val="21"/>
                      <w:highlight w:val="none"/>
                    </w:rPr>
                  </w:pPr>
                  <w:r>
                    <w:rPr>
                      <w:bCs/>
                      <w:color w:val="auto"/>
                      <w:sz w:val="21"/>
                      <w:szCs w:val="21"/>
                      <w:highlight w:val="none"/>
                    </w:rPr>
                    <w:t>排放速率（kg/h）</w:t>
                  </w:r>
                </w:p>
              </w:tc>
              <w:tc>
                <w:tcPr>
                  <w:tcW w:w="3705" w:type="dxa"/>
                  <w:tcBorders>
                    <w:tl2br w:val="nil"/>
                    <w:tr2bl w:val="nil"/>
                  </w:tcBorders>
                  <w:vAlign w:val="center"/>
                </w:tcPr>
                <w:p>
                  <w:pPr>
                    <w:ind w:firstLine="480"/>
                    <w:jc w:val="center"/>
                    <w:rPr>
                      <w:rFonts w:hint="eastAsia"/>
                      <w:bCs/>
                      <w:color w:val="auto"/>
                      <w:sz w:val="21"/>
                      <w:szCs w:val="21"/>
                      <w:highlight w:val="none"/>
                      <w:lang w:val="en-US" w:eastAsia="zh-CN"/>
                    </w:rPr>
                  </w:pPr>
                  <w:r>
                    <w:rPr>
                      <w:bCs/>
                      <w:color w:val="auto"/>
                      <w:sz w:val="21"/>
                      <w:szCs w:val="21"/>
                      <w:highlight w:val="none"/>
                    </w:rPr>
                    <w:t>0.</w:t>
                  </w:r>
                  <w:r>
                    <w:rPr>
                      <w:rFonts w:hint="eastAsia"/>
                      <w:bCs/>
                      <w:color w:val="auto"/>
                      <w:sz w:val="21"/>
                      <w:szCs w:val="21"/>
                      <w:highlight w:val="none"/>
                      <w:lang w:val="en-US" w:eastAsia="zh-CN"/>
                    </w:rPr>
                    <w:t>0</w:t>
                  </w:r>
                  <w:r>
                    <w:rPr>
                      <w:bCs/>
                      <w:color w:val="auto"/>
                      <w:sz w:val="21"/>
                      <w:szCs w:val="21"/>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5351" w:type="dxa"/>
                  <w:tcBorders>
                    <w:tl2br w:val="nil"/>
                    <w:tr2bl w:val="nil"/>
                  </w:tcBorders>
                  <w:tcMar>
                    <w:left w:w="85" w:type="dxa"/>
                    <w:right w:w="85" w:type="dxa"/>
                  </w:tcMar>
                  <w:vAlign w:val="center"/>
                </w:tcPr>
                <w:p>
                  <w:pPr>
                    <w:ind w:firstLine="480"/>
                    <w:jc w:val="center"/>
                    <w:rPr>
                      <w:bCs/>
                      <w:color w:val="auto"/>
                      <w:sz w:val="21"/>
                      <w:szCs w:val="21"/>
                      <w:highlight w:val="none"/>
                    </w:rPr>
                  </w:pPr>
                  <w:r>
                    <w:rPr>
                      <w:bCs/>
                      <w:color w:val="auto"/>
                      <w:sz w:val="21"/>
                      <w:szCs w:val="21"/>
                      <w:highlight w:val="none"/>
                    </w:rPr>
                    <w:t>源释放高度（m）</w:t>
                  </w:r>
                </w:p>
              </w:tc>
              <w:tc>
                <w:tcPr>
                  <w:tcW w:w="3705" w:type="dxa"/>
                  <w:tcBorders>
                    <w:tl2br w:val="nil"/>
                    <w:tr2bl w:val="nil"/>
                  </w:tcBorders>
                  <w:vAlign w:val="center"/>
                </w:tcPr>
                <w:p>
                  <w:pPr>
                    <w:ind w:firstLine="480"/>
                    <w:jc w:val="center"/>
                    <w:rPr>
                      <w:rFonts w:hint="eastAsia"/>
                      <w:bCs/>
                      <w:color w:val="auto"/>
                      <w:sz w:val="21"/>
                      <w:szCs w:val="21"/>
                      <w:highlight w:val="none"/>
                      <w:lang w:val="en-US" w:eastAsia="zh-CN"/>
                    </w:rPr>
                  </w:pPr>
                  <w:r>
                    <w:rPr>
                      <w:rFonts w:hint="eastAsia"/>
                      <w:bCs/>
                      <w:color w:val="auto"/>
                      <w:sz w:val="21"/>
                      <w:szCs w:val="21"/>
                      <w:highlight w:val="none"/>
                      <w:lang w:val="en-US" w:eastAsia="zh-CN"/>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5351" w:type="dxa"/>
                  <w:tcBorders>
                    <w:tl2br w:val="nil"/>
                    <w:tr2bl w:val="nil"/>
                  </w:tcBorders>
                  <w:tcMar>
                    <w:left w:w="85" w:type="dxa"/>
                    <w:right w:w="85" w:type="dxa"/>
                  </w:tcMar>
                  <w:vAlign w:val="center"/>
                </w:tcPr>
                <w:p>
                  <w:pPr>
                    <w:ind w:firstLine="480"/>
                    <w:jc w:val="center"/>
                    <w:rPr>
                      <w:bCs/>
                      <w:color w:val="auto"/>
                      <w:sz w:val="21"/>
                      <w:szCs w:val="21"/>
                      <w:highlight w:val="none"/>
                    </w:rPr>
                  </w:pPr>
                  <w:r>
                    <w:rPr>
                      <w:bCs/>
                      <w:color w:val="auto"/>
                      <w:sz w:val="21"/>
                      <w:szCs w:val="21"/>
                      <w:highlight w:val="none"/>
                    </w:rPr>
                    <w:t>面源长度（m）</w:t>
                  </w:r>
                </w:p>
              </w:tc>
              <w:tc>
                <w:tcPr>
                  <w:tcW w:w="3705" w:type="dxa"/>
                  <w:tcBorders>
                    <w:tl2br w:val="nil"/>
                    <w:tr2bl w:val="nil"/>
                  </w:tcBorders>
                  <w:vAlign w:val="center"/>
                </w:tcPr>
                <w:p>
                  <w:pPr>
                    <w:ind w:firstLine="480"/>
                    <w:jc w:val="center"/>
                    <w:rPr>
                      <w:rFonts w:hint="eastAsia"/>
                      <w:bCs/>
                      <w:color w:val="auto"/>
                      <w:sz w:val="21"/>
                      <w:szCs w:val="21"/>
                      <w:highlight w:val="none"/>
                      <w:lang w:val="en-US" w:eastAsia="zh-CN"/>
                    </w:rPr>
                  </w:pPr>
                  <w:r>
                    <w:rPr>
                      <w:bCs/>
                      <w:color w:val="auto"/>
                      <w:sz w:val="21"/>
                      <w:szCs w:val="21"/>
                      <w:highlight w:val="none"/>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5351" w:type="dxa"/>
                  <w:tcBorders>
                    <w:tl2br w:val="nil"/>
                    <w:tr2bl w:val="nil"/>
                  </w:tcBorders>
                  <w:tcMar>
                    <w:left w:w="85" w:type="dxa"/>
                    <w:right w:w="85" w:type="dxa"/>
                  </w:tcMar>
                  <w:vAlign w:val="center"/>
                </w:tcPr>
                <w:p>
                  <w:pPr>
                    <w:ind w:firstLine="480"/>
                    <w:jc w:val="center"/>
                    <w:rPr>
                      <w:bCs/>
                      <w:color w:val="auto"/>
                      <w:sz w:val="21"/>
                      <w:szCs w:val="21"/>
                      <w:highlight w:val="none"/>
                    </w:rPr>
                  </w:pPr>
                  <w:r>
                    <w:rPr>
                      <w:bCs/>
                      <w:color w:val="auto"/>
                      <w:sz w:val="21"/>
                      <w:szCs w:val="21"/>
                      <w:highlight w:val="none"/>
                    </w:rPr>
                    <w:t>面源宽度（m）</w:t>
                  </w:r>
                </w:p>
              </w:tc>
              <w:tc>
                <w:tcPr>
                  <w:tcW w:w="3705" w:type="dxa"/>
                  <w:tcBorders>
                    <w:tl2br w:val="nil"/>
                    <w:tr2bl w:val="nil"/>
                  </w:tcBorders>
                  <w:vAlign w:val="center"/>
                </w:tcPr>
                <w:p>
                  <w:pPr>
                    <w:ind w:firstLine="480"/>
                    <w:jc w:val="center"/>
                    <w:rPr>
                      <w:rFonts w:hint="eastAsia"/>
                      <w:bCs/>
                      <w:color w:val="auto"/>
                      <w:sz w:val="21"/>
                      <w:szCs w:val="21"/>
                      <w:highlight w:val="none"/>
                      <w:lang w:val="en-US" w:eastAsia="zh-CN"/>
                    </w:rPr>
                  </w:pPr>
                  <w:r>
                    <w:rPr>
                      <w:bCs/>
                      <w:color w:val="auto"/>
                      <w:sz w:val="21"/>
                      <w:szCs w:val="21"/>
                      <w:highlight w:val="none"/>
                    </w:rPr>
                    <w:t>20</w:t>
                  </w:r>
                </w:p>
              </w:tc>
            </w:tr>
          </w:tbl>
          <w:p>
            <w:pPr>
              <w:spacing w:line="520" w:lineRule="exact"/>
              <w:ind w:firstLine="420" w:firstLineChars="200"/>
              <w:rPr>
                <w:bCs/>
                <w:color w:val="auto"/>
                <w:highlight w:val="none"/>
              </w:rPr>
            </w:pPr>
            <w:r>
              <w:rPr>
                <w:bCs/>
                <w:color w:val="auto"/>
                <w:highlight w:val="none"/>
              </w:rPr>
              <w:t>预测结果及影响评价:</w:t>
            </w:r>
          </w:p>
          <w:p>
            <w:pPr>
              <w:spacing w:line="520" w:lineRule="exact"/>
              <w:ind w:firstLine="480" w:firstLineChars="200"/>
              <w:rPr>
                <w:bCs/>
                <w:color w:val="auto"/>
                <w:sz w:val="24"/>
                <w:szCs w:val="24"/>
                <w:highlight w:val="none"/>
              </w:rPr>
            </w:pPr>
            <w:r>
              <w:rPr>
                <w:bCs/>
                <w:color w:val="auto"/>
                <w:sz w:val="24"/>
                <w:szCs w:val="24"/>
                <w:highlight w:val="none"/>
              </w:rPr>
              <w:t>通过大气估算模式计算本项目</w:t>
            </w:r>
            <w:r>
              <w:rPr>
                <w:rFonts w:hint="eastAsia"/>
                <w:bCs/>
                <w:color w:val="auto"/>
                <w:sz w:val="24"/>
                <w:szCs w:val="24"/>
                <w:highlight w:val="none"/>
              </w:rPr>
              <w:t>无</w:t>
            </w:r>
            <w:r>
              <w:rPr>
                <w:bCs/>
                <w:color w:val="auto"/>
                <w:sz w:val="24"/>
                <w:szCs w:val="24"/>
                <w:highlight w:val="none"/>
              </w:rPr>
              <w:t>组织排放</w:t>
            </w:r>
            <w:r>
              <w:rPr>
                <w:rFonts w:hint="eastAsia"/>
                <w:bCs/>
                <w:color w:val="auto"/>
                <w:sz w:val="24"/>
                <w:szCs w:val="24"/>
                <w:highlight w:val="none"/>
              </w:rPr>
              <w:t>颗粒物</w:t>
            </w:r>
            <w:r>
              <w:rPr>
                <w:bCs/>
                <w:color w:val="auto"/>
                <w:sz w:val="24"/>
                <w:szCs w:val="24"/>
                <w:highlight w:val="none"/>
              </w:rPr>
              <w:t>的排放浓度，预测结果见</w:t>
            </w:r>
            <w:r>
              <w:rPr>
                <w:rFonts w:hint="eastAsia"/>
                <w:bCs/>
                <w:color w:val="auto"/>
                <w:sz w:val="24"/>
                <w:szCs w:val="24"/>
                <w:highlight w:val="none"/>
              </w:rPr>
              <w:t>下</w:t>
            </w:r>
            <w:r>
              <w:rPr>
                <w:bCs/>
                <w:color w:val="auto"/>
                <w:sz w:val="24"/>
                <w:szCs w:val="24"/>
                <w:highlight w:val="none"/>
              </w:rPr>
              <w:t>表。</w:t>
            </w:r>
          </w:p>
          <w:p>
            <w:pPr>
              <w:pStyle w:val="13"/>
              <w:spacing w:line="360" w:lineRule="auto"/>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4</w:t>
            </w:r>
            <w:r>
              <w:rPr>
                <w:rFonts w:hint="eastAsia" w:ascii="Times New Roman" w:hAnsi="Times New Roman" w:cs="Times New Roman"/>
                <w:b/>
                <w:bCs/>
                <w:color w:val="auto"/>
                <w:kern w:val="0"/>
                <w:sz w:val="21"/>
                <w:szCs w:val="21"/>
                <w:highlight w:val="none"/>
                <w:lang w:val="en-US" w:eastAsia="zh-CN"/>
              </w:rPr>
              <w:t>7</w:t>
            </w:r>
            <w:r>
              <w:rPr>
                <w:rFonts w:hint="default" w:ascii="Times New Roman" w:hAnsi="Times New Roman" w:eastAsia="宋体" w:cs="Times New Roman"/>
                <w:b/>
                <w:bCs/>
                <w:color w:val="auto"/>
                <w:kern w:val="0"/>
                <w:sz w:val="21"/>
                <w:szCs w:val="21"/>
                <w:highlight w:val="none"/>
              </w:rPr>
              <w:t xml:space="preserve">  估算模式预测无组织扩散结果</w:t>
            </w:r>
          </w:p>
          <w:tbl>
            <w:tblPr>
              <w:tblStyle w:val="28"/>
              <w:tblW w:w="905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200"/>
              <w:gridCol w:w="2930"/>
              <w:gridCol w:w="29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200" w:type="dxa"/>
                  <w:vMerge w:val="restart"/>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距离（m）</w:t>
                  </w:r>
                </w:p>
              </w:tc>
              <w:tc>
                <w:tcPr>
                  <w:tcW w:w="5856" w:type="dxa"/>
                  <w:gridSpan w:val="2"/>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颗粒物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200" w:type="dxa"/>
                  <w:vMerge w:val="continue"/>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p>
              </w:tc>
              <w:tc>
                <w:tcPr>
                  <w:tcW w:w="2930" w:type="dxa"/>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w:t>
                  </w:r>
                  <w:r>
                    <w:rPr>
                      <w:rFonts w:hint="default" w:ascii="Times New Roman" w:hAnsi="Times New Roman" w:eastAsia="宋体" w:cs="Times New Roman"/>
                      <w:b/>
                      <w:bCs/>
                      <w:color w:val="auto"/>
                      <w:kern w:val="0"/>
                      <w:sz w:val="21"/>
                      <w:szCs w:val="21"/>
                      <w:highlight w:val="none"/>
                      <w:lang w:eastAsia="zh-CN"/>
                    </w:rPr>
                    <w:t>μ</w:t>
                  </w:r>
                  <w:r>
                    <w:rPr>
                      <w:rFonts w:hint="default" w:ascii="Times New Roman" w:hAnsi="Times New Roman" w:eastAsia="宋体" w:cs="Times New Roman"/>
                      <w:b/>
                      <w:bCs/>
                      <w:color w:val="auto"/>
                      <w:kern w:val="0"/>
                      <w:sz w:val="21"/>
                      <w:szCs w:val="21"/>
                      <w:highlight w:val="none"/>
                    </w:rPr>
                    <w:t>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2926" w:type="dxa"/>
                  <w:tcBorders>
                    <w:tl2br w:val="nil"/>
                    <w:tr2bl w:val="nil"/>
                  </w:tcBorders>
                  <w:shd w:val="clear" w:color="auto" w:fill="F1F1F1"/>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占标率（%）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3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10.23</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25.89</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50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19.67</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75</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12.4</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8.872</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9.705</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8.209</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1.82%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6.747</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5.844</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5.683</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5.387</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5.064</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4.746</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4.446</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4.169</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3.915</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3.684</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0.82%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3.474</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3.289</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3.135</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2.992</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2.86</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2.744</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2.635</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2.533</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2.437</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i w:val="0"/>
                      <w:color w:val="auto"/>
                      <w:kern w:val="0"/>
                      <w:sz w:val="21"/>
                      <w:szCs w:val="21"/>
                      <w:highlight w:val="none"/>
                      <w:u w:val="none"/>
                      <w:lang w:val="en-US" w:eastAsia="zh-CN" w:bidi="ar"/>
                    </w:rPr>
                    <w:t>2.348</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0.52</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i w:val="0"/>
                      <w:color w:val="auto"/>
                      <w:kern w:val="0"/>
                      <w:sz w:val="21"/>
                      <w:szCs w:val="21"/>
                      <w:highlight w:val="none"/>
                      <w:u w:val="none"/>
                      <w:lang w:val="en-US" w:eastAsia="zh-CN" w:bidi="ar"/>
                    </w:rPr>
                    <w:t>2.263</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0.50</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2500</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i w:val="0"/>
                      <w:color w:val="auto"/>
                      <w:kern w:val="0"/>
                      <w:sz w:val="21"/>
                      <w:szCs w:val="21"/>
                      <w:highlight w:val="none"/>
                      <w:u w:val="none"/>
                      <w:lang w:val="en-US" w:eastAsia="zh-CN" w:bidi="ar"/>
                    </w:rPr>
                    <w:t>2.184</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0.48</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1"/>
                      <w:sz w:val="21"/>
                      <w:szCs w:val="21"/>
                      <w:highlight w:val="none"/>
                    </w:rPr>
                    <w:t>下风向最大质量浓度</w:t>
                  </w:r>
                  <w:r>
                    <w:rPr>
                      <w:rFonts w:hint="default" w:ascii="Times New Roman" w:hAnsi="Times New Roman" w:eastAsia="宋体" w:cs="Times New Roman"/>
                      <w:color w:val="auto"/>
                      <w:kern w:val="21"/>
                      <w:sz w:val="21"/>
                      <w:szCs w:val="21"/>
                      <w:highlight w:val="none"/>
                      <w:lang w:eastAsia="zh-CN"/>
                    </w:rPr>
                    <w:t>及占标率</w:t>
                  </w:r>
                  <w:r>
                    <w:rPr>
                      <w:rFonts w:hint="default" w:ascii="Times New Roman" w:hAnsi="Times New Roman" w:eastAsia="宋体" w:cs="Times New Roman"/>
                      <w:color w:val="auto"/>
                      <w:kern w:val="21"/>
                      <w:sz w:val="21"/>
                      <w:szCs w:val="21"/>
                      <w:highlight w:val="none"/>
                      <w:lang w:val="en-US" w:eastAsia="zh-CN"/>
                    </w:rPr>
                    <w:t>/%</w:t>
                  </w:r>
                </w:p>
              </w:tc>
              <w:tc>
                <w:tcPr>
                  <w:tcW w:w="2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25.96</w:t>
                  </w:r>
                </w:p>
              </w:tc>
              <w:tc>
                <w:tcPr>
                  <w:tcW w:w="29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5.76</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1"/>
                      <w:sz w:val="21"/>
                      <w:szCs w:val="21"/>
                      <w:highlight w:val="none"/>
                    </w:rPr>
                    <w:t>下风向最大质量浓度距源距离D(m)</w:t>
                  </w:r>
                </w:p>
              </w:tc>
              <w:tc>
                <w:tcPr>
                  <w:tcW w:w="5856"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21</w:t>
                  </w:r>
                  <w:r>
                    <w:rPr>
                      <w:rFonts w:hint="default" w:ascii="Times New Roman" w:hAnsi="Times New Roman" w:eastAsia="宋体" w:cs="Times New Roman"/>
                      <w:color w:val="auto"/>
                      <w:kern w:val="0"/>
                      <w:sz w:val="21"/>
                      <w:szCs w:val="21"/>
                      <w:highlight w:val="none"/>
                      <w:lang w:val="en-US" w:eastAsia="zh-CN"/>
                    </w:rPr>
                    <w:t>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27" w:hRule="atLeast"/>
                <w:jc w:val="center"/>
              </w:trPr>
              <w:tc>
                <w:tcPr>
                  <w:tcW w:w="32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1"/>
                      <w:sz w:val="21"/>
                      <w:szCs w:val="21"/>
                      <w:highlight w:val="none"/>
                    </w:rPr>
                    <w:t>D</w:t>
                  </w:r>
                  <w:r>
                    <w:rPr>
                      <w:rFonts w:hint="default" w:ascii="Times New Roman" w:hAnsi="Times New Roman" w:eastAsia="宋体" w:cs="Times New Roman"/>
                      <w:color w:val="auto"/>
                      <w:kern w:val="21"/>
                      <w:sz w:val="21"/>
                      <w:szCs w:val="21"/>
                      <w:highlight w:val="none"/>
                      <w:vertAlign w:val="subscript"/>
                    </w:rPr>
                    <w:t>10%</w:t>
                  </w:r>
                  <w:r>
                    <w:rPr>
                      <w:rFonts w:hint="default" w:ascii="Times New Roman" w:hAnsi="Times New Roman" w:eastAsia="宋体" w:cs="Times New Roman"/>
                      <w:color w:val="auto"/>
                      <w:kern w:val="21"/>
                      <w:sz w:val="21"/>
                      <w:szCs w:val="21"/>
                      <w:highlight w:val="none"/>
                    </w:rPr>
                    <w:t>最远距离</w:t>
                  </w:r>
                  <w:r>
                    <w:rPr>
                      <w:rFonts w:hint="default" w:ascii="Times New Roman" w:hAnsi="Times New Roman" w:eastAsia="宋体" w:cs="Times New Roman"/>
                      <w:color w:val="auto"/>
                      <w:kern w:val="21"/>
                      <w:sz w:val="21"/>
                      <w:szCs w:val="21"/>
                      <w:highlight w:val="none"/>
                      <w:lang w:val="en-US" w:eastAsia="zh-CN"/>
                    </w:rPr>
                    <w:t>/</w:t>
                  </w:r>
                  <w:r>
                    <w:rPr>
                      <w:rFonts w:hint="default" w:ascii="Times New Roman" w:hAnsi="Times New Roman" w:eastAsia="宋体" w:cs="Times New Roman"/>
                      <w:color w:val="auto"/>
                      <w:kern w:val="21"/>
                      <w:sz w:val="21"/>
                      <w:szCs w:val="21"/>
                      <w:highlight w:val="none"/>
                    </w:rPr>
                    <w:t>m</w:t>
                  </w:r>
                </w:p>
              </w:tc>
              <w:tc>
                <w:tcPr>
                  <w:tcW w:w="5856"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bl>
          <w:p>
            <w:pPr>
              <w:pStyle w:val="12"/>
              <w:pageBreakBefore w:val="0"/>
              <w:kinsoku/>
              <w:wordWrap/>
              <w:overflowPunct/>
              <w:topLinePunct w:val="0"/>
              <w:bidi w:val="0"/>
              <w:spacing w:line="360" w:lineRule="auto"/>
              <w:ind w:left="0" w:right="0" w:firstLine="480" w:firstLineChars="200"/>
              <w:jc w:val="left"/>
              <w:rPr>
                <w:b w:val="0"/>
                <w:bCs/>
                <w:color w:val="auto"/>
                <w:highlight w:val="none"/>
                <w:u w:val="none"/>
              </w:rPr>
            </w:pPr>
            <w:r>
              <w:rPr>
                <w:b w:val="0"/>
                <w:bCs/>
                <w:color w:val="auto"/>
                <w:highlight w:val="none"/>
                <w:u w:val="none"/>
              </w:rPr>
              <w:t>由以上预测结果可知，项目</w:t>
            </w:r>
            <w:r>
              <w:rPr>
                <w:rFonts w:hint="eastAsia"/>
                <w:b w:val="0"/>
                <w:bCs/>
                <w:color w:val="auto"/>
                <w:highlight w:val="none"/>
                <w:u w:val="none"/>
                <w:lang w:eastAsia="zh-CN"/>
              </w:rPr>
              <w:t>无组织排放</w:t>
            </w:r>
            <w:r>
              <w:rPr>
                <w:rFonts w:hint="eastAsia"/>
                <w:b w:val="0"/>
                <w:bCs/>
                <w:color w:val="auto"/>
                <w:highlight w:val="none"/>
                <w:u w:val="none"/>
              </w:rPr>
              <w:t>颗粒物</w:t>
            </w:r>
            <w:r>
              <w:rPr>
                <w:b w:val="0"/>
                <w:bCs/>
                <w:color w:val="auto"/>
                <w:highlight w:val="none"/>
                <w:u w:val="none"/>
              </w:rPr>
              <w:t>的最大落地浓度为</w:t>
            </w:r>
            <w:r>
              <w:rPr>
                <w:rFonts w:hint="eastAsia"/>
                <w:b w:val="0"/>
                <w:bCs/>
                <w:color w:val="auto"/>
                <w:kern w:val="0"/>
                <w:sz w:val="24"/>
                <w:szCs w:val="24"/>
                <w:highlight w:val="none"/>
                <w:u w:val="none"/>
                <w:lang w:val="en-US" w:eastAsia="zh-CN"/>
              </w:rPr>
              <w:t>25.96</w:t>
            </w:r>
            <w:r>
              <w:rPr>
                <w:rFonts w:hint="default" w:ascii="Times New Roman" w:hAnsi="Times New Roman" w:cs="Times New Roman"/>
                <w:b w:val="0"/>
                <w:bCs/>
                <w:color w:val="auto"/>
                <w:spacing w:val="-2"/>
                <w:sz w:val="24"/>
                <w:szCs w:val="24"/>
                <w:highlight w:val="none"/>
                <w:u w:val="none"/>
                <w:lang w:eastAsia="zh-CN"/>
              </w:rPr>
              <w:t>μ</w:t>
            </w:r>
            <w:r>
              <w:rPr>
                <w:b w:val="0"/>
                <w:bCs/>
                <w:color w:val="auto"/>
                <w:spacing w:val="-2"/>
                <w:sz w:val="24"/>
                <w:szCs w:val="24"/>
                <w:highlight w:val="none"/>
                <w:u w:val="none"/>
              </w:rPr>
              <w:t>g/m</w:t>
            </w:r>
            <w:r>
              <w:rPr>
                <w:b w:val="0"/>
                <w:bCs/>
                <w:color w:val="auto"/>
                <w:spacing w:val="-2"/>
                <w:sz w:val="24"/>
                <w:szCs w:val="24"/>
                <w:highlight w:val="none"/>
                <w:u w:val="none"/>
                <w:vertAlign w:val="superscript"/>
              </w:rPr>
              <w:t>3</w:t>
            </w:r>
            <w:r>
              <w:rPr>
                <w:rFonts w:hint="eastAsia"/>
                <w:b w:val="0"/>
                <w:bCs/>
                <w:color w:val="auto"/>
                <w:spacing w:val="-2"/>
                <w:sz w:val="24"/>
                <w:szCs w:val="24"/>
                <w:highlight w:val="none"/>
                <w:u w:val="none"/>
                <w:vertAlign w:val="baseline"/>
                <w:lang w:eastAsia="zh-CN"/>
              </w:rPr>
              <w:t>，占标率为</w:t>
            </w:r>
            <w:r>
              <w:rPr>
                <w:rFonts w:hint="eastAsia"/>
                <w:b w:val="0"/>
                <w:bCs/>
                <w:color w:val="auto"/>
                <w:spacing w:val="-2"/>
                <w:sz w:val="24"/>
                <w:szCs w:val="24"/>
                <w:highlight w:val="none"/>
                <w:u w:val="none"/>
                <w:vertAlign w:val="baseline"/>
                <w:lang w:val="en-US" w:eastAsia="zh-CN"/>
              </w:rPr>
              <w:t>5.76%，</w:t>
            </w:r>
            <w:r>
              <w:rPr>
                <w:rFonts w:hint="eastAsia"/>
                <w:b w:val="0"/>
                <w:bCs/>
                <w:color w:val="auto"/>
                <w:highlight w:val="none"/>
                <w:u w:val="none"/>
                <w:lang w:val="en-US" w:eastAsia="zh-CN"/>
              </w:rPr>
              <w:t>1%</w:t>
            </w:r>
            <w:r>
              <w:rPr>
                <w:rFonts w:hint="eastAsia"/>
                <w:b w:val="0"/>
                <w:bCs/>
                <w:color w:val="auto"/>
                <w:highlight w:val="none"/>
                <w:u w:val="none"/>
                <w:lang w:eastAsia="zh-CN"/>
              </w:rPr>
              <w:t>＜</w:t>
            </w:r>
            <w:r>
              <w:rPr>
                <w:rFonts w:hint="eastAsia"/>
                <w:b w:val="0"/>
                <w:bCs/>
                <w:color w:val="auto"/>
                <w:highlight w:val="none"/>
                <w:u w:val="none"/>
                <w:lang w:val="en-US" w:eastAsia="zh-CN"/>
              </w:rPr>
              <w:t>P</w:t>
            </w:r>
            <w:r>
              <w:rPr>
                <w:rFonts w:hint="eastAsia"/>
                <w:b w:val="0"/>
                <w:bCs/>
                <w:color w:val="auto"/>
                <w:highlight w:val="none"/>
                <w:u w:val="none"/>
                <w:vertAlign w:val="subscript"/>
                <w:lang w:val="en-US" w:eastAsia="zh-CN"/>
              </w:rPr>
              <w:t>颗粒物</w:t>
            </w:r>
            <w:r>
              <w:rPr>
                <w:rFonts w:hint="eastAsia"/>
                <w:b w:val="0"/>
                <w:bCs/>
                <w:color w:val="auto"/>
                <w:highlight w:val="none"/>
                <w:u w:val="none"/>
                <w:lang w:eastAsia="zh-CN"/>
              </w:rPr>
              <w:t>＜</w:t>
            </w:r>
            <w:r>
              <w:rPr>
                <w:rFonts w:hint="eastAsia"/>
                <w:b w:val="0"/>
                <w:bCs/>
                <w:color w:val="auto"/>
                <w:highlight w:val="none"/>
                <w:u w:val="none"/>
                <w:lang w:val="en-US" w:eastAsia="zh-CN"/>
              </w:rPr>
              <w:t>10%</w:t>
            </w:r>
            <w:r>
              <w:rPr>
                <w:b w:val="0"/>
                <w:bCs/>
                <w:color w:val="auto"/>
                <w:highlight w:val="none"/>
                <w:u w:val="none"/>
              </w:rPr>
              <w:t>，</w:t>
            </w:r>
            <w:r>
              <w:rPr>
                <w:rFonts w:hint="eastAsia"/>
                <w:color w:val="auto"/>
                <w:highlight w:val="none"/>
                <w:lang w:val="en-US" w:eastAsia="zh-CN"/>
              </w:rPr>
              <w:t>环境影响评价等级判定为二级，同时颗粒物可以</w:t>
            </w:r>
            <w:r>
              <w:rPr>
                <w:b w:val="0"/>
                <w:bCs/>
                <w:color w:val="auto"/>
                <w:highlight w:val="none"/>
                <w:u w:val="none"/>
              </w:rPr>
              <w:t>满足《大气污染物综合排放标准》（GB16297-1996）表2无组织排放周界外浓度最高点1.0mg/m</w:t>
            </w:r>
            <w:r>
              <w:rPr>
                <w:b w:val="0"/>
                <w:bCs/>
                <w:color w:val="auto"/>
                <w:highlight w:val="none"/>
                <w:u w:val="none"/>
                <w:vertAlign w:val="superscript"/>
              </w:rPr>
              <w:t>3</w:t>
            </w:r>
            <w:r>
              <w:rPr>
                <w:b w:val="0"/>
                <w:bCs/>
                <w:color w:val="auto"/>
                <w:highlight w:val="none"/>
                <w:u w:val="none"/>
              </w:rPr>
              <w:t>限值要求</w:t>
            </w:r>
            <w:r>
              <w:rPr>
                <w:rFonts w:cs="Times New Roman"/>
                <w:color w:val="auto"/>
                <w:highlight w:val="none"/>
              </w:rPr>
              <w:t>。</w:t>
            </w:r>
          </w:p>
          <w:p>
            <w:pPr>
              <w:spacing w:line="360" w:lineRule="auto"/>
              <w:ind w:left="105" w:leftChars="50" w:right="105" w:rightChars="50" w:firstLine="482" w:firstLineChars="200"/>
              <w:rPr>
                <w:rFonts w:hint="eastAsia"/>
                <w:b/>
                <w:bCs w:val="0"/>
                <w:color w:val="auto"/>
                <w:sz w:val="24"/>
                <w:szCs w:val="24"/>
                <w:highlight w:val="none"/>
                <w:lang w:val="en-US" w:eastAsia="zh-CN"/>
              </w:rPr>
            </w:pPr>
            <w:r>
              <w:rPr>
                <w:rFonts w:hint="eastAsia"/>
                <w:b/>
                <w:bCs w:val="0"/>
                <w:color w:val="auto"/>
                <w:sz w:val="24"/>
                <w:szCs w:val="24"/>
                <w:highlight w:val="none"/>
                <w:lang w:val="en-US" w:eastAsia="zh-CN"/>
              </w:rPr>
              <w:t>1.3环境影响</w:t>
            </w:r>
          </w:p>
          <w:p>
            <w:pPr>
              <w:spacing w:line="360" w:lineRule="auto"/>
              <w:ind w:left="105" w:leftChars="50" w:right="105" w:rightChars="50" w:firstLine="480" w:firstLineChars="200"/>
              <w:rPr>
                <w:rFonts w:hint="eastAsia" w:cs="Times New Roman"/>
                <w:b w:val="0"/>
                <w:bCs/>
                <w:color w:val="auto"/>
                <w:sz w:val="24"/>
                <w:szCs w:val="24"/>
                <w:highlight w:val="none"/>
                <w:u w:val="none"/>
                <w:lang w:val="en-US" w:eastAsia="zh-CN"/>
              </w:rPr>
            </w:pPr>
            <w:r>
              <w:rPr>
                <w:rFonts w:hint="eastAsia" w:cs="Times New Roman"/>
                <w:b w:val="0"/>
                <w:bCs/>
                <w:color w:val="auto"/>
                <w:sz w:val="24"/>
                <w:szCs w:val="24"/>
                <w:highlight w:val="none"/>
                <w:u w:val="none"/>
                <w:lang w:val="en-US" w:eastAsia="zh-CN"/>
              </w:rPr>
              <w:t>经计算，本项目大气环境评价等级为二级，对环境影响较小，无需进行进一步预测与评价，只需对污染物排放量进行核算。</w:t>
            </w:r>
          </w:p>
          <w:p>
            <w:pPr>
              <w:numPr>
                <w:ilvl w:val="0"/>
                <w:numId w:val="0"/>
              </w:numPr>
              <w:spacing w:line="360" w:lineRule="auto"/>
              <w:ind w:leftChars="250" w:right="105" w:rightChars="50"/>
              <w:rPr>
                <w:rFonts w:hint="eastAsia" w:cs="Times New Roman"/>
                <w:b/>
                <w:bCs w:val="0"/>
                <w:color w:val="auto"/>
                <w:sz w:val="24"/>
                <w:szCs w:val="24"/>
                <w:highlight w:val="none"/>
                <w:u w:val="none"/>
                <w:lang w:val="en-US" w:eastAsia="zh-CN"/>
              </w:rPr>
            </w:pPr>
            <w:r>
              <w:rPr>
                <w:rFonts w:hint="eastAsia" w:cs="Times New Roman"/>
                <w:b/>
                <w:bCs w:val="0"/>
                <w:color w:val="auto"/>
                <w:sz w:val="24"/>
                <w:szCs w:val="24"/>
                <w:highlight w:val="none"/>
                <w:u w:val="none"/>
                <w:lang w:val="en-US" w:eastAsia="zh-CN"/>
              </w:rPr>
              <w:t>1.4污染物排放量核算</w:t>
            </w:r>
          </w:p>
          <w:p>
            <w:pPr>
              <w:numPr>
                <w:ilvl w:val="0"/>
                <w:numId w:val="4"/>
              </w:numPr>
              <w:spacing w:line="360" w:lineRule="auto"/>
              <w:ind w:leftChars="250" w:right="105" w:rightChars="50"/>
              <w:rPr>
                <w:rFonts w:hint="eastAsia"/>
                <w:color w:val="auto"/>
                <w:sz w:val="24"/>
                <w:szCs w:val="24"/>
                <w:highlight w:val="none"/>
                <w:lang w:val="en-US" w:eastAsia="zh-CN"/>
              </w:rPr>
            </w:pPr>
            <w:r>
              <w:rPr>
                <w:rFonts w:hint="eastAsia" w:cs="Times New Roman"/>
                <w:b w:val="0"/>
                <w:bCs/>
                <w:color w:val="auto"/>
                <w:sz w:val="24"/>
                <w:szCs w:val="24"/>
                <w:highlight w:val="none"/>
                <w:u w:val="none"/>
                <w:lang w:val="en-US" w:eastAsia="zh-CN"/>
              </w:rPr>
              <w:t>大气污染物有组织排放量核算</w:t>
            </w:r>
          </w:p>
          <w:p>
            <w:pPr>
              <w:numPr>
                <w:ilvl w:val="0"/>
                <w:numId w:val="0"/>
              </w:numPr>
              <w:ind w:left="360" w:leftChars="0" w:firstLine="2100" w:firstLineChars="1000"/>
              <w:rPr>
                <w:rFonts w:hint="eastAsia"/>
                <w:color w:val="auto"/>
                <w:highlight w:val="none"/>
                <w:lang w:val="en-US" w:eastAsia="zh-CN"/>
              </w:rPr>
            </w:pPr>
            <w:r>
              <w:rPr>
                <w:rFonts w:hint="eastAsia"/>
                <w:color w:val="auto"/>
                <w:highlight w:val="none"/>
                <w:lang w:val="en-US" w:eastAsia="zh-CN"/>
              </w:rPr>
              <w:t>表48 大气污染物有组织排放量核算表</w:t>
            </w:r>
          </w:p>
          <w:tbl>
            <w:tblPr>
              <w:tblStyle w:val="29"/>
              <w:tblW w:w="8982" w:type="dxa"/>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9"/>
              <w:gridCol w:w="1445"/>
              <w:gridCol w:w="2216"/>
              <w:gridCol w:w="1497"/>
              <w:gridCol w:w="1497"/>
              <w:gridCol w:w="14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99" w:hRule="atLeast"/>
              </w:trPr>
              <w:tc>
                <w:tcPr>
                  <w:tcW w:w="829" w:type="dxa"/>
                  <w:tcBorders>
                    <w:tl2br w:val="nil"/>
                    <w:tr2bl w:val="nil"/>
                  </w:tcBorders>
                  <w:shd w:val="clear" w:color="auto" w:fill="F1F1F1"/>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序号</w:t>
                  </w:r>
                </w:p>
              </w:tc>
              <w:tc>
                <w:tcPr>
                  <w:tcW w:w="1445" w:type="dxa"/>
                  <w:tcBorders>
                    <w:tl2br w:val="nil"/>
                    <w:tr2bl w:val="nil"/>
                  </w:tcBorders>
                  <w:shd w:val="clear" w:color="auto" w:fill="F1F1F1"/>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排放口编号</w:t>
                  </w:r>
                </w:p>
              </w:tc>
              <w:tc>
                <w:tcPr>
                  <w:tcW w:w="2216" w:type="dxa"/>
                  <w:tcBorders>
                    <w:tl2br w:val="nil"/>
                    <w:tr2bl w:val="nil"/>
                  </w:tcBorders>
                  <w:shd w:val="clear" w:color="auto" w:fill="F1F1F1"/>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污染物</w:t>
                  </w:r>
                </w:p>
              </w:tc>
              <w:tc>
                <w:tcPr>
                  <w:tcW w:w="1497" w:type="dxa"/>
                  <w:tcBorders>
                    <w:tl2br w:val="nil"/>
                    <w:tr2bl w:val="nil"/>
                  </w:tcBorders>
                  <w:shd w:val="clear" w:color="auto" w:fill="F1F1F1"/>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核算排放浓度（m</w:t>
                  </w:r>
                  <w:r>
                    <w:rPr>
                      <w:rFonts w:hint="default" w:ascii="Times New Roman" w:hAnsi="Times New Roman" w:cs="Times New Roman"/>
                      <w:b w:val="0"/>
                      <w:bCs/>
                      <w:color w:val="auto"/>
                      <w:spacing w:val="-2"/>
                      <w:sz w:val="21"/>
                      <w:szCs w:val="21"/>
                      <w:highlight w:val="none"/>
                      <w:u w:val="none"/>
                    </w:rPr>
                    <w:t>g/m</w:t>
                  </w:r>
                  <w:r>
                    <w:rPr>
                      <w:rFonts w:hint="default" w:ascii="Times New Roman" w:hAnsi="Times New Roman" w:cs="Times New Roman"/>
                      <w:b w:val="0"/>
                      <w:bCs/>
                      <w:color w:val="auto"/>
                      <w:spacing w:val="-2"/>
                      <w:sz w:val="21"/>
                      <w:szCs w:val="21"/>
                      <w:highlight w:val="none"/>
                      <w:u w:val="none"/>
                      <w:vertAlign w:val="superscript"/>
                    </w:rPr>
                    <w:t>3</w:t>
                  </w:r>
                  <w:r>
                    <w:rPr>
                      <w:rFonts w:hint="eastAsia"/>
                      <w:b w:val="0"/>
                      <w:bCs/>
                      <w:color w:val="auto"/>
                      <w:sz w:val="21"/>
                      <w:szCs w:val="21"/>
                      <w:highlight w:val="none"/>
                      <w:vertAlign w:val="baseline"/>
                      <w:lang w:val="en-US" w:eastAsia="zh-CN"/>
                    </w:rPr>
                    <w:t>）</w:t>
                  </w:r>
                </w:p>
              </w:tc>
              <w:tc>
                <w:tcPr>
                  <w:tcW w:w="1497" w:type="dxa"/>
                  <w:tcBorders>
                    <w:tl2br w:val="nil"/>
                    <w:tr2bl w:val="nil"/>
                  </w:tcBorders>
                  <w:shd w:val="clear" w:color="auto" w:fill="F1F1F1"/>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核算排放速率（kg/h）</w:t>
                  </w:r>
                </w:p>
              </w:tc>
              <w:tc>
                <w:tcPr>
                  <w:tcW w:w="1498" w:type="dxa"/>
                  <w:tcBorders>
                    <w:tl2br w:val="nil"/>
                    <w:tr2bl w:val="nil"/>
                  </w:tcBorders>
                  <w:shd w:val="clear" w:color="auto" w:fill="F1F1F1"/>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年排放量（t/a）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982" w:type="dxa"/>
                  <w:gridSpan w:val="6"/>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一般排放口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29"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w:t>
                  </w:r>
                </w:p>
              </w:tc>
              <w:tc>
                <w:tcPr>
                  <w:tcW w:w="1445"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P1</w:t>
                  </w:r>
                </w:p>
              </w:tc>
              <w:tc>
                <w:tcPr>
                  <w:tcW w:w="2216"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颗粒物</w:t>
                  </w:r>
                </w:p>
              </w:tc>
              <w:tc>
                <w:tcPr>
                  <w:tcW w:w="1497" w:type="dxa"/>
                  <w:tcBorders>
                    <w:tl2br w:val="nil"/>
                    <w:tr2bl w:val="nil"/>
                  </w:tcBorders>
                  <w:vAlign w:val="center"/>
                </w:tcPr>
                <w:p>
                  <w:pPr>
                    <w:pageBreakBefore w:val="0"/>
                    <w:widowControl w:val="0"/>
                    <w:kinsoku/>
                    <w:wordWrap/>
                    <w:overflowPunct/>
                    <w:topLinePunct w:val="0"/>
                    <w:bidi w:val="0"/>
                    <w:ind w:left="0" w:leftChars="0" w:right="0" w:rightChars="0" w:firstLine="0" w:firstLineChars="0"/>
                    <w:jc w:val="center"/>
                    <w:textAlignment w:val="auto"/>
                    <w:rPr>
                      <w:rFonts w:hint="eastAsia" w:eastAsia="宋体"/>
                      <w:b w:val="0"/>
                      <w:bCs/>
                      <w:color w:val="auto"/>
                      <w:sz w:val="21"/>
                      <w:szCs w:val="21"/>
                      <w:highlight w:val="none"/>
                      <w:vertAlign w:val="baseline"/>
                      <w:lang w:val="en-US" w:eastAsia="zh-CN"/>
                    </w:rPr>
                  </w:pPr>
                  <w:r>
                    <w:rPr>
                      <w:rFonts w:hint="eastAsia"/>
                      <w:b w:val="0"/>
                      <w:bCs/>
                      <w:color w:val="auto"/>
                      <w:sz w:val="21"/>
                      <w:szCs w:val="21"/>
                      <w:highlight w:val="none"/>
                      <w:lang w:val="en-US" w:eastAsia="zh-CN"/>
                    </w:rPr>
                    <w:t>7.67</w:t>
                  </w:r>
                </w:p>
              </w:tc>
              <w:tc>
                <w:tcPr>
                  <w:tcW w:w="1497" w:type="dxa"/>
                  <w:tcBorders>
                    <w:tl2br w:val="nil"/>
                    <w:tr2bl w:val="nil"/>
                  </w:tcBorders>
                  <w:vAlign w:val="center"/>
                </w:tcPr>
                <w:p>
                  <w:pPr>
                    <w:pageBreakBefore w:val="0"/>
                    <w:widowControl w:val="0"/>
                    <w:kinsoku/>
                    <w:wordWrap/>
                    <w:overflowPunct/>
                    <w:topLinePunct w:val="0"/>
                    <w:bidi w:val="0"/>
                    <w:ind w:left="0" w:leftChars="0" w:right="0" w:rightChars="0" w:firstLine="0" w:firstLineChars="0"/>
                    <w:jc w:val="center"/>
                    <w:textAlignment w:val="auto"/>
                    <w:rPr>
                      <w:rFonts w:hint="eastAsia" w:eastAsia="宋体"/>
                      <w:b w:val="0"/>
                      <w:bCs/>
                      <w:color w:val="auto"/>
                      <w:sz w:val="21"/>
                      <w:szCs w:val="21"/>
                      <w:highlight w:val="none"/>
                      <w:vertAlign w:val="baseline"/>
                      <w:lang w:val="en-US" w:eastAsia="zh-CN"/>
                    </w:rPr>
                  </w:pPr>
                  <w:r>
                    <w:rPr>
                      <w:rFonts w:hint="eastAsia"/>
                      <w:b w:val="0"/>
                      <w:bCs/>
                      <w:color w:val="auto"/>
                      <w:sz w:val="21"/>
                      <w:szCs w:val="21"/>
                      <w:highlight w:val="none"/>
                      <w:lang w:val="en-US" w:eastAsia="zh-CN"/>
                    </w:rPr>
                    <w:t>0.077</w:t>
                  </w:r>
                </w:p>
              </w:tc>
              <w:tc>
                <w:tcPr>
                  <w:tcW w:w="1498"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0.046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29" w:type="dxa"/>
                  <w:vMerge w:val="restart"/>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2</w:t>
                  </w:r>
                </w:p>
              </w:tc>
              <w:tc>
                <w:tcPr>
                  <w:tcW w:w="1445" w:type="dxa"/>
                  <w:vMerge w:val="restart"/>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P3</w:t>
                  </w:r>
                </w:p>
              </w:tc>
              <w:tc>
                <w:tcPr>
                  <w:tcW w:w="2216" w:type="dxa"/>
                  <w:tcBorders>
                    <w:tl2br w:val="nil"/>
                    <w:tr2bl w:val="nil"/>
                  </w:tcBorders>
                  <w:vAlign w:val="center"/>
                </w:tcPr>
                <w:p>
                  <w:pPr>
                    <w:keepNext w:val="0"/>
                    <w:keepLines w:val="0"/>
                    <w:pageBreakBefore w:val="0"/>
                    <w:widowControl w:val="0"/>
                    <w:tabs>
                      <w:tab w:val="left" w:pos="8820"/>
                    </w:tabs>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rPr>
                    <w:t>SO</w:t>
                  </w:r>
                  <w:r>
                    <w:rPr>
                      <w:rFonts w:hint="default" w:ascii="Times New Roman" w:hAnsi="Times New Roman" w:cs="Times New Roman"/>
                      <w:b w:val="0"/>
                      <w:bCs/>
                      <w:color w:val="auto"/>
                      <w:sz w:val="21"/>
                      <w:szCs w:val="21"/>
                      <w:highlight w:val="none"/>
                      <w:vertAlign w:val="subscript"/>
                    </w:rPr>
                    <w:t>2</w:t>
                  </w:r>
                </w:p>
              </w:tc>
              <w:tc>
                <w:tcPr>
                  <w:tcW w:w="1497" w:type="dxa"/>
                  <w:tcBorders>
                    <w:tl2br w:val="nil"/>
                    <w:tr2bl w:val="nil"/>
                  </w:tcBorders>
                  <w:vAlign w:val="center"/>
                </w:tcPr>
                <w:p>
                  <w:pPr>
                    <w:pageBreakBefore w:val="0"/>
                    <w:widowControl w:val="0"/>
                    <w:kinsoku/>
                    <w:wordWrap/>
                    <w:overflowPunct/>
                    <w:topLinePunct w:val="0"/>
                    <w:bidi w:val="0"/>
                    <w:ind w:left="0" w:leftChars="0" w:right="0" w:rightChars="0" w:firstLine="0" w:firstLineChars="0"/>
                    <w:jc w:val="center"/>
                    <w:textAlignment w:val="auto"/>
                    <w:rPr>
                      <w:rFonts w:hint="eastAsia"/>
                      <w:b w:val="0"/>
                      <w:bCs/>
                      <w:color w:val="auto"/>
                      <w:sz w:val="21"/>
                      <w:szCs w:val="21"/>
                      <w:highlight w:val="none"/>
                      <w:vertAlign w:val="baseline"/>
                      <w:lang w:val="en-US" w:eastAsia="zh-CN"/>
                    </w:rPr>
                  </w:pPr>
                  <w:r>
                    <w:rPr>
                      <w:rFonts w:hint="eastAsia"/>
                      <w:b w:val="0"/>
                      <w:bCs/>
                      <w:color w:val="auto"/>
                      <w:sz w:val="21"/>
                      <w:szCs w:val="21"/>
                      <w:highlight w:val="none"/>
                      <w:lang w:val="en-US" w:eastAsia="zh-CN"/>
                    </w:rPr>
                    <w:t>28.6</w:t>
                  </w:r>
                </w:p>
              </w:tc>
              <w:tc>
                <w:tcPr>
                  <w:tcW w:w="1497" w:type="dxa"/>
                  <w:tcBorders>
                    <w:tl2br w:val="nil"/>
                    <w:tr2bl w:val="nil"/>
                  </w:tcBorders>
                  <w:vAlign w:val="center"/>
                </w:tcPr>
                <w:p>
                  <w:pPr>
                    <w:pageBreakBefore w:val="0"/>
                    <w:widowControl w:val="0"/>
                    <w:kinsoku/>
                    <w:wordWrap/>
                    <w:overflowPunct/>
                    <w:topLinePunct w:val="0"/>
                    <w:bidi w:val="0"/>
                    <w:ind w:left="0" w:leftChars="0" w:right="0" w:rightChars="0" w:firstLine="0" w:firstLineChars="0"/>
                    <w:jc w:val="center"/>
                    <w:textAlignment w:val="auto"/>
                    <w:rPr>
                      <w:rFonts w:hint="eastAsia"/>
                      <w:b w:val="0"/>
                      <w:bCs/>
                      <w:color w:val="auto"/>
                      <w:sz w:val="21"/>
                      <w:szCs w:val="21"/>
                      <w:highlight w:val="none"/>
                      <w:vertAlign w:val="baseline"/>
                      <w:lang w:val="en-US" w:eastAsia="zh-CN"/>
                    </w:rPr>
                  </w:pPr>
                  <w:r>
                    <w:rPr>
                      <w:rFonts w:hint="eastAsia" w:eastAsia="宋体"/>
                      <w:b w:val="0"/>
                      <w:bCs/>
                      <w:color w:val="auto"/>
                      <w:sz w:val="21"/>
                      <w:szCs w:val="21"/>
                      <w:highlight w:val="none"/>
                      <w:lang w:val="en-US" w:eastAsia="zh-CN"/>
                    </w:rPr>
                    <w:t>0.026</w:t>
                  </w:r>
                </w:p>
              </w:tc>
              <w:tc>
                <w:tcPr>
                  <w:tcW w:w="1498"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0.0384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29" w:type="dxa"/>
                  <w:vMerge w:val="continue"/>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p>
              </w:tc>
              <w:tc>
                <w:tcPr>
                  <w:tcW w:w="1445" w:type="dxa"/>
                  <w:vMerge w:val="continue"/>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p>
              </w:tc>
              <w:tc>
                <w:tcPr>
                  <w:tcW w:w="2216" w:type="dxa"/>
                  <w:tcBorders>
                    <w:tl2br w:val="nil"/>
                    <w:tr2bl w:val="nil"/>
                  </w:tcBorders>
                  <w:vAlign w:val="center"/>
                </w:tcPr>
                <w:p>
                  <w:pPr>
                    <w:keepNext w:val="0"/>
                    <w:keepLines w:val="0"/>
                    <w:pageBreakBefore w:val="0"/>
                    <w:widowControl w:val="0"/>
                    <w:tabs>
                      <w:tab w:val="left" w:pos="8820"/>
                    </w:tabs>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rPr>
                    <w:t>NO</w:t>
                  </w:r>
                  <w:r>
                    <w:rPr>
                      <w:rFonts w:hint="default" w:ascii="Times New Roman" w:hAnsi="Times New Roman" w:cs="Times New Roman"/>
                      <w:b w:val="0"/>
                      <w:bCs/>
                      <w:color w:val="auto"/>
                      <w:sz w:val="21"/>
                      <w:szCs w:val="21"/>
                      <w:highlight w:val="none"/>
                      <w:vertAlign w:val="subscript"/>
                    </w:rPr>
                    <w:t>x</w:t>
                  </w:r>
                </w:p>
              </w:tc>
              <w:tc>
                <w:tcPr>
                  <w:tcW w:w="1497" w:type="dxa"/>
                  <w:tcBorders>
                    <w:tl2br w:val="nil"/>
                    <w:tr2bl w:val="nil"/>
                  </w:tcBorders>
                  <w:vAlign w:val="center"/>
                </w:tcPr>
                <w:p>
                  <w:pPr>
                    <w:pageBreakBefore w:val="0"/>
                    <w:widowControl w:val="0"/>
                    <w:kinsoku/>
                    <w:wordWrap/>
                    <w:overflowPunct/>
                    <w:topLinePunct w:val="0"/>
                    <w:bidi w:val="0"/>
                    <w:ind w:left="0" w:leftChars="0" w:right="0" w:rightChars="0" w:firstLine="0" w:firstLineChars="0"/>
                    <w:jc w:val="center"/>
                    <w:textAlignment w:val="auto"/>
                    <w:rPr>
                      <w:rFonts w:hint="eastAsia"/>
                      <w:b w:val="0"/>
                      <w:bCs/>
                      <w:color w:val="auto"/>
                      <w:sz w:val="21"/>
                      <w:szCs w:val="21"/>
                      <w:highlight w:val="none"/>
                      <w:vertAlign w:val="baseline"/>
                      <w:lang w:val="en-US" w:eastAsia="zh-CN"/>
                    </w:rPr>
                  </w:pPr>
                  <w:r>
                    <w:rPr>
                      <w:rFonts w:hint="eastAsia"/>
                      <w:b w:val="0"/>
                      <w:bCs/>
                      <w:color w:val="auto"/>
                      <w:sz w:val="21"/>
                      <w:szCs w:val="21"/>
                      <w:highlight w:val="none"/>
                      <w:lang w:val="en-US" w:eastAsia="zh-CN"/>
                    </w:rPr>
                    <w:t>134.0</w:t>
                  </w:r>
                </w:p>
              </w:tc>
              <w:tc>
                <w:tcPr>
                  <w:tcW w:w="1497" w:type="dxa"/>
                  <w:tcBorders>
                    <w:tl2br w:val="nil"/>
                    <w:tr2bl w:val="nil"/>
                  </w:tcBorders>
                  <w:vAlign w:val="center"/>
                </w:tcPr>
                <w:p>
                  <w:pPr>
                    <w:pageBreakBefore w:val="0"/>
                    <w:widowControl w:val="0"/>
                    <w:kinsoku/>
                    <w:wordWrap/>
                    <w:overflowPunct/>
                    <w:topLinePunct w:val="0"/>
                    <w:bidi w:val="0"/>
                    <w:ind w:left="0" w:leftChars="0" w:right="0" w:rightChars="0" w:firstLine="0" w:firstLineChars="0"/>
                    <w:jc w:val="center"/>
                    <w:textAlignment w:val="auto"/>
                    <w:rPr>
                      <w:rFonts w:hint="eastAsia"/>
                      <w:b w:val="0"/>
                      <w:bCs/>
                      <w:color w:val="auto"/>
                      <w:sz w:val="21"/>
                      <w:szCs w:val="21"/>
                      <w:highlight w:val="none"/>
                      <w:vertAlign w:val="baseline"/>
                      <w:lang w:val="en-US" w:eastAsia="zh-CN"/>
                    </w:rPr>
                  </w:pPr>
                  <w:r>
                    <w:rPr>
                      <w:rFonts w:hint="eastAsia" w:eastAsia="宋体"/>
                      <w:b w:val="0"/>
                      <w:bCs/>
                      <w:color w:val="auto"/>
                      <w:sz w:val="21"/>
                      <w:szCs w:val="21"/>
                      <w:highlight w:val="none"/>
                      <w:lang w:val="en-US" w:eastAsia="zh-CN"/>
                    </w:rPr>
                    <w:t>0.12</w:t>
                  </w:r>
                </w:p>
              </w:tc>
              <w:tc>
                <w:tcPr>
                  <w:tcW w:w="1498"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29" w:type="dxa"/>
                  <w:vMerge w:val="continue"/>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p>
              </w:tc>
              <w:tc>
                <w:tcPr>
                  <w:tcW w:w="1445" w:type="dxa"/>
                  <w:vMerge w:val="continue"/>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p>
              </w:tc>
              <w:tc>
                <w:tcPr>
                  <w:tcW w:w="221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ind w:left="0" w:leftChars="0" w:right="0" w:rightChars="0" w:firstLine="0" w:firstLineChars="0"/>
                    <w:jc w:val="center"/>
                    <w:textAlignment w:val="auto"/>
                    <w:rPr>
                      <w:rFonts w:hint="eastAsia"/>
                      <w:b w:val="0"/>
                      <w:bCs/>
                      <w:color w:val="auto"/>
                      <w:sz w:val="21"/>
                      <w:szCs w:val="21"/>
                      <w:highlight w:val="none"/>
                      <w:vertAlign w:val="baseline"/>
                      <w:lang w:val="en-US" w:eastAsia="zh-CN"/>
                    </w:rPr>
                  </w:pPr>
                  <w:r>
                    <w:rPr>
                      <w:rFonts w:hint="eastAsia"/>
                      <w:b w:val="0"/>
                      <w:bCs/>
                      <w:color w:val="auto"/>
                      <w:sz w:val="21"/>
                      <w:szCs w:val="21"/>
                      <w:highlight w:val="none"/>
                      <w:lang w:eastAsia="zh-CN"/>
                    </w:rPr>
                    <w:t>颗粒物</w:t>
                  </w:r>
                </w:p>
              </w:tc>
              <w:tc>
                <w:tcPr>
                  <w:tcW w:w="1497" w:type="dxa"/>
                  <w:tcBorders>
                    <w:tl2br w:val="nil"/>
                    <w:tr2bl w:val="nil"/>
                  </w:tcBorders>
                  <w:vAlign w:val="center"/>
                </w:tcPr>
                <w:p>
                  <w:pPr>
                    <w:pageBreakBefore w:val="0"/>
                    <w:widowControl w:val="0"/>
                    <w:kinsoku/>
                    <w:wordWrap/>
                    <w:overflowPunct/>
                    <w:topLinePunct w:val="0"/>
                    <w:bidi w:val="0"/>
                    <w:ind w:left="0" w:leftChars="0" w:right="0" w:rightChars="0" w:firstLine="0" w:firstLineChars="0"/>
                    <w:jc w:val="center"/>
                    <w:textAlignment w:val="auto"/>
                    <w:rPr>
                      <w:rFonts w:hint="eastAsia"/>
                      <w:b w:val="0"/>
                      <w:bCs/>
                      <w:color w:val="auto"/>
                      <w:sz w:val="21"/>
                      <w:szCs w:val="21"/>
                      <w:highlight w:val="none"/>
                      <w:vertAlign w:val="baseline"/>
                      <w:lang w:val="en-US" w:eastAsia="zh-CN"/>
                    </w:rPr>
                  </w:pPr>
                  <w:r>
                    <w:rPr>
                      <w:rFonts w:hint="eastAsia" w:eastAsia="宋体"/>
                      <w:b w:val="0"/>
                      <w:bCs/>
                      <w:color w:val="auto"/>
                      <w:sz w:val="21"/>
                      <w:szCs w:val="21"/>
                      <w:highlight w:val="none"/>
                      <w:lang w:val="en-US" w:eastAsia="zh-CN"/>
                    </w:rPr>
                    <w:t>11.2</w:t>
                  </w:r>
                </w:p>
              </w:tc>
              <w:tc>
                <w:tcPr>
                  <w:tcW w:w="1497" w:type="dxa"/>
                  <w:tcBorders>
                    <w:tl2br w:val="nil"/>
                    <w:tr2bl w:val="nil"/>
                  </w:tcBorders>
                  <w:vAlign w:val="center"/>
                </w:tcPr>
                <w:p>
                  <w:pPr>
                    <w:pageBreakBefore w:val="0"/>
                    <w:widowControl w:val="0"/>
                    <w:kinsoku/>
                    <w:wordWrap/>
                    <w:overflowPunct/>
                    <w:topLinePunct w:val="0"/>
                    <w:bidi w:val="0"/>
                    <w:ind w:left="0" w:leftChars="0" w:right="0" w:rightChars="0" w:firstLine="0" w:firstLineChars="0"/>
                    <w:jc w:val="center"/>
                    <w:textAlignment w:val="auto"/>
                    <w:rPr>
                      <w:rFonts w:hint="eastAsia"/>
                      <w:b w:val="0"/>
                      <w:bCs/>
                      <w:color w:val="auto"/>
                      <w:sz w:val="21"/>
                      <w:szCs w:val="21"/>
                      <w:highlight w:val="none"/>
                      <w:vertAlign w:val="baseline"/>
                      <w:lang w:val="en-US" w:eastAsia="zh-CN"/>
                    </w:rPr>
                  </w:pPr>
                  <w:r>
                    <w:rPr>
                      <w:rFonts w:hint="eastAsia"/>
                      <w:b w:val="0"/>
                      <w:bCs/>
                      <w:color w:val="auto"/>
                      <w:sz w:val="21"/>
                      <w:szCs w:val="21"/>
                      <w:highlight w:val="none"/>
                      <w:lang w:val="en-US" w:eastAsia="zh-CN"/>
                    </w:rPr>
                    <w:t>0.01</w:t>
                  </w:r>
                </w:p>
              </w:tc>
              <w:tc>
                <w:tcPr>
                  <w:tcW w:w="1498"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29"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3</w:t>
                  </w:r>
                </w:p>
              </w:tc>
              <w:tc>
                <w:tcPr>
                  <w:tcW w:w="1445"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P2</w:t>
                  </w:r>
                </w:p>
              </w:tc>
              <w:tc>
                <w:tcPr>
                  <w:tcW w:w="2216"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油烟</w:t>
                  </w:r>
                </w:p>
              </w:tc>
              <w:tc>
                <w:tcPr>
                  <w:tcW w:w="1497"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1.05</w:t>
                  </w:r>
                </w:p>
              </w:tc>
              <w:tc>
                <w:tcPr>
                  <w:tcW w:w="1497"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0.021</w:t>
                  </w:r>
                </w:p>
              </w:tc>
              <w:tc>
                <w:tcPr>
                  <w:tcW w:w="1498"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2274" w:type="dxa"/>
                  <w:gridSpan w:val="2"/>
                  <w:vMerge w:val="restart"/>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有组织排放总计</w:t>
                  </w:r>
                </w:p>
              </w:tc>
              <w:tc>
                <w:tcPr>
                  <w:tcW w:w="5210" w:type="dxa"/>
                  <w:gridSpan w:val="3"/>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颗粒物</w:t>
                  </w:r>
                </w:p>
              </w:tc>
              <w:tc>
                <w:tcPr>
                  <w:tcW w:w="1498"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2274" w:type="dxa"/>
                  <w:gridSpan w:val="2"/>
                  <w:vMerge w:val="continue"/>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p>
              </w:tc>
              <w:tc>
                <w:tcPr>
                  <w:tcW w:w="5210" w:type="dxa"/>
                  <w:gridSpan w:val="3"/>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rPr>
                    <w:t>SO</w:t>
                  </w:r>
                  <w:r>
                    <w:rPr>
                      <w:rFonts w:hint="default" w:ascii="Times New Roman" w:hAnsi="Times New Roman" w:cs="Times New Roman"/>
                      <w:b w:val="0"/>
                      <w:bCs/>
                      <w:color w:val="auto"/>
                      <w:sz w:val="21"/>
                      <w:szCs w:val="21"/>
                      <w:highlight w:val="none"/>
                      <w:vertAlign w:val="subscript"/>
                    </w:rPr>
                    <w:t>2</w:t>
                  </w:r>
                </w:p>
              </w:tc>
              <w:tc>
                <w:tcPr>
                  <w:tcW w:w="1498"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0.0384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2274" w:type="dxa"/>
                  <w:gridSpan w:val="2"/>
                  <w:vMerge w:val="continue"/>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p>
              </w:tc>
              <w:tc>
                <w:tcPr>
                  <w:tcW w:w="5210" w:type="dxa"/>
                  <w:gridSpan w:val="3"/>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rPr>
                    <w:t>NO</w:t>
                  </w:r>
                  <w:r>
                    <w:rPr>
                      <w:rFonts w:hint="default" w:ascii="Times New Roman" w:hAnsi="Times New Roman" w:cs="Times New Roman"/>
                      <w:b w:val="0"/>
                      <w:bCs/>
                      <w:color w:val="auto"/>
                      <w:sz w:val="21"/>
                      <w:szCs w:val="21"/>
                      <w:highlight w:val="none"/>
                      <w:vertAlign w:val="subscript"/>
                    </w:rPr>
                    <w:t>x</w:t>
                  </w:r>
                </w:p>
              </w:tc>
              <w:tc>
                <w:tcPr>
                  <w:tcW w:w="1498"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2274" w:type="dxa"/>
                  <w:gridSpan w:val="2"/>
                  <w:vMerge w:val="continue"/>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p>
              </w:tc>
              <w:tc>
                <w:tcPr>
                  <w:tcW w:w="5210" w:type="dxa"/>
                  <w:gridSpan w:val="3"/>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lang w:eastAsia="zh-CN"/>
                    </w:rPr>
                    <w:t>油烟</w:t>
                  </w:r>
                </w:p>
              </w:tc>
              <w:tc>
                <w:tcPr>
                  <w:tcW w:w="1498"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0.05</w:t>
                  </w:r>
                </w:p>
              </w:tc>
            </w:tr>
          </w:tbl>
          <w:p>
            <w:pPr>
              <w:numPr>
                <w:ilvl w:val="0"/>
                <w:numId w:val="4"/>
              </w:numPr>
              <w:spacing w:line="360" w:lineRule="auto"/>
              <w:ind w:leftChars="250" w:right="105" w:rightChars="50"/>
              <w:rPr>
                <w:rFonts w:hint="eastAsia" w:cs="Times New Roman"/>
                <w:b w:val="0"/>
                <w:bCs/>
                <w:color w:val="auto"/>
                <w:sz w:val="24"/>
                <w:highlight w:val="none"/>
                <w:u w:val="none"/>
                <w:lang w:val="en-US" w:eastAsia="zh-CN"/>
              </w:rPr>
            </w:pPr>
            <w:r>
              <w:rPr>
                <w:rFonts w:hint="eastAsia" w:cs="Times New Roman"/>
                <w:b w:val="0"/>
                <w:bCs/>
                <w:color w:val="auto"/>
                <w:sz w:val="24"/>
                <w:highlight w:val="none"/>
                <w:u w:val="none"/>
                <w:lang w:val="en-US" w:eastAsia="zh-CN"/>
              </w:rPr>
              <w:t>大气污染物无组织排放量核算</w:t>
            </w:r>
          </w:p>
          <w:p>
            <w:pPr>
              <w:numPr>
                <w:ilvl w:val="0"/>
                <w:numId w:val="0"/>
              </w:numPr>
              <w:ind w:left="360" w:leftChars="0" w:firstLine="2310" w:firstLineChars="1100"/>
              <w:rPr>
                <w:rFonts w:hint="eastAsia"/>
                <w:color w:val="auto"/>
                <w:highlight w:val="none"/>
                <w:lang w:val="en-US" w:eastAsia="zh-CN"/>
              </w:rPr>
            </w:pPr>
            <w:r>
              <w:rPr>
                <w:rFonts w:hint="eastAsia"/>
                <w:color w:val="auto"/>
                <w:highlight w:val="none"/>
                <w:lang w:val="en-US" w:eastAsia="zh-CN"/>
              </w:rPr>
              <w:t>表49  大气污染物无组织排放量核算表</w:t>
            </w:r>
          </w:p>
          <w:tbl>
            <w:tblPr>
              <w:tblStyle w:val="29"/>
              <w:tblW w:w="898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96"/>
              <w:gridCol w:w="1406"/>
              <w:gridCol w:w="976"/>
              <w:gridCol w:w="1847"/>
              <w:gridCol w:w="1905"/>
              <w:gridCol w:w="1307"/>
              <w:gridCol w:w="10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96" w:type="dxa"/>
                  <w:vMerge w:val="restart"/>
                  <w:tcBorders>
                    <w:tl2br w:val="nil"/>
                    <w:tr2bl w:val="nil"/>
                  </w:tcBorders>
                  <w:shd w:val="clear" w:color="auto" w:fill="F1F1F1"/>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序号</w:t>
                  </w:r>
                </w:p>
              </w:tc>
              <w:tc>
                <w:tcPr>
                  <w:tcW w:w="1406" w:type="dxa"/>
                  <w:vMerge w:val="restart"/>
                  <w:tcBorders>
                    <w:tl2br w:val="nil"/>
                    <w:tr2bl w:val="nil"/>
                  </w:tcBorders>
                  <w:shd w:val="clear" w:color="auto" w:fill="F1F1F1"/>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产污环节</w:t>
                  </w:r>
                </w:p>
              </w:tc>
              <w:tc>
                <w:tcPr>
                  <w:tcW w:w="976" w:type="dxa"/>
                  <w:vMerge w:val="restart"/>
                  <w:tcBorders>
                    <w:tl2br w:val="nil"/>
                    <w:tr2bl w:val="nil"/>
                  </w:tcBorders>
                  <w:shd w:val="clear" w:color="auto" w:fill="F1F1F1"/>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污染物</w:t>
                  </w:r>
                </w:p>
              </w:tc>
              <w:tc>
                <w:tcPr>
                  <w:tcW w:w="1847" w:type="dxa"/>
                  <w:vMerge w:val="restart"/>
                  <w:tcBorders>
                    <w:tl2br w:val="nil"/>
                    <w:tr2bl w:val="nil"/>
                  </w:tcBorders>
                  <w:shd w:val="clear" w:color="auto" w:fill="F1F1F1"/>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主要污染防治措施</w:t>
                  </w:r>
                </w:p>
              </w:tc>
              <w:tc>
                <w:tcPr>
                  <w:tcW w:w="3212" w:type="dxa"/>
                  <w:gridSpan w:val="2"/>
                  <w:tcBorders>
                    <w:tl2br w:val="nil"/>
                    <w:tr2bl w:val="nil"/>
                  </w:tcBorders>
                  <w:shd w:val="clear" w:color="auto" w:fill="F1F1F1"/>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国家或地方污染物排放标准（kg/h）</w:t>
                  </w:r>
                </w:p>
              </w:tc>
              <w:tc>
                <w:tcPr>
                  <w:tcW w:w="1045" w:type="dxa"/>
                  <w:vMerge w:val="restart"/>
                  <w:tcBorders>
                    <w:tl2br w:val="nil"/>
                    <w:tr2bl w:val="nil"/>
                  </w:tcBorders>
                  <w:shd w:val="clear" w:color="auto" w:fill="F1F1F1"/>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p>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年排放量（t/a）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96" w:type="dxa"/>
                  <w:vMerge w:val="continue"/>
                  <w:tcBorders>
                    <w:tl2br w:val="nil"/>
                    <w:tr2bl w:val="nil"/>
                  </w:tcBorders>
                  <w:shd w:val="clear" w:color="auto" w:fill="auto"/>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p>
              </w:tc>
              <w:tc>
                <w:tcPr>
                  <w:tcW w:w="1406" w:type="dxa"/>
                  <w:vMerge w:val="continue"/>
                  <w:tcBorders>
                    <w:tl2br w:val="nil"/>
                    <w:tr2bl w:val="nil"/>
                  </w:tcBorders>
                  <w:shd w:val="clear" w:color="auto" w:fill="auto"/>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p>
              </w:tc>
              <w:tc>
                <w:tcPr>
                  <w:tcW w:w="976" w:type="dxa"/>
                  <w:vMerge w:val="continue"/>
                  <w:tcBorders>
                    <w:tl2br w:val="nil"/>
                    <w:tr2bl w:val="nil"/>
                  </w:tcBorders>
                  <w:shd w:val="clear" w:color="auto" w:fill="auto"/>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p>
              </w:tc>
              <w:tc>
                <w:tcPr>
                  <w:tcW w:w="1847" w:type="dxa"/>
                  <w:vMerge w:val="continue"/>
                  <w:tcBorders>
                    <w:tl2br w:val="nil"/>
                    <w:tr2bl w:val="nil"/>
                  </w:tcBorders>
                  <w:shd w:val="clear" w:color="auto" w:fill="auto"/>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p>
              </w:tc>
              <w:tc>
                <w:tcPr>
                  <w:tcW w:w="1905" w:type="dxa"/>
                  <w:tcBorders>
                    <w:tl2br w:val="nil"/>
                    <w:tr2bl w:val="nil"/>
                  </w:tcBorders>
                  <w:shd w:val="clear" w:color="auto" w:fill="F1F1F1"/>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标准名称</w:t>
                  </w:r>
                </w:p>
              </w:tc>
              <w:tc>
                <w:tcPr>
                  <w:tcW w:w="1307" w:type="dxa"/>
                  <w:tcBorders>
                    <w:tl2br w:val="nil"/>
                    <w:tr2bl w:val="nil"/>
                  </w:tcBorders>
                  <w:shd w:val="clear" w:color="auto" w:fill="F1F1F1"/>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浓度限值（mg</w:t>
                  </w:r>
                  <w:r>
                    <w:rPr>
                      <w:rFonts w:hint="default" w:ascii="Times New Roman" w:hAnsi="Times New Roman" w:cs="Times New Roman"/>
                      <w:b w:val="0"/>
                      <w:bCs/>
                      <w:color w:val="auto"/>
                      <w:spacing w:val="-2"/>
                      <w:sz w:val="21"/>
                      <w:szCs w:val="21"/>
                      <w:highlight w:val="none"/>
                      <w:u w:val="none"/>
                    </w:rPr>
                    <w:t>/m</w:t>
                  </w:r>
                  <w:r>
                    <w:rPr>
                      <w:rFonts w:hint="default" w:ascii="Times New Roman" w:hAnsi="Times New Roman" w:cs="Times New Roman"/>
                      <w:b w:val="0"/>
                      <w:bCs/>
                      <w:color w:val="auto"/>
                      <w:spacing w:val="-2"/>
                      <w:sz w:val="21"/>
                      <w:szCs w:val="21"/>
                      <w:highlight w:val="none"/>
                      <w:u w:val="none"/>
                      <w:vertAlign w:val="superscript"/>
                    </w:rPr>
                    <w:t>3</w:t>
                  </w:r>
                  <w:r>
                    <w:rPr>
                      <w:rFonts w:hint="eastAsia"/>
                      <w:color w:val="auto"/>
                      <w:sz w:val="21"/>
                      <w:szCs w:val="21"/>
                      <w:highlight w:val="none"/>
                      <w:vertAlign w:val="baseline"/>
                      <w:lang w:val="en-US" w:eastAsia="zh-CN"/>
                    </w:rPr>
                    <w:t>）</w:t>
                  </w:r>
                </w:p>
              </w:tc>
              <w:tc>
                <w:tcPr>
                  <w:tcW w:w="1045" w:type="dxa"/>
                  <w:vMerge w:val="continue"/>
                  <w:tcBorders>
                    <w:tl2br w:val="nil"/>
                    <w:tr2bl w:val="nil"/>
                  </w:tcBorders>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color w:val="auto"/>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17" w:hRule="atLeast"/>
              </w:trPr>
              <w:tc>
                <w:tcPr>
                  <w:tcW w:w="496" w:type="dxa"/>
                  <w:tcBorders>
                    <w:tl2br w:val="nil"/>
                    <w:tr2bl w:val="nil"/>
                  </w:tcBorders>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w:t>
                  </w:r>
                </w:p>
              </w:tc>
              <w:tc>
                <w:tcPr>
                  <w:tcW w:w="1406" w:type="dxa"/>
                  <w:tcBorders>
                    <w:tl2br w:val="nil"/>
                    <w:tr2bl w:val="nil"/>
                  </w:tcBorders>
                  <w:vAlign w:val="center"/>
                </w:tcPr>
                <w:p>
                  <w:pPr>
                    <w:ind w:left="-105" w:leftChars="-50" w:right="-105" w:rightChars="-50"/>
                    <w:jc w:val="center"/>
                    <w:rPr>
                      <w:rFonts w:hint="eastAsia" w:eastAsia="宋体"/>
                      <w:b w:val="0"/>
                      <w:bCs/>
                      <w:color w:val="auto"/>
                      <w:sz w:val="21"/>
                      <w:szCs w:val="21"/>
                      <w:highlight w:val="none"/>
                      <w:vertAlign w:val="baseline"/>
                      <w:lang w:val="en-US" w:eastAsia="zh-CN"/>
                    </w:rPr>
                  </w:pPr>
                  <w:r>
                    <w:rPr>
                      <w:rFonts w:hint="eastAsia" w:ascii="Times New Roman" w:hAnsi="Times New Roman"/>
                      <w:b w:val="0"/>
                      <w:bCs/>
                      <w:color w:val="auto"/>
                      <w:szCs w:val="21"/>
                      <w:highlight w:val="none"/>
                      <w:lang w:val="en-US" w:eastAsia="zh-CN"/>
                    </w:rPr>
                    <w:t>备料粉尘</w:t>
                  </w:r>
                </w:p>
              </w:tc>
              <w:tc>
                <w:tcPr>
                  <w:tcW w:w="976" w:type="dxa"/>
                  <w:vMerge w:val="restart"/>
                  <w:tcBorders>
                    <w:tl2br w:val="nil"/>
                    <w:tr2bl w:val="nil"/>
                  </w:tcBorders>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颗粒物</w:t>
                  </w:r>
                </w:p>
              </w:tc>
              <w:tc>
                <w:tcPr>
                  <w:tcW w:w="1847" w:type="dxa"/>
                  <w:tcBorders>
                    <w:tl2br w:val="nil"/>
                    <w:tr2bl w:val="nil"/>
                  </w:tcBorders>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厂房密闭</w:t>
                  </w:r>
                </w:p>
              </w:tc>
              <w:tc>
                <w:tcPr>
                  <w:tcW w:w="1905" w:type="dxa"/>
                  <w:tcBorders>
                    <w:tl2br w:val="nil"/>
                    <w:tr2bl w:val="nil"/>
                  </w:tcBorders>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b w:val="0"/>
                      <w:bCs/>
                      <w:color w:val="auto"/>
                      <w:sz w:val="21"/>
                      <w:szCs w:val="21"/>
                      <w:highlight w:val="none"/>
                      <w:vertAlign w:val="baseline"/>
                      <w:lang w:val="en-US" w:eastAsia="zh-CN"/>
                    </w:rPr>
                  </w:pPr>
                  <w:r>
                    <w:rPr>
                      <w:b w:val="0"/>
                      <w:bCs/>
                      <w:color w:val="auto"/>
                      <w:sz w:val="21"/>
                      <w:szCs w:val="21"/>
                      <w:highlight w:val="none"/>
                    </w:rPr>
                    <w:t>《大气污染物综合排放标准》（GB16297-1996）</w:t>
                  </w:r>
                </w:p>
              </w:tc>
              <w:tc>
                <w:tcPr>
                  <w:tcW w:w="1307" w:type="dxa"/>
                  <w:tcBorders>
                    <w:tl2br w:val="nil"/>
                    <w:tr2bl w:val="nil"/>
                  </w:tcBorders>
                  <w:vAlign w:val="center"/>
                </w:tcPr>
                <w:p>
                  <w:pPr>
                    <w:pStyle w:val="2"/>
                    <w:pageBreakBefore w:val="0"/>
                    <w:kinsoku/>
                    <w:wordWrap/>
                    <w:overflowPunct/>
                    <w:topLinePunct w:val="0"/>
                    <w:autoSpaceDE/>
                    <w:autoSpaceDN/>
                    <w:bidi w:val="0"/>
                    <w:spacing w:before="0" w:after="0" w:line="240" w:lineRule="auto"/>
                    <w:ind w:left="0" w:leftChars="0" w:right="0" w:rightChars="0" w:firstLine="0" w:firstLineChars="0"/>
                    <w:jc w:val="center"/>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1.0</w:t>
                  </w:r>
                </w:p>
              </w:tc>
              <w:tc>
                <w:tcPr>
                  <w:tcW w:w="1045" w:type="dxa"/>
                  <w:tcBorders>
                    <w:tl2br w:val="nil"/>
                    <w:tr2bl w:val="nil"/>
                  </w:tcBorders>
                  <w:vAlign w:val="center"/>
                </w:tcPr>
                <w:p>
                  <w:pPr>
                    <w:ind w:left="-105" w:leftChars="-50" w:right="-105" w:rightChars="-5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8" w:hRule="atLeast"/>
              </w:trPr>
              <w:tc>
                <w:tcPr>
                  <w:tcW w:w="2878" w:type="dxa"/>
                  <w:gridSpan w:val="3"/>
                  <w:tcBorders>
                    <w:tl2br w:val="nil"/>
                    <w:tr2bl w:val="nil"/>
                  </w:tcBorders>
                  <w:vAlign w:val="center"/>
                </w:tcPr>
                <w:p>
                  <w:pPr>
                    <w:pageBreakBefore w:val="0"/>
                    <w:kinsoku/>
                    <w:wordWrap/>
                    <w:overflowPunct/>
                    <w:topLinePunct w:val="0"/>
                    <w:autoSpaceDE/>
                    <w:autoSpaceDN/>
                    <w:bidi w:val="0"/>
                    <w:spacing w:line="240" w:lineRule="auto"/>
                    <w:ind w:left="0" w:leftChars="0" w:right="0" w:rightChars="0" w:firstLine="0" w:firstLineChars="0"/>
                    <w:jc w:val="center"/>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无组织排放总计</w:t>
                  </w:r>
                </w:p>
              </w:tc>
              <w:tc>
                <w:tcPr>
                  <w:tcW w:w="3752" w:type="dxa"/>
                  <w:gridSpan w:val="2"/>
                  <w:tcBorders>
                    <w:tl2br w:val="nil"/>
                    <w:tr2bl w:val="nil"/>
                  </w:tcBorders>
                  <w:vAlign w:val="center"/>
                </w:tcPr>
                <w:p>
                  <w:pPr>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rPr>
                  </w:pPr>
                  <w:r>
                    <w:rPr>
                      <w:rFonts w:hint="eastAsia"/>
                      <w:b w:val="0"/>
                      <w:bCs/>
                      <w:color w:val="auto"/>
                      <w:sz w:val="21"/>
                      <w:szCs w:val="21"/>
                      <w:highlight w:val="none"/>
                      <w:vertAlign w:val="baseline"/>
                      <w:lang w:val="en-US" w:eastAsia="zh-CN"/>
                    </w:rPr>
                    <w:t>颗粒物</w:t>
                  </w:r>
                </w:p>
              </w:tc>
              <w:tc>
                <w:tcPr>
                  <w:tcW w:w="2352" w:type="dxa"/>
                  <w:gridSpan w:val="2"/>
                  <w:tcBorders>
                    <w:tl2br w:val="nil"/>
                    <w:tr2bl w:val="nil"/>
                  </w:tcBorders>
                  <w:vAlign w:val="center"/>
                </w:tcPr>
                <w:p>
                  <w:pPr>
                    <w:ind w:left="-105" w:leftChars="-50" w:right="-105" w:rightChars="-50"/>
                    <w:jc w:val="center"/>
                    <w:rPr>
                      <w:rFonts w:hint="eastAsia" w:ascii="Times New Roman" w:hAnsi="Times New Roman"/>
                      <w:b w:val="0"/>
                      <w:bCs/>
                      <w:color w:val="auto"/>
                      <w:szCs w:val="21"/>
                      <w:highlight w:val="none"/>
                      <w:lang w:val="en-US" w:eastAsia="zh-CN"/>
                    </w:rPr>
                  </w:pPr>
                  <w:r>
                    <w:rPr>
                      <w:rFonts w:hint="eastAsia" w:ascii="Times New Roman" w:hAnsi="Times New Roman"/>
                      <w:b w:val="0"/>
                      <w:bCs/>
                      <w:color w:val="auto"/>
                      <w:szCs w:val="21"/>
                      <w:highlight w:val="none"/>
                      <w:lang w:val="en-US" w:eastAsia="zh-CN"/>
                    </w:rPr>
                    <w:t>0.0125</w:t>
                  </w:r>
                </w:p>
              </w:tc>
            </w:tr>
          </w:tbl>
          <w:p>
            <w:pPr>
              <w:numPr>
                <w:ilvl w:val="0"/>
                <w:numId w:val="4"/>
              </w:numPr>
              <w:spacing w:line="360" w:lineRule="auto"/>
              <w:ind w:leftChars="250" w:right="105" w:rightChars="50"/>
              <w:rPr>
                <w:rFonts w:hint="eastAsia" w:cs="Times New Roman"/>
                <w:b w:val="0"/>
                <w:bCs/>
                <w:color w:val="auto"/>
                <w:sz w:val="24"/>
                <w:highlight w:val="none"/>
                <w:u w:val="none"/>
                <w:lang w:val="en-US" w:eastAsia="zh-CN"/>
              </w:rPr>
            </w:pPr>
            <w:r>
              <w:rPr>
                <w:rFonts w:hint="eastAsia" w:cs="Times New Roman"/>
                <w:b w:val="0"/>
                <w:bCs/>
                <w:color w:val="auto"/>
                <w:sz w:val="24"/>
                <w:highlight w:val="none"/>
                <w:u w:val="none"/>
                <w:lang w:val="en-US" w:eastAsia="zh-CN"/>
              </w:rPr>
              <w:t>大气污染物年排放量核算</w:t>
            </w:r>
          </w:p>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eastAsia"/>
                <w:color w:val="auto"/>
                <w:sz w:val="21"/>
                <w:szCs w:val="21"/>
                <w:highlight w:val="none"/>
                <w:lang w:val="en-US" w:eastAsia="zh-CN"/>
              </w:rPr>
            </w:pPr>
            <w:r>
              <w:rPr>
                <w:rFonts w:hint="eastAsia" w:cs="Times New Roman"/>
                <w:b w:val="0"/>
                <w:bCs/>
                <w:color w:val="auto"/>
                <w:sz w:val="21"/>
                <w:szCs w:val="21"/>
                <w:highlight w:val="none"/>
                <w:u w:val="none"/>
                <w:lang w:val="en-US" w:eastAsia="zh-CN"/>
              </w:rPr>
              <w:t>表50 大气污染物年排放量核算</w:t>
            </w:r>
          </w:p>
          <w:tbl>
            <w:tblPr>
              <w:tblStyle w:val="29"/>
              <w:tblW w:w="8982"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93"/>
              <w:gridCol w:w="2995"/>
              <w:gridCol w:w="29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2993" w:type="dxa"/>
                  <w:tcBorders>
                    <w:tl2br w:val="nil"/>
                    <w:tr2bl w:val="nil"/>
                  </w:tcBorders>
                  <w:shd w:val="clear" w:color="auto" w:fill="F1F1F1"/>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u w:val="none"/>
                      <w:lang w:val="en-US" w:eastAsia="zh-CN"/>
                    </w:rPr>
                    <w:t>序号</w:t>
                  </w:r>
                </w:p>
              </w:tc>
              <w:tc>
                <w:tcPr>
                  <w:tcW w:w="2995" w:type="dxa"/>
                  <w:tcBorders>
                    <w:tl2br w:val="nil"/>
                    <w:tr2bl w:val="nil"/>
                  </w:tcBorders>
                  <w:shd w:val="clear" w:color="auto" w:fill="F1F1F1"/>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污染物</w:t>
                  </w:r>
                </w:p>
              </w:tc>
              <w:tc>
                <w:tcPr>
                  <w:tcW w:w="2994" w:type="dxa"/>
                  <w:tcBorders>
                    <w:tl2br w:val="nil"/>
                    <w:tr2bl w:val="nil"/>
                  </w:tcBorders>
                  <w:shd w:val="clear" w:color="auto" w:fill="F1F1F1"/>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2993"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2995"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颗粒物</w:t>
                  </w:r>
                </w:p>
              </w:tc>
              <w:tc>
                <w:tcPr>
                  <w:tcW w:w="29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0.0735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2993"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w:t>
                  </w:r>
                </w:p>
              </w:tc>
              <w:tc>
                <w:tcPr>
                  <w:tcW w:w="2995"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rPr>
                    <w:t>SO</w:t>
                  </w:r>
                  <w:r>
                    <w:rPr>
                      <w:rFonts w:hint="default" w:ascii="Times New Roman" w:hAnsi="Times New Roman" w:cs="Times New Roman"/>
                      <w:b w:val="0"/>
                      <w:bCs/>
                      <w:color w:val="auto"/>
                      <w:sz w:val="21"/>
                      <w:szCs w:val="21"/>
                      <w:highlight w:val="none"/>
                      <w:vertAlign w:val="subscript"/>
                    </w:rPr>
                    <w:t>2</w:t>
                  </w:r>
                </w:p>
              </w:tc>
              <w:tc>
                <w:tcPr>
                  <w:tcW w:w="2994"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0.0384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2993"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2995"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rPr>
                    <w:t>NO</w:t>
                  </w:r>
                  <w:r>
                    <w:rPr>
                      <w:rFonts w:hint="default" w:ascii="Times New Roman" w:hAnsi="Times New Roman" w:cs="Times New Roman"/>
                      <w:b w:val="0"/>
                      <w:bCs/>
                      <w:color w:val="auto"/>
                      <w:sz w:val="21"/>
                      <w:szCs w:val="21"/>
                      <w:highlight w:val="none"/>
                      <w:vertAlign w:val="subscript"/>
                    </w:rPr>
                    <w:t>x</w:t>
                  </w:r>
                </w:p>
              </w:tc>
              <w:tc>
                <w:tcPr>
                  <w:tcW w:w="2994"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trPr>
              <w:tc>
                <w:tcPr>
                  <w:tcW w:w="2993"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4</w:t>
                  </w:r>
                </w:p>
              </w:tc>
              <w:tc>
                <w:tcPr>
                  <w:tcW w:w="2995"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lang w:eastAsia="zh-CN"/>
                    </w:rPr>
                    <w:t>油烟</w:t>
                  </w:r>
                </w:p>
              </w:tc>
              <w:tc>
                <w:tcPr>
                  <w:tcW w:w="2994"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0"/>
                    <w:rPr>
                      <w:rFonts w:hint="default" w:ascii="Times New Roman" w:hAnsi="Times New Roman" w:cs="Times New Roman"/>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0.05</w:t>
                  </w:r>
                </w:p>
              </w:tc>
            </w:tr>
          </w:tbl>
          <w:p>
            <w:pPr>
              <w:spacing w:line="360" w:lineRule="auto"/>
              <w:ind w:right="105" w:rightChars="50" w:firstLine="482" w:firstLineChars="200"/>
              <w:rPr>
                <w:rFonts w:hint="eastAsia"/>
                <w:sz w:val="24"/>
                <w:highlight w:val="none"/>
              </w:rPr>
            </w:pPr>
            <w:r>
              <w:rPr>
                <w:rFonts w:hint="eastAsia"/>
                <w:b/>
                <w:bCs w:val="0"/>
                <w:sz w:val="24"/>
                <w:szCs w:val="24"/>
                <w:highlight w:val="none"/>
                <w:lang w:val="en-US" w:eastAsia="zh-CN"/>
              </w:rPr>
              <w:t>1.5卫生防护距离</w:t>
            </w:r>
          </w:p>
          <w:p>
            <w:pPr>
              <w:spacing w:line="520" w:lineRule="exact"/>
              <w:ind w:firstLine="480" w:firstLineChars="200"/>
              <w:rPr>
                <w:rFonts w:hint="eastAsia"/>
                <w:sz w:val="24"/>
                <w:highlight w:val="none"/>
              </w:rPr>
            </w:pPr>
            <w:r>
              <w:rPr>
                <w:rFonts w:hint="eastAsia"/>
                <w:sz w:val="24"/>
                <w:highlight w:val="none"/>
              </w:rPr>
              <w:t>针对本项目的无组织排放，卫生防护距离计算公式为：</w:t>
            </w:r>
          </w:p>
          <w:p>
            <w:pPr>
              <w:keepNext/>
              <w:keepLines/>
              <w:spacing w:line="360" w:lineRule="auto"/>
              <w:ind w:firstLine="2160" w:firstLineChars="900"/>
              <w:rPr>
                <w:highlight w:val="none"/>
              </w:rPr>
            </w:pPr>
            <w:r>
              <w:rPr>
                <w:position w:val="-30"/>
                <w:sz w:val="24"/>
                <w:highlight w:val="none"/>
              </w:rPr>
              <w:object>
                <v:shape id="_x0000_i1026" o:spt="75" type="#_x0000_t75" style="height:34.4pt;width:143.3pt;" o:ole="t" filled="f" o:preferrelative="t" stroked="f" coordsize="21600,21600">
                  <v:path/>
                  <v:fill on="f" focussize="0,0"/>
                  <v:stroke on="f"/>
                  <v:imagedata r:id="rId18" o:title=""/>
                  <o:lock v:ext="edit" aspectratio="t"/>
                  <w10:wrap type="none"/>
                  <w10:anchorlock/>
                </v:shape>
                <o:OLEObject Type="Embed" ProgID="Equation.3" ShapeID="_x0000_i1026" DrawAspect="Content" ObjectID="_1468075726" r:id="rId17">
                  <o:LockedField>false</o:LockedField>
                </o:OLEObject>
              </w:object>
            </w:r>
          </w:p>
          <w:p>
            <w:pPr>
              <w:spacing w:line="480" w:lineRule="exact"/>
              <w:jc w:val="left"/>
              <w:rPr>
                <w:sz w:val="24"/>
                <w:highlight w:val="none"/>
              </w:rPr>
            </w:pPr>
            <w:r>
              <w:rPr>
                <w:sz w:val="24"/>
                <w:highlight w:val="none"/>
              </w:rPr>
              <w:t>式中：</w:t>
            </w:r>
            <w:r>
              <w:rPr>
                <w:position w:val="-12"/>
                <w:sz w:val="24"/>
                <w:highlight w:val="none"/>
              </w:rPr>
              <w:object>
                <v:shape id="_x0000_i1027" o:spt="75" type="#_x0000_t75" style="height:18pt;width:17.25pt;" o:ole="t" filled="f" o:preferrelative="t" stroked="f" coordsize="21600,21600">
                  <v:path/>
                  <v:fill on="f" focussize="0,0"/>
                  <v:stroke on="f"/>
                  <v:imagedata r:id="rId20" o:title=""/>
                  <o:lock v:ext="edit" aspectratio="t"/>
                  <w10:wrap type="none"/>
                  <w10:anchorlock/>
                </v:shape>
                <o:OLEObject Type="Embed" ProgID="Equation.3" ShapeID="_x0000_i1027" DrawAspect="Content" ObjectID="_1468075727" r:id="rId19">
                  <o:LockedField>false</o:LockedField>
                </o:OLEObject>
              </w:object>
            </w:r>
            <w:r>
              <w:rPr>
                <w:sz w:val="24"/>
                <w:highlight w:val="none"/>
              </w:rPr>
              <w:t>——</w:t>
            </w:r>
            <w:r>
              <w:rPr>
                <w:rFonts w:hint="eastAsia"/>
                <w:sz w:val="24"/>
                <w:highlight w:val="none"/>
              </w:rPr>
              <w:t>为粉尘</w:t>
            </w:r>
            <w:r>
              <w:rPr>
                <w:sz w:val="24"/>
                <w:highlight w:val="none"/>
              </w:rPr>
              <w:t>浓度限值，</w:t>
            </w:r>
            <w:r>
              <w:rPr>
                <w:rFonts w:hint="eastAsia"/>
                <w:sz w:val="24"/>
                <w:highlight w:val="none"/>
              </w:rPr>
              <w:t>0.9</w:t>
            </w:r>
            <w:r>
              <w:rPr>
                <w:sz w:val="24"/>
                <w:highlight w:val="none"/>
              </w:rPr>
              <w:t>mg/m</w:t>
            </w:r>
            <w:r>
              <w:rPr>
                <w:sz w:val="24"/>
                <w:highlight w:val="none"/>
                <w:vertAlign w:val="superscript"/>
              </w:rPr>
              <w:t>3</w:t>
            </w:r>
            <w:r>
              <w:rPr>
                <w:sz w:val="24"/>
                <w:highlight w:val="none"/>
              </w:rPr>
              <w:t>；</w:t>
            </w:r>
          </w:p>
          <w:p>
            <w:pPr>
              <w:spacing w:line="480" w:lineRule="exact"/>
              <w:ind w:firstLine="720" w:firstLineChars="300"/>
              <w:rPr>
                <w:sz w:val="24"/>
                <w:highlight w:val="none"/>
              </w:rPr>
            </w:pPr>
            <w:r>
              <w:rPr>
                <w:position w:val="-4"/>
                <w:sz w:val="24"/>
                <w:highlight w:val="none"/>
              </w:rPr>
              <w:object>
                <v:shape id="_x0000_i1028" o:spt="75" type="#_x0000_t75" style="height:12.75pt;width:11.25pt;" o:ole="t" filled="f" o:preferrelative="t" stroked="f" coordsize="21600,21600">
                  <v:path/>
                  <v:fill on="f" focussize="0,0"/>
                  <v:stroke on="f"/>
                  <v:imagedata r:id="rId22" o:title=""/>
                  <o:lock v:ext="edit" aspectratio="t"/>
                  <w10:wrap type="none"/>
                  <w10:anchorlock/>
                </v:shape>
                <o:OLEObject Type="Embed" ProgID="Equation.3" ShapeID="_x0000_i1028" DrawAspect="Content" ObjectID="_1468075728" r:id="rId21">
                  <o:LockedField>false</o:LockedField>
                </o:OLEObject>
              </w:object>
            </w:r>
            <w:r>
              <w:rPr>
                <w:sz w:val="24"/>
                <w:highlight w:val="none"/>
              </w:rPr>
              <w:t>——工业企业所需卫生防护距离，指无组织排放源所在的生产单元（生产区、车间或工段）与居住区之间的距离，m；</w:t>
            </w:r>
          </w:p>
          <w:p>
            <w:pPr>
              <w:spacing w:line="480" w:lineRule="exact"/>
              <w:ind w:firstLine="720" w:firstLineChars="300"/>
              <w:rPr>
                <w:sz w:val="24"/>
                <w:highlight w:val="none"/>
              </w:rPr>
            </w:pPr>
            <w:r>
              <w:rPr>
                <w:position w:val="-4"/>
                <w:sz w:val="24"/>
                <w:highlight w:val="none"/>
              </w:rPr>
              <w:object>
                <v:shape id="_x0000_i1029" o:spt="75" type="#_x0000_t75" style="height:9.75pt;width:9pt;" o:ole="t" filled="f" o:preferrelative="t" stroked="f" coordsize="21600,21600">
                  <v:path/>
                  <v:fill on="f" focussize="0,0"/>
                  <v:stroke on="f"/>
                  <v:imagedata r:id="rId24" o:title=""/>
                  <o:lock v:ext="edit" aspectratio="t"/>
                  <w10:wrap type="none"/>
                  <w10:anchorlock/>
                </v:shape>
                <o:OLEObject Type="Embed" ProgID="Equation.3" ShapeID="_x0000_i1029" DrawAspect="Content" ObjectID="_1468075729" r:id="rId23">
                  <o:LockedField>false</o:LockedField>
                </o:OLEObject>
              </w:object>
            </w:r>
            <w:r>
              <w:rPr>
                <w:sz w:val="24"/>
                <w:highlight w:val="none"/>
              </w:rPr>
              <w:t>——有害气体无组织排放源所在生产单元的等效半径，m。根据该生产单元占地面积S(m</w:t>
            </w:r>
            <w:r>
              <w:rPr>
                <w:sz w:val="24"/>
                <w:highlight w:val="none"/>
                <w:vertAlign w:val="superscript"/>
              </w:rPr>
              <w:t>2</w:t>
            </w:r>
            <w:r>
              <w:rPr>
                <w:sz w:val="24"/>
                <w:highlight w:val="none"/>
              </w:rPr>
              <w:t>)计算，</w:t>
            </w:r>
            <w:r>
              <w:rPr>
                <w:position w:val="-10"/>
                <w:sz w:val="24"/>
                <w:highlight w:val="none"/>
              </w:rPr>
              <w:object>
                <v:shape id="_x0000_i1030" o:spt="75" type="#_x0000_t75" style="height:21.3pt;width:89.8pt;" o:ole="t" filled="f" o:preferrelative="t" stroked="f" coordsize="21600,21600">
                  <v:path/>
                  <v:fill on="f" focussize="0,0"/>
                  <v:stroke on="f"/>
                  <v:imagedata r:id="rId26" o:title=""/>
                  <o:lock v:ext="edit" aspectratio="t"/>
                  <w10:wrap type="none"/>
                  <w10:anchorlock/>
                </v:shape>
                <o:OLEObject Type="Embed" ProgID="Equation.3" ShapeID="_x0000_i1030" DrawAspect="Content" ObjectID="_1468075730" r:id="rId25">
                  <o:LockedField>false</o:LockedField>
                </o:OLEObject>
              </w:object>
            </w:r>
            <w:r>
              <w:rPr>
                <w:sz w:val="24"/>
                <w:highlight w:val="none"/>
              </w:rPr>
              <w:t>；</w:t>
            </w:r>
          </w:p>
          <w:p>
            <w:pPr>
              <w:spacing w:line="480" w:lineRule="exact"/>
              <w:ind w:firstLine="720" w:firstLineChars="300"/>
              <w:rPr>
                <w:sz w:val="24"/>
                <w:highlight w:val="none"/>
              </w:rPr>
            </w:pPr>
            <w:r>
              <w:rPr>
                <w:sz w:val="24"/>
                <w:highlight w:val="none"/>
              </w:rPr>
              <w:t>A、B、C、D—卫生防护距离计算系数，从《制定地方大气污染物排放标准的技术方法》（GB/T 13201-91）表5中查取；</w:t>
            </w:r>
          </w:p>
          <w:p>
            <w:pPr>
              <w:spacing w:line="360" w:lineRule="auto"/>
              <w:ind w:left="105" w:leftChars="50" w:right="105" w:rightChars="50" w:firstLine="480" w:firstLineChars="200"/>
              <w:rPr>
                <w:b/>
                <w:sz w:val="24"/>
                <w:highlight w:val="none"/>
              </w:rPr>
            </w:pPr>
            <w:r>
              <w:rPr>
                <w:position w:val="-12"/>
                <w:sz w:val="24"/>
                <w:highlight w:val="none"/>
              </w:rPr>
              <w:object>
                <v:shape id="_x0000_i1031" o:spt="75" type="#_x0000_t75" style="height:18pt;width:15.75pt;" o:ole="t" filled="f" o:preferrelative="t" stroked="f" coordsize="21600,21600">
                  <v:path/>
                  <v:fill on="f" focussize="0,0"/>
                  <v:stroke on="f"/>
                  <v:imagedata r:id="rId28" o:title=""/>
                  <o:lock v:ext="edit" aspectratio="t"/>
                  <w10:wrap type="none"/>
                  <w10:anchorlock/>
                </v:shape>
                <o:OLEObject Type="Embed" ProgID="Equation.3" ShapeID="_x0000_i1031" DrawAspect="Content" ObjectID="_1468075731" r:id="rId27">
                  <o:LockedField>false</o:LockedField>
                </o:OLEObject>
              </w:object>
            </w:r>
            <w:r>
              <w:rPr>
                <w:sz w:val="24"/>
                <w:highlight w:val="none"/>
              </w:rPr>
              <w:t>——工业企业有害气体无组织排放量可以达到的控制水平，kg/h。</w:t>
            </w:r>
          </w:p>
          <w:p>
            <w:pPr>
              <w:spacing w:line="360" w:lineRule="auto"/>
              <w:ind w:left="105" w:leftChars="50" w:right="105" w:rightChars="50" w:firstLine="480" w:firstLineChars="200"/>
              <w:rPr>
                <w:rFonts w:hint="eastAsia" w:ascii="宋体" w:hAnsi="宋体" w:cs="宋体"/>
                <w:b/>
                <w:szCs w:val="21"/>
                <w:highlight w:val="none"/>
              </w:rPr>
            </w:pPr>
            <w:r>
              <w:rPr>
                <w:rFonts w:hint="eastAsia"/>
                <w:bCs/>
                <w:sz w:val="24"/>
                <w:highlight w:val="none"/>
              </w:rPr>
              <w:t>根据公式计算出粉尘卫生防护距离如下表：</w:t>
            </w:r>
          </w:p>
          <w:p>
            <w:pPr>
              <w:keepNext/>
              <w:keepLines/>
              <w:spacing w:line="360" w:lineRule="auto"/>
              <w:ind w:firstLine="2951" w:firstLineChars="1400"/>
              <w:rPr>
                <w:rFonts w:hint="eastAsia" w:ascii="宋体" w:hAnsi="宋体" w:cs="宋体"/>
                <w:b/>
                <w:szCs w:val="21"/>
                <w:highlight w:val="none"/>
              </w:rPr>
            </w:pPr>
            <w:r>
              <w:rPr>
                <w:rFonts w:hint="eastAsia" w:ascii="宋体" w:hAnsi="宋体" w:cs="宋体"/>
                <w:b/>
                <w:szCs w:val="21"/>
                <w:highlight w:val="none"/>
              </w:rPr>
              <w:t>表43    卫生防护距离计算参数及结果</w:t>
            </w:r>
          </w:p>
          <w:tbl>
            <w:tblPr>
              <w:tblStyle w:val="2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850"/>
              <w:gridCol w:w="1063"/>
              <w:gridCol w:w="1228"/>
              <w:gridCol w:w="736"/>
              <w:gridCol w:w="859"/>
              <w:gridCol w:w="723"/>
              <w:gridCol w:w="736"/>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0" w:type="dxa"/>
                  <w:vAlign w:val="top"/>
                </w:tcPr>
                <w:p>
                  <w:pPr>
                    <w:ind w:right="105" w:rightChars="50"/>
                    <w:jc w:val="center"/>
                    <w:rPr>
                      <w:bCs/>
                      <w:szCs w:val="21"/>
                      <w:highlight w:val="none"/>
                    </w:rPr>
                  </w:pPr>
                  <w:r>
                    <w:rPr>
                      <w:bCs/>
                      <w:szCs w:val="21"/>
                      <w:highlight w:val="none"/>
                    </w:rPr>
                    <w:t>生产单元</w:t>
                  </w:r>
                </w:p>
              </w:tc>
              <w:tc>
                <w:tcPr>
                  <w:tcW w:w="850" w:type="dxa"/>
                  <w:vAlign w:val="top"/>
                </w:tcPr>
                <w:p>
                  <w:pPr>
                    <w:ind w:right="105" w:rightChars="50"/>
                    <w:jc w:val="center"/>
                    <w:rPr>
                      <w:bCs/>
                      <w:szCs w:val="21"/>
                      <w:highlight w:val="none"/>
                    </w:rPr>
                  </w:pPr>
                  <w:r>
                    <w:rPr>
                      <w:bCs/>
                      <w:szCs w:val="21"/>
                      <w:highlight w:val="none"/>
                    </w:rPr>
                    <w:t>污染物</w:t>
                  </w:r>
                </w:p>
              </w:tc>
              <w:tc>
                <w:tcPr>
                  <w:tcW w:w="1063" w:type="dxa"/>
                  <w:vAlign w:val="top"/>
                </w:tcPr>
                <w:p>
                  <w:pPr>
                    <w:ind w:right="105" w:rightChars="50"/>
                    <w:jc w:val="center"/>
                    <w:rPr>
                      <w:bCs/>
                      <w:szCs w:val="21"/>
                      <w:highlight w:val="none"/>
                    </w:rPr>
                  </w:pPr>
                  <w:r>
                    <w:rPr>
                      <w:bCs/>
                      <w:szCs w:val="21"/>
                      <w:highlight w:val="none"/>
                    </w:rPr>
                    <w:t>排放速率（kg/h）</w:t>
                  </w:r>
                </w:p>
              </w:tc>
              <w:tc>
                <w:tcPr>
                  <w:tcW w:w="1228" w:type="dxa"/>
                  <w:vAlign w:val="top"/>
                </w:tcPr>
                <w:p>
                  <w:pPr>
                    <w:ind w:right="105" w:rightChars="50"/>
                    <w:jc w:val="center"/>
                    <w:rPr>
                      <w:bCs/>
                      <w:szCs w:val="21"/>
                      <w:highlight w:val="none"/>
                    </w:rPr>
                  </w:pPr>
                  <w:r>
                    <w:rPr>
                      <w:bCs/>
                      <w:szCs w:val="21"/>
                      <w:highlight w:val="none"/>
                    </w:rPr>
                    <w:t>企业近五年平均风速（m/s）</w:t>
                  </w:r>
                </w:p>
              </w:tc>
              <w:tc>
                <w:tcPr>
                  <w:tcW w:w="736" w:type="dxa"/>
                  <w:vAlign w:val="top"/>
                </w:tcPr>
                <w:p>
                  <w:pPr>
                    <w:ind w:right="105" w:rightChars="50"/>
                    <w:jc w:val="center"/>
                    <w:rPr>
                      <w:bCs/>
                      <w:szCs w:val="21"/>
                      <w:highlight w:val="none"/>
                    </w:rPr>
                  </w:pPr>
                  <w:r>
                    <w:rPr>
                      <w:bCs/>
                      <w:szCs w:val="21"/>
                      <w:highlight w:val="none"/>
                    </w:rPr>
                    <w:t>A</w:t>
                  </w:r>
                </w:p>
              </w:tc>
              <w:tc>
                <w:tcPr>
                  <w:tcW w:w="859" w:type="dxa"/>
                  <w:vAlign w:val="top"/>
                </w:tcPr>
                <w:p>
                  <w:pPr>
                    <w:ind w:right="105" w:rightChars="50"/>
                    <w:jc w:val="center"/>
                    <w:rPr>
                      <w:bCs/>
                      <w:szCs w:val="21"/>
                      <w:highlight w:val="none"/>
                    </w:rPr>
                  </w:pPr>
                  <w:r>
                    <w:rPr>
                      <w:bCs/>
                      <w:szCs w:val="21"/>
                      <w:highlight w:val="none"/>
                    </w:rPr>
                    <w:t>B</w:t>
                  </w:r>
                </w:p>
              </w:tc>
              <w:tc>
                <w:tcPr>
                  <w:tcW w:w="723" w:type="dxa"/>
                  <w:vAlign w:val="top"/>
                </w:tcPr>
                <w:p>
                  <w:pPr>
                    <w:ind w:right="105" w:rightChars="50"/>
                    <w:jc w:val="center"/>
                    <w:rPr>
                      <w:bCs/>
                      <w:szCs w:val="21"/>
                      <w:highlight w:val="none"/>
                    </w:rPr>
                  </w:pPr>
                  <w:r>
                    <w:rPr>
                      <w:bCs/>
                      <w:szCs w:val="21"/>
                      <w:highlight w:val="none"/>
                    </w:rPr>
                    <w:t>C</w:t>
                  </w:r>
                </w:p>
              </w:tc>
              <w:tc>
                <w:tcPr>
                  <w:tcW w:w="736" w:type="dxa"/>
                  <w:vAlign w:val="top"/>
                </w:tcPr>
                <w:p>
                  <w:pPr>
                    <w:ind w:right="105" w:rightChars="50"/>
                    <w:jc w:val="center"/>
                    <w:rPr>
                      <w:bCs/>
                      <w:szCs w:val="21"/>
                      <w:highlight w:val="none"/>
                    </w:rPr>
                  </w:pPr>
                  <w:r>
                    <w:rPr>
                      <w:bCs/>
                      <w:szCs w:val="21"/>
                      <w:highlight w:val="none"/>
                    </w:rPr>
                    <w:t>D</w:t>
                  </w:r>
                </w:p>
              </w:tc>
              <w:tc>
                <w:tcPr>
                  <w:tcW w:w="925" w:type="dxa"/>
                  <w:vAlign w:val="top"/>
                </w:tcPr>
                <w:p>
                  <w:pPr>
                    <w:ind w:right="105" w:rightChars="50"/>
                    <w:jc w:val="center"/>
                    <w:rPr>
                      <w:bCs/>
                      <w:szCs w:val="21"/>
                      <w:highlight w:val="none"/>
                    </w:rPr>
                  </w:pPr>
                  <w:r>
                    <w:rPr>
                      <w:bCs/>
                      <w:szCs w:val="21"/>
                      <w:highlight w:val="none"/>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1940" w:type="dxa"/>
                  <w:vAlign w:val="center"/>
                </w:tcPr>
                <w:p>
                  <w:pPr>
                    <w:ind w:right="105" w:rightChars="50"/>
                    <w:jc w:val="center"/>
                    <w:rPr>
                      <w:szCs w:val="21"/>
                      <w:highlight w:val="none"/>
                    </w:rPr>
                  </w:pPr>
                  <w:r>
                    <w:rPr>
                      <w:szCs w:val="21"/>
                      <w:highlight w:val="none"/>
                    </w:rPr>
                    <w:t>原料库</w:t>
                  </w:r>
                </w:p>
                <w:p>
                  <w:pPr>
                    <w:jc w:val="center"/>
                    <w:rPr>
                      <w:szCs w:val="21"/>
                      <w:highlight w:val="none"/>
                    </w:rPr>
                  </w:pPr>
                  <w:r>
                    <w:rPr>
                      <w:bCs/>
                      <w:szCs w:val="21"/>
                      <w:highlight w:val="none"/>
                    </w:rPr>
                    <w:t>（30m*20m*</w:t>
                  </w:r>
                  <w:r>
                    <w:rPr>
                      <w:rFonts w:hint="eastAsia"/>
                      <w:bCs/>
                      <w:szCs w:val="21"/>
                      <w:highlight w:val="none"/>
                      <w:lang w:val="en-US" w:eastAsia="zh-CN"/>
                    </w:rPr>
                    <w:t>1.5</w:t>
                  </w:r>
                  <w:r>
                    <w:rPr>
                      <w:bCs/>
                      <w:szCs w:val="21"/>
                      <w:highlight w:val="none"/>
                    </w:rPr>
                    <w:t>m）</w:t>
                  </w:r>
                </w:p>
              </w:tc>
              <w:tc>
                <w:tcPr>
                  <w:tcW w:w="850" w:type="dxa"/>
                  <w:vAlign w:val="center"/>
                </w:tcPr>
                <w:p>
                  <w:pPr>
                    <w:ind w:right="105" w:rightChars="50"/>
                    <w:jc w:val="center"/>
                    <w:rPr>
                      <w:bCs/>
                      <w:szCs w:val="21"/>
                      <w:highlight w:val="none"/>
                    </w:rPr>
                  </w:pPr>
                  <w:r>
                    <w:rPr>
                      <w:bCs/>
                      <w:szCs w:val="21"/>
                      <w:highlight w:val="none"/>
                    </w:rPr>
                    <w:t>粉尘</w:t>
                  </w:r>
                </w:p>
              </w:tc>
              <w:tc>
                <w:tcPr>
                  <w:tcW w:w="1063" w:type="dxa"/>
                  <w:vAlign w:val="center"/>
                </w:tcPr>
                <w:p>
                  <w:pPr>
                    <w:ind w:right="105" w:rightChars="50"/>
                    <w:jc w:val="center"/>
                    <w:rPr>
                      <w:bCs/>
                      <w:szCs w:val="21"/>
                      <w:highlight w:val="none"/>
                    </w:rPr>
                  </w:pPr>
                  <w:r>
                    <w:rPr>
                      <w:bCs/>
                      <w:szCs w:val="21"/>
                      <w:highlight w:val="none"/>
                    </w:rPr>
                    <w:t>0.13</w:t>
                  </w:r>
                </w:p>
              </w:tc>
              <w:tc>
                <w:tcPr>
                  <w:tcW w:w="1228" w:type="dxa"/>
                  <w:vAlign w:val="center"/>
                </w:tcPr>
                <w:p>
                  <w:pPr>
                    <w:ind w:right="105" w:rightChars="50"/>
                    <w:jc w:val="center"/>
                    <w:rPr>
                      <w:bCs/>
                      <w:szCs w:val="21"/>
                      <w:highlight w:val="none"/>
                    </w:rPr>
                  </w:pPr>
                  <w:r>
                    <w:rPr>
                      <w:bCs/>
                      <w:szCs w:val="21"/>
                      <w:highlight w:val="none"/>
                    </w:rPr>
                    <w:t>3.2</w:t>
                  </w:r>
                </w:p>
              </w:tc>
              <w:tc>
                <w:tcPr>
                  <w:tcW w:w="736" w:type="dxa"/>
                  <w:vAlign w:val="center"/>
                </w:tcPr>
                <w:p>
                  <w:pPr>
                    <w:ind w:right="105" w:rightChars="50"/>
                    <w:jc w:val="center"/>
                    <w:rPr>
                      <w:bCs/>
                      <w:szCs w:val="21"/>
                      <w:highlight w:val="none"/>
                    </w:rPr>
                  </w:pPr>
                  <w:r>
                    <w:rPr>
                      <w:bCs/>
                      <w:szCs w:val="21"/>
                      <w:highlight w:val="none"/>
                    </w:rPr>
                    <w:t>470</w:t>
                  </w:r>
                </w:p>
              </w:tc>
              <w:tc>
                <w:tcPr>
                  <w:tcW w:w="859" w:type="dxa"/>
                  <w:vAlign w:val="center"/>
                </w:tcPr>
                <w:p>
                  <w:pPr>
                    <w:ind w:right="105" w:rightChars="50"/>
                    <w:jc w:val="center"/>
                    <w:rPr>
                      <w:bCs/>
                      <w:szCs w:val="21"/>
                      <w:highlight w:val="none"/>
                    </w:rPr>
                  </w:pPr>
                  <w:r>
                    <w:rPr>
                      <w:bCs/>
                      <w:szCs w:val="21"/>
                      <w:highlight w:val="none"/>
                    </w:rPr>
                    <w:t>0.021</w:t>
                  </w:r>
                </w:p>
              </w:tc>
              <w:tc>
                <w:tcPr>
                  <w:tcW w:w="723" w:type="dxa"/>
                  <w:vAlign w:val="center"/>
                </w:tcPr>
                <w:p>
                  <w:pPr>
                    <w:ind w:right="105" w:rightChars="50"/>
                    <w:jc w:val="center"/>
                    <w:rPr>
                      <w:bCs/>
                      <w:szCs w:val="21"/>
                      <w:highlight w:val="none"/>
                    </w:rPr>
                  </w:pPr>
                  <w:r>
                    <w:rPr>
                      <w:bCs/>
                      <w:szCs w:val="21"/>
                      <w:highlight w:val="none"/>
                    </w:rPr>
                    <w:t>1.85</w:t>
                  </w:r>
                </w:p>
              </w:tc>
              <w:tc>
                <w:tcPr>
                  <w:tcW w:w="736" w:type="dxa"/>
                  <w:vAlign w:val="center"/>
                </w:tcPr>
                <w:p>
                  <w:pPr>
                    <w:ind w:right="105" w:rightChars="50"/>
                    <w:jc w:val="center"/>
                    <w:rPr>
                      <w:bCs/>
                      <w:szCs w:val="21"/>
                      <w:highlight w:val="none"/>
                    </w:rPr>
                  </w:pPr>
                  <w:r>
                    <w:rPr>
                      <w:bCs/>
                      <w:szCs w:val="21"/>
                      <w:highlight w:val="none"/>
                    </w:rPr>
                    <w:t>0.84</w:t>
                  </w:r>
                </w:p>
              </w:tc>
              <w:tc>
                <w:tcPr>
                  <w:tcW w:w="925" w:type="dxa"/>
                  <w:vAlign w:val="center"/>
                </w:tcPr>
                <w:p>
                  <w:pPr>
                    <w:ind w:right="105" w:rightChars="50"/>
                    <w:jc w:val="center"/>
                    <w:rPr>
                      <w:rFonts w:hint="eastAsia" w:eastAsia="宋体"/>
                      <w:bCs/>
                      <w:szCs w:val="21"/>
                      <w:highlight w:val="none"/>
                      <w:lang w:val="en-US" w:eastAsia="zh-CN"/>
                    </w:rPr>
                  </w:pPr>
                  <w:r>
                    <w:rPr>
                      <w:rFonts w:hint="eastAsia"/>
                      <w:bCs/>
                      <w:szCs w:val="21"/>
                      <w:highlight w:val="none"/>
                      <w:lang w:val="en-US" w:eastAsia="zh-CN"/>
                    </w:rPr>
                    <w:t>14.64</w:t>
                  </w:r>
                </w:p>
              </w:tc>
            </w:tr>
          </w:tbl>
          <w:p>
            <w:pPr>
              <w:spacing w:line="360" w:lineRule="auto"/>
              <w:ind w:left="105" w:leftChars="50" w:right="105" w:rightChars="50" w:firstLine="480" w:firstLineChars="200"/>
              <w:rPr>
                <w:rFonts w:hint="eastAsia"/>
                <w:bCs/>
                <w:sz w:val="24"/>
                <w:highlight w:val="none"/>
              </w:rPr>
            </w:pPr>
            <w:r>
              <w:rPr>
                <w:rFonts w:hint="eastAsia"/>
                <w:bCs/>
                <w:sz w:val="24"/>
                <w:highlight w:val="none"/>
              </w:rPr>
              <w:t>计算结果可知，本项目卫生防护距离为50m（卫生防护距离包络线见附图4）。距离本项目最近的居民区为西侧437m处的慈一村，在卫生防护距离之外，故本项目产生的粉尘对环境敏感点影响较小。此外，评价建议，今后居民区、学校、医院等敏感点不得在该范围内建设。</w:t>
            </w:r>
          </w:p>
          <w:p>
            <w:pPr>
              <w:spacing w:line="500" w:lineRule="exact"/>
              <w:ind w:firstLine="474" w:firstLineChars="200"/>
              <w:rPr>
                <w:b/>
                <w:spacing w:val="-2"/>
                <w:sz w:val="24"/>
                <w:highlight w:val="none"/>
              </w:rPr>
            </w:pPr>
            <w:r>
              <w:rPr>
                <w:b/>
                <w:spacing w:val="-2"/>
                <w:sz w:val="24"/>
                <w:highlight w:val="none"/>
              </w:rPr>
              <w:t>2、水环境影响分析</w:t>
            </w:r>
          </w:p>
          <w:p>
            <w:pPr>
              <w:tabs>
                <w:tab w:val="left" w:pos="360"/>
                <w:tab w:val="left" w:pos="3225"/>
              </w:tabs>
              <w:spacing w:line="520" w:lineRule="exact"/>
              <w:ind w:firstLine="480" w:firstLineChars="200"/>
              <w:rPr>
                <w:sz w:val="24"/>
                <w:highlight w:val="none"/>
              </w:rPr>
            </w:pPr>
            <w:r>
              <w:rPr>
                <w:sz w:val="24"/>
                <w:highlight w:val="none"/>
              </w:rPr>
              <w:t>本项目</w:t>
            </w:r>
            <w:r>
              <w:rPr>
                <w:rFonts w:hint="eastAsia"/>
                <w:sz w:val="24"/>
                <w:highlight w:val="none"/>
              </w:rPr>
              <w:t>废水</w:t>
            </w:r>
            <w:r>
              <w:rPr>
                <w:sz w:val="24"/>
                <w:highlight w:val="none"/>
              </w:rPr>
              <w:t>主要</w:t>
            </w:r>
            <w:r>
              <w:rPr>
                <w:rFonts w:hint="eastAsia"/>
                <w:sz w:val="24"/>
                <w:highlight w:val="none"/>
              </w:rPr>
              <w:t>为</w:t>
            </w:r>
            <w:r>
              <w:rPr>
                <w:sz w:val="24"/>
                <w:highlight w:val="none"/>
                <w:lang w:val="fr-FR"/>
              </w:rPr>
              <w:t>员工生活污水</w:t>
            </w:r>
            <w:r>
              <w:rPr>
                <w:sz w:val="24"/>
                <w:highlight w:val="none"/>
              </w:rPr>
              <w:t>。</w:t>
            </w:r>
          </w:p>
          <w:p>
            <w:pPr>
              <w:tabs>
                <w:tab w:val="left" w:pos="360"/>
                <w:tab w:val="left" w:pos="3225"/>
              </w:tabs>
              <w:spacing w:line="520" w:lineRule="exact"/>
              <w:ind w:firstLine="480" w:firstLineChars="200"/>
              <w:rPr>
                <w:b/>
                <w:bCs/>
                <w:sz w:val="24"/>
                <w:highlight w:val="none"/>
              </w:rPr>
            </w:pPr>
            <w:r>
              <w:rPr>
                <w:sz w:val="24"/>
                <w:highlight w:val="none"/>
              </w:rPr>
              <w:t>项目劳动定员为</w:t>
            </w:r>
            <w:r>
              <w:rPr>
                <w:rFonts w:hint="eastAsia"/>
                <w:sz w:val="24"/>
                <w:highlight w:val="none"/>
              </w:rPr>
              <w:t>20</w:t>
            </w:r>
            <w:r>
              <w:rPr>
                <w:sz w:val="24"/>
                <w:highlight w:val="none"/>
              </w:rPr>
              <w:t>人，均不在厂区食宿，员工用水量按</w:t>
            </w:r>
            <w:r>
              <w:rPr>
                <w:rFonts w:hint="eastAsia"/>
                <w:sz w:val="24"/>
                <w:highlight w:val="none"/>
              </w:rPr>
              <w:t>4</w:t>
            </w:r>
            <w:r>
              <w:rPr>
                <w:sz w:val="24"/>
                <w:highlight w:val="none"/>
              </w:rPr>
              <w:t>0L/人·d计，则用水量为</w:t>
            </w:r>
            <w:r>
              <w:rPr>
                <w:rFonts w:hint="eastAsia"/>
                <w:sz w:val="24"/>
                <w:highlight w:val="none"/>
              </w:rPr>
              <w:t>240m</w:t>
            </w:r>
            <w:r>
              <w:rPr>
                <w:rFonts w:hint="eastAsia"/>
                <w:sz w:val="24"/>
                <w:highlight w:val="none"/>
                <w:vertAlign w:val="superscript"/>
              </w:rPr>
              <w:t>3</w:t>
            </w:r>
            <w:r>
              <w:rPr>
                <w:sz w:val="24"/>
                <w:highlight w:val="none"/>
              </w:rPr>
              <w:t>/a。废水产生总量按照用水量的80%计算，则废水产生量为</w:t>
            </w:r>
            <w:r>
              <w:rPr>
                <w:rFonts w:hint="eastAsia"/>
                <w:sz w:val="24"/>
                <w:highlight w:val="none"/>
              </w:rPr>
              <w:t>192m</w:t>
            </w:r>
            <w:r>
              <w:rPr>
                <w:rFonts w:hint="eastAsia"/>
                <w:sz w:val="24"/>
                <w:highlight w:val="none"/>
                <w:vertAlign w:val="superscript"/>
              </w:rPr>
              <w:t>3</w:t>
            </w:r>
            <w:r>
              <w:rPr>
                <w:sz w:val="24"/>
                <w:highlight w:val="none"/>
              </w:rPr>
              <w:t>/a。</w:t>
            </w:r>
            <w:r>
              <w:rPr>
                <w:rFonts w:hint="eastAsia" w:ascii="宋体" w:hAnsi="宋体"/>
                <w:color w:val="000000"/>
                <w:sz w:val="24"/>
                <w:highlight w:val="none"/>
              </w:rPr>
              <w:t>经类比，废水</w:t>
            </w:r>
            <w:r>
              <w:rPr>
                <w:color w:val="000000"/>
                <w:sz w:val="24"/>
                <w:highlight w:val="none"/>
              </w:rPr>
              <w:t>COD</w:t>
            </w:r>
            <w:r>
              <w:rPr>
                <w:rFonts w:hint="eastAsia" w:ascii="宋体" w:hAnsi="宋体"/>
                <w:color w:val="000000"/>
                <w:sz w:val="24"/>
                <w:highlight w:val="none"/>
              </w:rPr>
              <w:t>产生浓度为</w:t>
            </w:r>
            <w:r>
              <w:rPr>
                <w:rFonts w:hint="eastAsia"/>
                <w:color w:val="000000"/>
                <w:sz w:val="24"/>
                <w:highlight w:val="none"/>
              </w:rPr>
              <w:t>300</w:t>
            </w:r>
            <w:r>
              <w:rPr>
                <w:color w:val="000000"/>
                <w:sz w:val="24"/>
                <w:highlight w:val="none"/>
              </w:rPr>
              <w:t>mg/L</w:t>
            </w:r>
            <w:r>
              <w:rPr>
                <w:rFonts w:hint="eastAsia" w:ascii="宋体" w:hAnsi="宋体"/>
                <w:color w:val="000000"/>
                <w:sz w:val="24"/>
                <w:highlight w:val="none"/>
              </w:rPr>
              <w:t>，</w:t>
            </w:r>
            <w:r>
              <w:rPr>
                <w:rFonts w:hint="eastAsia" w:ascii="宋体" w:hAnsi="宋体"/>
                <w:sz w:val="24"/>
                <w:highlight w:val="none"/>
              </w:rPr>
              <w:t>产生量约为</w:t>
            </w:r>
            <w:r>
              <w:rPr>
                <w:sz w:val="24"/>
                <w:highlight w:val="none"/>
              </w:rPr>
              <w:t>0.0</w:t>
            </w:r>
            <w:r>
              <w:rPr>
                <w:rFonts w:hint="eastAsia"/>
                <w:sz w:val="24"/>
                <w:highlight w:val="none"/>
              </w:rPr>
              <w:t>576t</w:t>
            </w:r>
            <w:r>
              <w:rPr>
                <w:sz w:val="24"/>
                <w:highlight w:val="none"/>
              </w:rPr>
              <w:t>/a</w:t>
            </w:r>
            <w:r>
              <w:rPr>
                <w:rFonts w:hint="eastAsia"/>
                <w:sz w:val="24"/>
                <w:highlight w:val="none"/>
              </w:rPr>
              <w:t>；</w:t>
            </w:r>
            <w:r>
              <w:rPr>
                <w:color w:val="000000"/>
                <w:sz w:val="24"/>
                <w:highlight w:val="none"/>
              </w:rPr>
              <w:t>NH</w:t>
            </w:r>
            <w:r>
              <w:rPr>
                <w:color w:val="000000"/>
                <w:sz w:val="24"/>
                <w:highlight w:val="none"/>
                <w:vertAlign w:val="subscript"/>
              </w:rPr>
              <w:t>3</w:t>
            </w:r>
            <w:r>
              <w:rPr>
                <w:color w:val="000000"/>
                <w:sz w:val="24"/>
                <w:highlight w:val="none"/>
              </w:rPr>
              <w:t>-N</w:t>
            </w:r>
            <w:r>
              <w:rPr>
                <w:rFonts w:hint="eastAsia" w:ascii="宋体" w:hAnsi="宋体"/>
                <w:color w:val="000000"/>
                <w:sz w:val="24"/>
                <w:highlight w:val="none"/>
              </w:rPr>
              <w:t>产生浓度为</w:t>
            </w:r>
            <w:r>
              <w:rPr>
                <w:rFonts w:hint="eastAsia"/>
                <w:color w:val="000000"/>
                <w:sz w:val="24"/>
                <w:highlight w:val="none"/>
              </w:rPr>
              <w:t>25</w:t>
            </w:r>
            <w:r>
              <w:rPr>
                <w:color w:val="000000"/>
                <w:sz w:val="24"/>
                <w:highlight w:val="none"/>
              </w:rPr>
              <w:t>mg/L</w:t>
            </w:r>
            <w:r>
              <w:rPr>
                <w:rFonts w:hint="eastAsia" w:ascii="宋体" w:hAnsi="宋体"/>
                <w:color w:val="000000"/>
                <w:sz w:val="24"/>
                <w:highlight w:val="none"/>
              </w:rPr>
              <w:t>，</w:t>
            </w:r>
            <w:r>
              <w:rPr>
                <w:rFonts w:hint="eastAsia" w:ascii="宋体" w:hAnsi="宋体"/>
                <w:sz w:val="24"/>
                <w:highlight w:val="none"/>
              </w:rPr>
              <w:t>产生量约为</w:t>
            </w:r>
            <w:r>
              <w:rPr>
                <w:sz w:val="24"/>
                <w:highlight w:val="none"/>
              </w:rPr>
              <w:t>0.00</w:t>
            </w:r>
            <w:r>
              <w:rPr>
                <w:rFonts w:hint="eastAsia"/>
                <w:sz w:val="24"/>
                <w:highlight w:val="none"/>
              </w:rPr>
              <w:t>48</w:t>
            </w:r>
            <w:r>
              <w:rPr>
                <w:sz w:val="24"/>
                <w:highlight w:val="none"/>
              </w:rPr>
              <w:t>t/a</w:t>
            </w:r>
            <w:r>
              <w:rPr>
                <w:rFonts w:hint="eastAsia"/>
                <w:sz w:val="24"/>
                <w:highlight w:val="none"/>
              </w:rPr>
              <w:t>，悬浮物产生浓度</w:t>
            </w:r>
            <w:r>
              <w:rPr>
                <w:rFonts w:hint="eastAsia" w:ascii="宋体" w:hAnsi="宋体"/>
                <w:color w:val="000000"/>
                <w:sz w:val="24"/>
                <w:highlight w:val="none"/>
              </w:rPr>
              <w:t>为</w:t>
            </w:r>
            <w:r>
              <w:rPr>
                <w:rFonts w:hint="eastAsia"/>
                <w:color w:val="000000"/>
                <w:sz w:val="24"/>
                <w:highlight w:val="none"/>
              </w:rPr>
              <w:t>200</w:t>
            </w:r>
            <w:r>
              <w:rPr>
                <w:color w:val="000000"/>
                <w:sz w:val="24"/>
                <w:highlight w:val="none"/>
              </w:rPr>
              <w:t>mg/L</w:t>
            </w:r>
            <w:r>
              <w:rPr>
                <w:rFonts w:hint="eastAsia" w:ascii="宋体" w:hAnsi="宋体"/>
                <w:color w:val="000000"/>
                <w:sz w:val="24"/>
                <w:highlight w:val="none"/>
              </w:rPr>
              <w:t>，</w:t>
            </w:r>
            <w:r>
              <w:rPr>
                <w:rFonts w:hint="eastAsia" w:ascii="宋体" w:hAnsi="宋体"/>
                <w:sz w:val="24"/>
                <w:highlight w:val="none"/>
              </w:rPr>
              <w:t>产生量约为</w:t>
            </w:r>
            <w:r>
              <w:rPr>
                <w:sz w:val="24"/>
                <w:highlight w:val="none"/>
              </w:rPr>
              <w:t>0.0</w:t>
            </w:r>
            <w:r>
              <w:rPr>
                <w:rFonts w:hint="eastAsia"/>
                <w:sz w:val="24"/>
                <w:highlight w:val="none"/>
              </w:rPr>
              <w:t>384</w:t>
            </w:r>
            <w:r>
              <w:rPr>
                <w:sz w:val="24"/>
                <w:highlight w:val="none"/>
              </w:rPr>
              <w:t>t/a</w:t>
            </w:r>
            <w:r>
              <w:rPr>
                <w:rFonts w:hint="eastAsia"/>
                <w:sz w:val="24"/>
                <w:highlight w:val="none"/>
              </w:rPr>
              <w:t>；动植物油产生浓度</w:t>
            </w:r>
            <w:r>
              <w:rPr>
                <w:rFonts w:hint="eastAsia" w:ascii="宋体" w:hAnsi="宋体"/>
                <w:color w:val="000000"/>
                <w:sz w:val="24"/>
                <w:highlight w:val="none"/>
              </w:rPr>
              <w:t>为</w:t>
            </w:r>
            <w:r>
              <w:rPr>
                <w:rFonts w:hint="eastAsia"/>
                <w:sz w:val="24"/>
                <w:highlight w:val="none"/>
              </w:rPr>
              <w:t>10</w:t>
            </w:r>
            <w:r>
              <w:rPr>
                <w:sz w:val="24"/>
                <w:highlight w:val="none"/>
              </w:rPr>
              <w:t>m</w:t>
            </w:r>
            <w:r>
              <w:rPr>
                <w:color w:val="000000"/>
                <w:sz w:val="24"/>
                <w:highlight w:val="none"/>
              </w:rPr>
              <w:t>g/L</w:t>
            </w:r>
            <w:r>
              <w:rPr>
                <w:rFonts w:hint="eastAsia" w:ascii="宋体" w:hAnsi="宋体"/>
                <w:color w:val="000000"/>
                <w:sz w:val="24"/>
                <w:highlight w:val="none"/>
              </w:rPr>
              <w:t>，</w:t>
            </w:r>
            <w:r>
              <w:rPr>
                <w:rFonts w:hint="eastAsia" w:ascii="宋体" w:hAnsi="宋体"/>
                <w:sz w:val="24"/>
                <w:highlight w:val="none"/>
              </w:rPr>
              <w:t>产生量约为</w:t>
            </w:r>
            <w:r>
              <w:rPr>
                <w:rFonts w:hint="eastAsia"/>
                <w:sz w:val="24"/>
                <w:highlight w:val="none"/>
              </w:rPr>
              <w:t>0.0019</w:t>
            </w:r>
            <w:r>
              <w:rPr>
                <w:sz w:val="24"/>
                <w:highlight w:val="none"/>
              </w:rPr>
              <w:t>t/a</w:t>
            </w:r>
            <w:r>
              <w:rPr>
                <w:rFonts w:hint="eastAsia"/>
                <w:sz w:val="24"/>
                <w:highlight w:val="none"/>
              </w:rPr>
              <w:t>。</w:t>
            </w:r>
            <w:r>
              <w:rPr>
                <w:rFonts w:hint="eastAsia" w:ascii="宋体" w:hAnsi="宋体"/>
                <w:sz w:val="24"/>
                <w:highlight w:val="none"/>
              </w:rPr>
              <w:t>建议建设单位建设一个</w:t>
            </w:r>
            <w:r>
              <w:rPr>
                <w:rFonts w:hint="eastAsia"/>
                <w:sz w:val="24"/>
                <w:highlight w:val="none"/>
              </w:rPr>
              <w:t>4</w:t>
            </w:r>
            <w:r>
              <w:rPr>
                <w:sz w:val="24"/>
                <w:highlight w:val="none"/>
              </w:rPr>
              <w:t>m</w:t>
            </w:r>
            <w:r>
              <w:rPr>
                <w:sz w:val="24"/>
                <w:highlight w:val="none"/>
                <w:vertAlign w:val="superscript"/>
              </w:rPr>
              <w:t>3</w:t>
            </w:r>
            <w:r>
              <w:rPr>
                <w:rFonts w:hint="eastAsia" w:ascii="宋体" w:hAnsi="宋体"/>
                <w:sz w:val="24"/>
                <w:highlight w:val="none"/>
              </w:rPr>
              <w:t>化粪池，生活污水</w:t>
            </w:r>
            <w:r>
              <w:rPr>
                <w:rFonts w:hint="eastAsia"/>
                <w:sz w:val="24"/>
                <w:highlight w:val="none"/>
                <w:lang w:val="fr-FR"/>
              </w:rPr>
              <w:t>经厂区化粪池处理后</w:t>
            </w:r>
            <w:r>
              <w:rPr>
                <w:rFonts w:hint="eastAsia" w:ascii="宋体" w:hAnsi="宋体"/>
                <w:sz w:val="24"/>
                <w:highlight w:val="none"/>
              </w:rPr>
              <w:t>，由项目单位定期清运，用于沤制农家肥。</w:t>
            </w:r>
          </w:p>
          <w:p>
            <w:pPr>
              <w:spacing w:line="520" w:lineRule="exact"/>
              <w:ind w:firstLine="472" w:firstLineChars="196"/>
              <w:rPr>
                <w:b/>
                <w:bCs/>
                <w:sz w:val="24"/>
                <w:highlight w:val="none"/>
              </w:rPr>
            </w:pPr>
            <w:r>
              <w:rPr>
                <w:b/>
                <w:bCs/>
                <w:sz w:val="24"/>
                <w:highlight w:val="none"/>
              </w:rPr>
              <w:t>3、噪声环境影响分析</w:t>
            </w:r>
          </w:p>
          <w:p>
            <w:pPr>
              <w:spacing w:line="520" w:lineRule="exact"/>
              <w:ind w:firstLine="482" w:firstLineChars="200"/>
              <w:rPr>
                <w:b/>
                <w:color w:val="000000"/>
                <w:sz w:val="24"/>
                <w:highlight w:val="none"/>
              </w:rPr>
            </w:pPr>
            <w:r>
              <w:rPr>
                <w:b/>
                <w:color w:val="000000"/>
                <w:sz w:val="24"/>
                <w:highlight w:val="none"/>
              </w:rPr>
              <w:t>3.1噪声源强</w:t>
            </w:r>
          </w:p>
          <w:p>
            <w:pPr>
              <w:tabs>
                <w:tab w:val="left" w:pos="5010"/>
              </w:tabs>
              <w:spacing w:line="520" w:lineRule="exact"/>
              <w:ind w:left="1" w:firstLine="450"/>
              <w:rPr>
                <w:sz w:val="24"/>
                <w:highlight w:val="none"/>
              </w:rPr>
            </w:pPr>
            <w:r>
              <w:rPr>
                <w:bCs/>
                <w:sz w:val="24"/>
                <w:highlight w:val="none"/>
              </w:rPr>
              <w:t>主要为</w:t>
            </w:r>
            <w:r>
              <w:rPr>
                <w:rFonts w:hint="eastAsia"/>
                <w:sz w:val="24"/>
                <w:highlight w:val="none"/>
              </w:rPr>
              <w:t>挤出机</w:t>
            </w:r>
            <w:r>
              <w:rPr>
                <w:sz w:val="24"/>
                <w:highlight w:val="none"/>
              </w:rPr>
              <w:t>、</w:t>
            </w:r>
            <w:r>
              <w:rPr>
                <w:rFonts w:hint="eastAsia"/>
                <w:sz w:val="24"/>
                <w:highlight w:val="none"/>
              </w:rPr>
              <w:t>拌面机</w:t>
            </w:r>
            <w:r>
              <w:rPr>
                <w:sz w:val="24"/>
                <w:highlight w:val="none"/>
              </w:rPr>
              <w:t>、</w:t>
            </w:r>
            <w:r>
              <w:rPr>
                <w:rFonts w:hint="eastAsia"/>
                <w:sz w:val="24"/>
                <w:highlight w:val="none"/>
              </w:rPr>
              <w:t>膨化机、拌料机、成型机</w:t>
            </w:r>
            <w:r>
              <w:rPr>
                <w:bCs/>
                <w:sz w:val="24"/>
                <w:highlight w:val="none"/>
              </w:rPr>
              <w:t>等设备运行过程中产生的噪声，其噪声源强为7</w:t>
            </w:r>
            <w:r>
              <w:rPr>
                <w:rFonts w:hint="eastAsia"/>
                <w:bCs/>
                <w:sz w:val="24"/>
                <w:highlight w:val="none"/>
              </w:rPr>
              <w:t>5</w:t>
            </w:r>
            <w:r>
              <w:rPr>
                <w:bCs/>
                <w:sz w:val="24"/>
                <w:highlight w:val="none"/>
              </w:rPr>
              <w:t>～90dB</w:t>
            </w:r>
            <w:r>
              <w:rPr>
                <w:rFonts w:hint="eastAsia"/>
                <w:bCs/>
                <w:sz w:val="24"/>
                <w:highlight w:val="none"/>
              </w:rPr>
              <w:t>(</w:t>
            </w:r>
            <w:r>
              <w:rPr>
                <w:bCs/>
                <w:sz w:val="24"/>
                <w:highlight w:val="none"/>
              </w:rPr>
              <w:t>A</w:t>
            </w:r>
            <w:r>
              <w:rPr>
                <w:rFonts w:hint="eastAsia"/>
                <w:bCs/>
                <w:sz w:val="24"/>
                <w:highlight w:val="none"/>
              </w:rPr>
              <w:t>)</w:t>
            </w:r>
            <w:r>
              <w:rPr>
                <w:sz w:val="24"/>
                <w:highlight w:val="none"/>
              </w:rPr>
              <w:t>。</w:t>
            </w:r>
          </w:p>
          <w:p>
            <w:pPr>
              <w:spacing w:line="520" w:lineRule="exact"/>
              <w:ind w:firstLine="480" w:firstLineChars="200"/>
              <w:rPr>
                <w:sz w:val="24"/>
                <w:highlight w:val="none"/>
              </w:rPr>
            </w:pPr>
            <w:r>
              <w:rPr>
                <w:rFonts w:hint="eastAsia"/>
                <w:sz w:val="24"/>
                <w:highlight w:val="none"/>
              </w:rPr>
              <w:t>要求项目</w:t>
            </w:r>
            <w:r>
              <w:rPr>
                <w:sz w:val="24"/>
                <w:highlight w:val="none"/>
              </w:rPr>
              <w:t>单位选用低噪声设备，固定设备基座，在设备底座安装减振垫来减</w:t>
            </w:r>
            <w:r>
              <w:rPr>
                <w:rFonts w:hint="eastAsia"/>
                <w:sz w:val="24"/>
                <w:highlight w:val="none"/>
              </w:rPr>
              <w:t>振</w:t>
            </w:r>
            <w:r>
              <w:rPr>
                <w:sz w:val="24"/>
                <w:highlight w:val="none"/>
              </w:rPr>
              <w:t>、隔声，设备均位于</w:t>
            </w:r>
            <w:r>
              <w:rPr>
                <w:rFonts w:hint="eastAsia"/>
                <w:sz w:val="24"/>
                <w:highlight w:val="none"/>
              </w:rPr>
              <w:t>封</w:t>
            </w:r>
            <w:r>
              <w:rPr>
                <w:sz w:val="24"/>
                <w:highlight w:val="none"/>
              </w:rPr>
              <w:t>闭生产车间内，噪声经墙体隔音和距离衰减后可降低噪声值约25dB(A)。经治理后主要高噪声设备噪声源强见表</w:t>
            </w:r>
            <w:r>
              <w:rPr>
                <w:rFonts w:hint="eastAsia"/>
                <w:sz w:val="24"/>
                <w:highlight w:val="none"/>
              </w:rPr>
              <w:t>44</w:t>
            </w:r>
            <w:r>
              <w:rPr>
                <w:sz w:val="24"/>
                <w:highlight w:val="none"/>
              </w:rPr>
              <w:t>。</w:t>
            </w:r>
          </w:p>
          <w:p>
            <w:pPr>
              <w:spacing w:line="520" w:lineRule="exact"/>
              <w:ind w:firstLine="422" w:firstLineChars="200"/>
              <w:jc w:val="center"/>
              <w:rPr>
                <w:b/>
                <w:bCs/>
                <w:szCs w:val="21"/>
                <w:highlight w:val="none"/>
              </w:rPr>
            </w:pPr>
          </w:p>
          <w:p>
            <w:pPr>
              <w:spacing w:line="520" w:lineRule="exact"/>
              <w:ind w:firstLine="422" w:firstLineChars="200"/>
              <w:rPr>
                <w:rFonts w:hint="eastAsia"/>
                <w:b/>
                <w:bCs/>
                <w:szCs w:val="21"/>
                <w:highlight w:val="none"/>
              </w:rPr>
            </w:pPr>
          </w:p>
          <w:p>
            <w:pPr>
              <w:pStyle w:val="17"/>
              <w:rPr>
                <w:rFonts w:hint="eastAsia"/>
                <w:highlight w:val="none"/>
              </w:rPr>
            </w:pPr>
          </w:p>
          <w:p>
            <w:pPr>
              <w:spacing w:line="520" w:lineRule="exact"/>
              <w:ind w:firstLine="422" w:firstLineChars="200"/>
              <w:jc w:val="center"/>
              <w:rPr>
                <w:b/>
                <w:bCs/>
                <w:szCs w:val="21"/>
                <w:highlight w:val="none"/>
              </w:rPr>
            </w:pPr>
          </w:p>
          <w:p>
            <w:pPr>
              <w:spacing w:line="520" w:lineRule="exact"/>
              <w:ind w:firstLine="422" w:firstLineChars="200"/>
              <w:jc w:val="center"/>
              <w:rPr>
                <w:b/>
                <w:bCs/>
                <w:szCs w:val="21"/>
                <w:highlight w:val="none"/>
              </w:rPr>
            </w:pPr>
            <w:r>
              <w:rPr>
                <w:b/>
                <w:bCs/>
                <w:szCs w:val="21"/>
                <w:highlight w:val="none"/>
              </w:rPr>
              <w:t>表</w:t>
            </w:r>
            <w:r>
              <w:rPr>
                <w:rFonts w:hint="eastAsia"/>
                <w:b/>
                <w:bCs/>
                <w:szCs w:val="21"/>
                <w:highlight w:val="none"/>
              </w:rPr>
              <w:t>44</w:t>
            </w:r>
            <w:r>
              <w:rPr>
                <w:b/>
                <w:bCs/>
                <w:szCs w:val="21"/>
                <w:highlight w:val="none"/>
              </w:rPr>
              <w:t xml:space="preserve">  主要噪声源治理前后源强情况</w:t>
            </w:r>
          </w:p>
          <w:tbl>
            <w:tblPr>
              <w:tblStyle w:val="28"/>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52"/>
              <w:gridCol w:w="1252"/>
              <w:gridCol w:w="1162"/>
              <w:gridCol w:w="2085"/>
              <w:gridCol w:w="21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2352" w:type="dxa"/>
                  <w:vAlign w:val="center"/>
                </w:tcPr>
                <w:p>
                  <w:pPr>
                    <w:spacing w:line="0" w:lineRule="atLeast"/>
                    <w:jc w:val="center"/>
                    <w:rPr>
                      <w:szCs w:val="21"/>
                      <w:highlight w:val="none"/>
                    </w:rPr>
                  </w:pPr>
                  <w:r>
                    <w:rPr>
                      <w:szCs w:val="21"/>
                      <w:highlight w:val="none"/>
                    </w:rPr>
                    <w:t>名称</w:t>
                  </w:r>
                </w:p>
              </w:tc>
              <w:tc>
                <w:tcPr>
                  <w:tcW w:w="1252" w:type="dxa"/>
                  <w:vAlign w:val="center"/>
                </w:tcPr>
                <w:p>
                  <w:pPr>
                    <w:spacing w:line="0" w:lineRule="atLeast"/>
                    <w:jc w:val="center"/>
                    <w:rPr>
                      <w:szCs w:val="21"/>
                      <w:highlight w:val="none"/>
                    </w:rPr>
                  </w:pPr>
                  <w:r>
                    <w:rPr>
                      <w:szCs w:val="21"/>
                      <w:highlight w:val="none"/>
                    </w:rPr>
                    <w:t>设备数量（台·套）</w:t>
                  </w:r>
                </w:p>
              </w:tc>
              <w:tc>
                <w:tcPr>
                  <w:tcW w:w="1162" w:type="dxa"/>
                  <w:vAlign w:val="center"/>
                </w:tcPr>
                <w:p>
                  <w:pPr>
                    <w:pStyle w:val="37"/>
                    <w:adjustRightInd/>
                    <w:spacing w:line="240" w:lineRule="auto"/>
                    <w:ind w:firstLine="0"/>
                    <w:jc w:val="center"/>
                    <w:rPr>
                      <w:sz w:val="21"/>
                      <w:szCs w:val="21"/>
                      <w:highlight w:val="none"/>
                    </w:rPr>
                  </w:pPr>
                  <w:r>
                    <w:rPr>
                      <w:sz w:val="21"/>
                      <w:szCs w:val="21"/>
                      <w:highlight w:val="none"/>
                    </w:rPr>
                    <w:t>单台源强</w:t>
                  </w:r>
                </w:p>
                <w:p>
                  <w:pPr>
                    <w:pStyle w:val="37"/>
                    <w:adjustRightInd/>
                    <w:spacing w:line="240" w:lineRule="auto"/>
                    <w:ind w:firstLine="0"/>
                    <w:jc w:val="center"/>
                    <w:rPr>
                      <w:szCs w:val="21"/>
                      <w:highlight w:val="none"/>
                    </w:rPr>
                  </w:pPr>
                  <w:r>
                    <w:rPr>
                      <w:sz w:val="21"/>
                      <w:szCs w:val="21"/>
                      <w:highlight w:val="none"/>
                    </w:rPr>
                    <w:t>dB(A)</w:t>
                  </w:r>
                </w:p>
              </w:tc>
              <w:tc>
                <w:tcPr>
                  <w:tcW w:w="2085" w:type="dxa"/>
                  <w:vAlign w:val="center"/>
                </w:tcPr>
                <w:p>
                  <w:pPr>
                    <w:jc w:val="center"/>
                    <w:rPr>
                      <w:highlight w:val="none"/>
                    </w:rPr>
                  </w:pPr>
                  <w:r>
                    <w:rPr>
                      <w:szCs w:val="21"/>
                      <w:highlight w:val="none"/>
                    </w:rPr>
                    <w:t>治理后设备声源值dB(A)</w:t>
                  </w:r>
                </w:p>
              </w:tc>
              <w:tc>
                <w:tcPr>
                  <w:tcW w:w="2189" w:type="dxa"/>
                  <w:vAlign w:val="center"/>
                </w:tcPr>
                <w:p>
                  <w:pPr>
                    <w:spacing w:line="0" w:lineRule="atLeast"/>
                    <w:jc w:val="center"/>
                    <w:rPr>
                      <w:szCs w:val="21"/>
                      <w:highlight w:val="none"/>
                    </w:rPr>
                  </w:pPr>
                  <w:r>
                    <w:rPr>
                      <w:szCs w:val="21"/>
                      <w:highlight w:val="none"/>
                    </w:rPr>
                    <w:t>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2352" w:type="dxa"/>
                  <w:vAlign w:val="center"/>
                </w:tcPr>
                <w:p>
                  <w:pPr>
                    <w:jc w:val="center"/>
                    <w:rPr>
                      <w:bCs/>
                      <w:szCs w:val="21"/>
                      <w:highlight w:val="none"/>
                    </w:rPr>
                  </w:pPr>
                  <w:r>
                    <w:rPr>
                      <w:rFonts w:hint="eastAsia"/>
                      <w:szCs w:val="21"/>
                      <w:highlight w:val="none"/>
                    </w:rPr>
                    <w:t>挤出机</w:t>
                  </w:r>
                </w:p>
              </w:tc>
              <w:tc>
                <w:tcPr>
                  <w:tcW w:w="1252" w:type="dxa"/>
                  <w:vAlign w:val="center"/>
                </w:tcPr>
                <w:p>
                  <w:pPr>
                    <w:jc w:val="center"/>
                    <w:rPr>
                      <w:bCs/>
                      <w:szCs w:val="21"/>
                      <w:highlight w:val="none"/>
                    </w:rPr>
                  </w:pPr>
                  <w:r>
                    <w:rPr>
                      <w:rFonts w:hint="eastAsia"/>
                      <w:szCs w:val="21"/>
                      <w:highlight w:val="none"/>
                    </w:rPr>
                    <w:t>8台</w:t>
                  </w:r>
                </w:p>
              </w:tc>
              <w:tc>
                <w:tcPr>
                  <w:tcW w:w="1162" w:type="dxa"/>
                  <w:vAlign w:val="center"/>
                </w:tcPr>
                <w:p>
                  <w:pPr>
                    <w:jc w:val="center"/>
                    <w:rPr>
                      <w:bCs/>
                      <w:szCs w:val="21"/>
                      <w:highlight w:val="none"/>
                    </w:rPr>
                  </w:pPr>
                  <w:r>
                    <w:rPr>
                      <w:szCs w:val="21"/>
                      <w:highlight w:val="none"/>
                    </w:rPr>
                    <w:t>80～90</w:t>
                  </w:r>
                </w:p>
              </w:tc>
              <w:tc>
                <w:tcPr>
                  <w:tcW w:w="2085" w:type="dxa"/>
                  <w:vAlign w:val="center"/>
                </w:tcPr>
                <w:p>
                  <w:pPr>
                    <w:jc w:val="center"/>
                    <w:rPr>
                      <w:rFonts w:hint="eastAsia"/>
                      <w:highlight w:val="none"/>
                    </w:rPr>
                  </w:pPr>
                  <w:r>
                    <w:rPr>
                      <w:szCs w:val="21"/>
                      <w:highlight w:val="none"/>
                    </w:rPr>
                    <w:t>55～6</w:t>
                  </w:r>
                  <w:r>
                    <w:rPr>
                      <w:rFonts w:hint="eastAsia"/>
                      <w:szCs w:val="21"/>
                      <w:highlight w:val="none"/>
                    </w:rPr>
                    <w:t>0</w:t>
                  </w:r>
                </w:p>
              </w:tc>
              <w:tc>
                <w:tcPr>
                  <w:tcW w:w="2189" w:type="dxa"/>
                  <w:vMerge w:val="restart"/>
                  <w:vAlign w:val="center"/>
                </w:tcPr>
                <w:p>
                  <w:pPr>
                    <w:tabs>
                      <w:tab w:val="left" w:pos="5475"/>
                    </w:tabs>
                    <w:jc w:val="center"/>
                    <w:rPr>
                      <w:bCs/>
                      <w:szCs w:val="21"/>
                      <w:highlight w:val="none"/>
                    </w:rPr>
                  </w:pPr>
                  <w:r>
                    <w:rPr>
                      <w:szCs w:val="21"/>
                      <w:highlight w:val="none"/>
                    </w:rPr>
                    <w:t>选用低噪声设备，设备安装时采取基础减振措施，车间墙体隔声措施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352" w:type="dxa"/>
                  <w:vAlign w:val="center"/>
                </w:tcPr>
                <w:p>
                  <w:pPr>
                    <w:jc w:val="center"/>
                    <w:rPr>
                      <w:bCs/>
                      <w:szCs w:val="21"/>
                      <w:highlight w:val="none"/>
                    </w:rPr>
                  </w:pPr>
                  <w:r>
                    <w:rPr>
                      <w:rFonts w:hint="eastAsia"/>
                      <w:highlight w:val="none"/>
                    </w:rPr>
                    <w:t>拌面机</w:t>
                  </w:r>
                </w:p>
              </w:tc>
              <w:tc>
                <w:tcPr>
                  <w:tcW w:w="1252" w:type="dxa"/>
                  <w:vAlign w:val="center"/>
                </w:tcPr>
                <w:p>
                  <w:pPr>
                    <w:jc w:val="center"/>
                    <w:rPr>
                      <w:bCs/>
                      <w:szCs w:val="21"/>
                      <w:highlight w:val="none"/>
                    </w:rPr>
                  </w:pPr>
                  <w:r>
                    <w:rPr>
                      <w:rFonts w:hint="eastAsia"/>
                      <w:szCs w:val="21"/>
                      <w:highlight w:val="none"/>
                    </w:rPr>
                    <w:t>3台</w:t>
                  </w:r>
                </w:p>
              </w:tc>
              <w:tc>
                <w:tcPr>
                  <w:tcW w:w="1162" w:type="dxa"/>
                  <w:vAlign w:val="center"/>
                </w:tcPr>
                <w:p>
                  <w:pPr>
                    <w:jc w:val="center"/>
                    <w:rPr>
                      <w:bCs/>
                      <w:szCs w:val="21"/>
                      <w:highlight w:val="none"/>
                    </w:rPr>
                  </w:pPr>
                  <w:r>
                    <w:rPr>
                      <w:szCs w:val="21"/>
                      <w:highlight w:val="none"/>
                    </w:rPr>
                    <w:t>80～85</w:t>
                  </w:r>
                </w:p>
              </w:tc>
              <w:tc>
                <w:tcPr>
                  <w:tcW w:w="2085" w:type="dxa"/>
                  <w:vAlign w:val="center"/>
                </w:tcPr>
                <w:p>
                  <w:pPr>
                    <w:jc w:val="center"/>
                    <w:rPr>
                      <w:highlight w:val="none"/>
                    </w:rPr>
                  </w:pPr>
                  <w:r>
                    <w:rPr>
                      <w:szCs w:val="21"/>
                      <w:highlight w:val="none"/>
                    </w:rPr>
                    <w:t>55～6</w:t>
                  </w:r>
                  <w:r>
                    <w:rPr>
                      <w:rFonts w:hint="eastAsia"/>
                      <w:szCs w:val="21"/>
                      <w:highlight w:val="none"/>
                    </w:rPr>
                    <w:t>0</w:t>
                  </w:r>
                </w:p>
              </w:tc>
              <w:tc>
                <w:tcPr>
                  <w:tcW w:w="2189" w:type="dxa"/>
                  <w:vMerge w:val="continue"/>
                  <w:vAlign w:val="center"/>
                </w:tcPr>
                <w:p>
                  <w:pPr>
                    <w:tabs>
                      <w:tab w:val="left" w:pos="5475"/>
                    </w:tabs>
                    <w:jc w:val="center"/>
                    <w:rPr>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352" w:type="dxa"/>
                  <w:vAlign w:val="center"/>
                </w:tcPr>
                <w:p>
                  <w:pPr>
                    <w:jc w:val="center"/>
                    <w:rPr>
                      <w:bCs/>
                      <w:szCs w:val="21"/>
                      <w:highlight w:val="none"/>
                    </w:rPr>
                  </w:pPr>
                  <w:r>
                    <w:rPr>
                      <w:rFonts w:hint="eastAsia"/>
                      <w:szCs w:val="21"/>
                      <w:highlight w:val="none"/>
                    </w:rPr>
                    <w:t>膨化机</w:t>
                  </w:r>
                </w:p>
              </w:tc>
              <w:tc>
                <w:tcPr>
                  <w:tcW w:w="1252" w:type="dxa"/>
                  <w:vAlign w:val="center"/>
                </w:tcPr>
                <w:p>
                  <w:pPr>
                    <w:jc w:val="center"/>
                    <w:rPr>
                      <w:bCs/>
                      <w:szCs w:val="21"/>
                      <w:highlight w:val="none"/>
                    </w:rPr>
                  </w:pPr>
                  <w:r>
                    <w:rPr>
                      <w:rFonts w:hint="eastAsia"/>
                      <w:highlight w:val="none"/>
                    </w:rPr>
                    <w:t>6</w:t>
                  </w:r>
                  <w:r>
                    <w:rPr>
                      <w:highlight w:val="none"/>
                    </w:rPr>
                    <w:t>台</w:t>
                  </w:r>
                </w:p>
              </w:tc>
              <w:tc>
                <w:tcPr>
                  <w:tcW w:w="1162" w:type="dxa"/>
                  <w:vAlign w:val="center"/>
                </w:tcPr>
                <w:p>
                  <w:pPr>
                    <w:jc w:val="center"/>
                    <w:rPr>
                      <w:bCs/>
                      <w:szCs w:val="21"/>
                      <w:highlight w:val="none"/>
                    </w:rPr>
                  </w:pPr>
                  <w:r>
                    <w:rPr>
                      <w:rFonts w:hint="eastAsia"/>
                      <w:szCs w:val="21"/>
                      <w:highlight w:val="none"/>
                    </w:rPr>
                    <w:t>80</w:t>
                  </w:r>
                  <w:r>
                    <w:rPr>
                      <w:szCs w:val="21"/>
                      <w:highlight w:val="none"/>
                    </w:rPr>
                    <w:t>～</w:t>
                  </w:r>
                  <w:r>
                    <w:rPr>
                      <w:rFonts w:hint="eastAsia"/>
                      <w:szCs w:val="21"/>
                      <w:highlight w:val="none"/>
                    </w:rPr>
                    <w:t>90</w:t>
                  </w:r>
                </w:p>
              </w:tc>
              <w:tc>
                <w:tcPr>
                  <w:tcW w:w="2085" w:type="dxa"/>
                  <w:vAlign w:val="center"/>
                </w:tcPr>
                <w:p>
                  <w:pPr>
                    <w:jc w:val="center"/>
                    <w:rPr>
                      <w:highlight w:val="none"/>
                    </w:rPr>
                  </w:pPr>
                  <w:r>
                    <w:rPr>
                      <w:szCs w:val="21"/>
                      <w:highlight w:val="none"/>
                    </w:rPr>
                    <w:t>5</w:t>
                  </w:r>
                  <w:r>
                    <w:rPr>
                      <w:rFonts w:hint="eastAsia"/>
                      <w:szCs w:val="21"/>
                      <w:highlight w:val="none"/>
                    </w:rPr>
                    <w:t>5</w:t>
                  </w:r>
                  <w:r>
                    <w:rPr>
                      <w:szCs w:val="21"/>
                      <w:highlight w:val="none"/>
                    </w:rPr>
                    <w:t>～</w:t>
                  </w:r>
                  <w:r>
                    <w:rPr>
                      <w:rFonts w:hint="eastAsia"/>
                      <w:szCs w:val="21"/>
                      <w:highlight w:val="none"/>
                    </w:rPr>
                    <w:t>60</w:t>
                  </w:r>
                </w:p>
              </w:tc>
              <w:tc>
                <w:tcPr>
                  <w:tcW w:w="2189" w:type="dxa"/>
                  <w:vMerge w:val="continue"/>
                  <w:vAlign w:val="center"/>
                </w:tcPr>
                <w:p>
                  <w:pPr>
                    <w:tabs>
                      <w:tab w:val="left" w:pos="5475"/>
                    </w:tabs>
                    <w:jc w:val="center"/>
                    <w:rPr>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352" w:type="dxa"/>
                  <w:vAlign w:val="center"/>
                </w:tcPr>
                <w:p>
                  <w:pPr>
                    <w:jc w:val="center"/>
                    <w:rPr>
                      <w:rFonts w:hint="eastAsia"/>
                      <w:bCs/>
                      <w:szCs w:val="21"/>
                      <w:highlight w:val="none"/>
                    </w:rPr>
                  </w:pPr>
                  <w:r>
                    <w:rPr>
                      <w:rFonts w:hint="eastAsia"/>
                      <w:szCs w:val="21"/>
                      <w:highlight w:val="none"/>
                    </w:rPr>
                    <w:t>拌料机</w:t>
                  </w:r>
                </w:p>
              </w:tc>
              <w:tc>
                <w:tcPr>
                  <w:tcW w:w="1252" w:type="dxa"/>
                  <w:vAlign w:val="center"/>
                </w:tcPr>
                <w:p>
                  <w:pPr>
                    <w:jc w:val="center"/>
                    <w:rPr>
                      <w:bCs/>
                      <w:szCs w:val="21"/>
                      <w:highlight w:val="none"/>
                    </w:rPr>
                  </w:pPr>
                  <w:r>
                    <w:rPr>
                      <w:rFonts w:hint="eastAsia"/>
                      <w:szCs w:val="21"/>
                      <w:highlight w:val="none"/>
                    </w:rPr>
                    <w:t>3台</w:t>
                  </w:r>
                </w:p>
              </w:tc>
              <w:tc>
                <w:tcPr>
                  <w:tcW w:w="1162" w:type="dxa"/>
                  <w:vAlign w:val="center"/>
                </w:tcPr>
                <w:p>
                  <w:pPr>
                    <w:jc w:val="center"/>
                    <w:rPr>
                      <w:bCs/>
                      <w:szCs w:val="21"/>
                      <w:highlight w:val="none"/>
                    </w:rPr>
                  </w:pPr>
                  <w:r>
                    <w:rPr>
                      <w:rFonts w:hint="eastAsia"/>
                      <w:szCs w:val="21"/>
                      <w:highlight w:val="none"/>
                    </w:rPr>
                    <w:t>75</w:t>
                  </w:r>
                  <w:r>
                    <w:rPr>
                      <w:szCs w:val="21"/>
                      <w:highlight w:val="none"/>
                    </w:rPr>
                    <w:t>～85</w:t>
                  </w:r>
                </w:p>
              </w:tc>
              <w:tc>
                <w:tcPr>
                  <w:tcW w:w="2085" w:type="dxa"/>
                  <w:vAlign w:val="center"/>
                </w:tcPr>
                <w:p>
                  <w:pPr>
                    <w:jc w:val="center"/>
                    <w:rPr>
                      <w:highlight w:val="none"/>
                    </w:rPr>
                  </w:pPr>
                  <w:r>
                    <w:rPr>
                      <w:szCs w:val="21"/>
                      <w:highlight w:val="none"/>
                    </w:rPr>
                    <w:t>5</w:t>
                  </w:r>
                  <w:r>
                    <w:rPr>
                      <w:rFonts w:hint="eastAsia"/>
                      <w:szCs w:val="21"/>
                      <w:highlight w:val="none"/>
                    </w:rPr>
                    <w:t>0</w:t>
                  </w:r>
                  <w:r>
                    <w:rPr>
                      <w:szCs w:val="21"/>
                      <w:highlight w:val="none"/>
                    </w:rPr>
                    <w:t>～</w:t>
                  </w:r>
                  <w:r>
                    <w:rPr>
                      <w:rFonts w:hint="eastAsia"/>
                      <w:szCs w:val="21"/>
                      <w:highlight w:val="none"/>
                    </w:rPr>
                    <w:t>60</w:t>
                  </w:r>
                </w:p>
              </w:tc>
              <w:tc>
                <w:tcPr>
                  <w:tcW w:w="2189" w:type="dxa"/>
                  <w:vMerge w:val="continue"/>
                  <w:vAlign w:val="center"/>
                </w:tcPr>
                <w:p>
                  <w:pPr>
                    <w:tabs>
                      <w:tab w:val="left" w:pos="5475"/>
                    </w:tabs>
                    <w:jc w:val="center"/>
                    <w:rPr>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2352" w:type="dxa"/>
                  <w:vAlign w:val="center"/>
                </w:tcPr>
                <w:p>
                  <w:pPr>
                    <w:jc w:val="center"/>
                    <w:rPr>
                      <w:rFonts w:hint="eastAsia"/>
                      <w:szCs w:val="21"/>
                      <w:highlight w:val="none"/>
                    </w:rPr>
                  </w:pPr>
                  <w:r>
                    <w:rPr>
                      <w:rFonts w:hint="eastAsia"/>
                      <w:szCs w:val="21"/>
                      <w:highlight w:val="none"/>
                    </w:rPr>
                    <w:t>成型机</w:t>
                  </w:r>
                </w:p>
              </w:tc>
              <w:tc>
                <w:tcPr>
                  <w:tcW w:w="1252" w:type="dxa"/>
                  <w:vAlign w:val="center"/>
                </w:tcPr>
                <w:p>
                  <w:pPr>
                    <w:tabs>
                      <w:tab w:val="left" w:pos="5475"/>
                    </w:tabs>
                    <w:jc w:val="center"/>
                    <w:rPr>
                      <w:rFonts w:hint="eastAsia"/>
                      <w:szCs w:val="21"/>
                      <w:highlight w:val="none"/>
                    </w:rPr>
                  </w:pPr>
                  <w:r>
                    <w:rPr>
                      <w:rFonts w:hint="eastAsia"/>
                      <w:szCs w:val="21"/>
                      <w:highlight w:val="none"/>
                    </w:rPr>
                    <w:t>6</w:t>
                  </w:r>
                  <w:r>
                    <w:rPr>
                      <w:szCs w:val="21"/>
                      <w:highlight w:val="none"/>
                    </w:rPr>
                    <w:t>台</w:t>
                  </w:r>
                </w:p>
              </w:tc>
              <w:tc>
                <w:tcPr>
                  <w:tcW w:w="1162" w:type="dxa"/>
                  <w:vAlign w:val="center"/>
                </w:tcPr>
                <w:p>
                  <w:pPr>
                    <w:jc w:val="center"/>
                    <w:rPr>
                      <w:szCs w:val="21"/>
                      <w:highlight w:val="none"/>
                    </w:rPr>
                  </w:pPr>
                  <w:r>
                    <w:rPr>
                      <w:rFonts w:hint="eastAsia"/>
                      <w:szCs w:val="21"/>
                      <w:highlight w:val="none"/>
                    </w:rPr>
                    <w:t>80</w:t>
                  </w:r>
                  <w:r>
                    <w:rPr>
                      <w:szCs w:val="21"/>
                      <w:highlight w:val="none"/>
                    </w:rPr>
                    <w:t>～</w:t>
                  </w:r>
                  <w:r>
                    <w:rPr>
                      <w:rFonts w:hint="eastAsia"/>
                      <w:szCs w:val="21"/>
                      <w:highlight w:val="none"/>
                    </w:rPr>
                    <w:t>90</w:t>
                  </w:r>
                </w:p>
              </w:tc>
              <w:tc>
                <w:tcPr>
                  <w:tcW w:w="2085" w:type="dxa"/>
                  <w:vAlign w:val="center"/>
                </w:tcPr>
                <w:p>
                  <w:pPr>
                    <w:jc w:val="center"/>
                    <w:rPr>
                      <w:highlight w:val="none"/>
                    </w:rPr>
                  </w:pPr>
                  <w:r>
                    <w:rPr>
                      <w:szCs w:val="21"/>
                      <w:highlight w:val="none"/>
                    </w:rPr>
                    <w:t>5</w:t>
                  </w:r>
                  <w:r>
                    <w:rPr>
                      <w:rFonts w:hint="eastAsia"/>
                      <w:szCs w:val="21"/>
                      <w:highlight w:val="none"/>
                    </w:rPr>
                    <w:t>5</w:t>
                  </w:r>
                  <w:r>
                    <w:rPr>
                      <w:szCs w:val="21"/>
                      <w:highlight w:val="none"/>
                    </w:rPr>
                    <w:t>～</w:t>
                  </w:r>
                  <w:r>
                    <w:rPr>
                      <w:rFonts w:hint="eastAsia"/>
                      <w:szCs w:val="21"/>
                      <w:highlight w:val="none"/>
                    </w:rPr>
                    <w:t>60</w:t>
                  </w:r>
                </w:p>
              </w:tc>
              <w:tc>
                <w:tcPr>
                  <w:tcW w:w="2189" w:type="dxa"/>
                  <w:vMerge w:val="continue"/>
                  <w:vAlign w:val="center"/>
                </w:tcPr>
                <w:p>
                  <w:pPr>
                    <w:tabs>
                      <w:tab w:val="left" w:pos="5475"/>
                    </w:tabs>
                    <w:jc w:val="center"/>
                    <w:rPr>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2352" w:type="dxa"/>
                  <w:vAlign w:val="center"/>
                </w:tcPr>
                <w:p>
                  <w:pPr>
                    <w:jc w:val="center"/>
                    <w:rPr>
                      <w:rFonts w:hint="eastAsia"/>
                      <w:szCs w:val="21"/>
                      <w:highlight w:val="none"/>
                    </w:rPr>
                  </w:pPr>
                  <w:r>
                    <w:rPr>
                      <w:rFonts w:hint="eastAsia"/>
                      <w:szCs w:val="21"/>
                      <w:highlight w:val="none"/>
                    </w:rPr>
                    <w:t>撒粉机</w:t>
                  </w:r>
                </w:p>
              </w:tc>
              <w:tc>
                <w:tcPr>
                  <w:tcW w:w="1252" w:type="dxa"/>
                  <w:vAlign w:val="center"/>
                </w:tcPr>
                <w:p>
                  <w:pPr>
                    <w:tabs>
                      <w:tab w:val="left" w:pos="5475"/>
                    </w:tabs>
                    <w:jc w:val="center"/>
                    <w:rPr>
                      <w:rFonts w:hint="eastAsia"/>
                      <w:szCs w:val="21"/>
                      <w:highlight w:val="none"/>
                    </w:rPr>
                  </w:pPr>
                  <w:r>
                    <w:rPr>
                      <w:rFonts w:hint="eastAsia"/>
                      <w:szCs w:val="21"/>
                      <w:highlight w:val="none"/>
                    </w:rPr>
                    <w:t>3台</w:t>
                  </w:r>
                </w:p>
              </w:tc>
              <w:tc>
                <w:tcPr>
                  <w:tcW w:w="1162" w:type="dxa"/>
                  <w:vAlign w:val="center"/>
                </w:tcPr>
                <w:p>
                  <w:pPr>
                    <w:jc w:val="center"/>
                    <w:rPr>
                      <w:rFonts w:hint="eastAsia"/>
                      <w:szCs w:val="21"/>
                      <w:highlight w:val="none"/>
                    </w:rPr>
                  </w:pPr>
                  <w:r>
                    <w:rPr>
                      <w:rFonts w:hint="eastAsia"/>
                      <w:szCs w:val="21"/>
                      <w:highlight w:val="none"/>
                    </w:rPr>
                    <w:t>75</w:t>
                  </w:r>
                  <w:r>
                    <w:rPr>
                      <w:szCs w:val="21"/>
                      <w:highlight w:val="none"/>
                    </w:rPr>
                    <w:t>～85</w:t>
                  </w:r>
                </w:p>
              </w:tc>
              <w:tc>
                <w:tcPr>
                  <w:tcW w:w="2085" w:type="dxa"/>
                  <w:vAlign w:val="center"/>
                </w:tcPr>
                <w:p>
                  <w:pPr>
                    <w:jc w:val="center"/>
                    <w:rPr>
                      <w:szCs w:val="21"/>
                      <w:highlight w:val="none"/>
                    </w:rPr>
                  </w:pPr>
                  <w:r>
                    <w:rPr>
                      <w:szCs w:val="21"/>
                      <w:highlight w:val="none"/>
                    </w:rPr>
                    <w:t>5</w:t>
                  </w:r>
                  <w:r>
                    <w:rPr>
                      <w:rFonts w:hint="eastAsia"/>
                      <w:szCs w:val="21"/>
                      <w:highlight w:val="none"/>
                    </w:rPr>
                    <w:t>0</w:t>
                  </w:r>
                  <w:r>
                    <w:rPr>
                      <w:szCs w:val="21"/>
                      <w:highlight w:val="none"/>
                    </w:rPr>
                    <w:t>～</w:t>
                  </w:r>
                  <w:r>
                    <w:rPr>
                      <w:rFonts w:hint="eastAsia"/>
                      <w:szCs w:val="21"/>
                      <w:highlight w:val="none"/>
                    </w:rPr>
                    <w:t>60</w:t>
                  </w:r>
                </w:p>
              </w:tc>
              <w:tc>
                <w:tcPr>
                  <w:tcW w:w="2189" w:type="dxa"/>
                  <w:vMerge w:val="continue"/>
                  <w:vAlign w:val="center"/>
                </w:tcPr>
                <w:p>
                  <w:pPr>
                    <w:tabs>
                      <w:tab w:val="left" w:pos="5475"/>
                    </w:tabs>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352" w:type="dxa"/>
                  <w:vAlign w:val="center"/>
                </w:tcPr>
                <w:p>
                  <w:pPr>
                    <w:jc w:val="center"/>
                    <w:rPr>
                      <w:rFonts w:hint="eastAsia"/>
                      <w:szCs w:val="21"/>
                      <w:highlight w:val="none"/>
                    </w:rPr>
                  </w:pPr>
                  <w:r>
                    <w:rPr>
                      <w:rFonts w:hint="eastAsia"/>
                      <w:szCs w:val="21"/>
                      <w:highlight w:val="none"/>
                    </w:rPr>
                    <w:t>全自动包装机</w:t>
                  </w:r>
                </w:p>
              </w:tc>
              <w:tc>
                <w:tcPr>
                  <w:tcW w:w="1252" w:type="dxa"/>
                  <w:vAlign w:val="center"/>
                </w:tcPr>
                <w:p>
                  <w:pPr>
                    <w:tabs>
                      <w:tab w:val="left" w:pos="5475"/>
                    </w:tabs>
                    <w:jc w:val="center"/>
                    <w:rPr>
                      <w:rFonts w:hint="eastAsia"/>
                      <w:szCs w:val="21"/>
                      <w:highlight w:val="none"/>
                    </w:rPr>
                  </w:pPr>
                  <w:r>
                    <w:rPr>
                      <w:rFonts w:hint="eastAsia"/>
                      <w:szCs w:val="21"/>
                      <w:highlight w:val="none"/>
                    </w:rPr>
                    <w:t>15台</w:t>
                  </w:r>
                </w:p>
              </w:tc>
              <w:tc>
                <w:tcPr>
                  <w:tcW w:w="1162" w:type="dxa"/>
                  <w:vAlign w:val="center"/>
                </w:tcPr>
                <w:p>
                  <w:pPr>
                    <w:jc w:val="center"/>
                    <w:rPr>
                      <w:rFonts w:hint="eastAsia"/>
                      <w:szCs w:val="21"/>
                      <w:highlight w:val="none"/>
                    </w:rPr>
                  </w:pPr>
                  <w:r>
                    <w:rPr>
                      <w:rFonts w:hint="eastAsia"/>
                      <w:szCs w:val="21"/>
                      <w:highlight w:val="none"/>
                    </w:rPr>
                    <w:t>75</w:t>
                  </w:r>
                  <w:r>
                    <w:rPr>
                      <w:szCs w:val="21"/>
                      <w:highlight w:val="none"/>
                    </w:rPr>
                    <w:t>～85</w:t>
                  </w:r>
                </w:p>
              </w:tc>
              <w:tc>
                <w:tcPr>
                  <w:tcW w:w="2085" w:type="dxa"/>
                  <w:vAlign w:val="center"/>
                </w:tcPr>
                <w:p>
                  <w:pPr>
                    <w:jc w:val="center"/>
                    <w:rPr>
                      <w:szCs w:val="21"/>
                      <w:highlight w:val="none"/>
                    </w:rPr>
                  </w:pPr>
                  <w:r>
                    <w:rPr>
                      <w:szCs w:val="21"/>
                      <w:highlight w:val="none"/>
                    </w:rPr>
                    <w:t>5</w:t>
                  </w:r>
                  <w:r>
                    <w:rPr>
                      <w:rFonts w:hint="eastAsia"/>
                      <w:szCs w:val="21"/>
                      <w:highlight w:val="none"/>
                    </w:rPr>
                    <w:t>0</w:t>
                  </w:r>
                  <w:r>
                    <w:rPr>
                      <w:szCs w:val="21"/>
                      <w:highlight w:val="none"/>
                    </w:rPr>
                    <w:t>～</w:t>
                  </w:r>
                  <w:r>
                    <w:rPr>
                      <w:rFonts w:hint="eastAsia"/>
                      <w:szCs w:val="21"/>
                      <w:highlight w:val="none"/>
                    </w:rPr>
                    <w:t>60</w:t>
                  </w:r>
                </w:p>
              </w:tc>
              <w:tc>
                <w:tcPr>
                  <w:tcW w:w="2189" w:type="dxa"/>
                  <w:vMerge w:val="continue"/>
                  <w:vAlign w:val="center"/>
                </w:tcPr>
                <w:p>
                  <w:pPr>
                    <w:tabs>
                      <w:tab w:val="left" w:pos="5475"/>
                    </w:tabs>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352" w:type="dxa"/>
                  <w:vAlign w:val="center"/>
                </w:tcPr>
                <w:p>
                  <w:pPr>
                    <w:jc w:val="center"/>
                    <w:rPr>
                      <w:rFonts w:hint="eastAsia"/>
                      <w:szCs w:val="21"/>
                      <w:highlight w:val="none"/>
                    </w:rPr>
                  </w:pPr>
                  <w:r>
                    <w:rPr>
                      <w:rFonts w:hint="eastAsia"/>
                      <w:szCs w:val="21"/>
                      <w:highlight w:val="none"/>
                    </w:rPr>
                    <w:t>室外风机</w:t>
                  </w:r>
                </w:p>
              </w:tc>
              <w:tc>
                <w:tcPr>
                  <w:tcW w:w="1252" w:type="dxa"/>
                  <w:vAlign w:val="center"/>
                </w:tcPr>
                <w:p>
                  <w:pPr>
                    <w:tabs>
                      <w:tab w:val="left" w:pos="5475"/>
                    </w:tabs>
                    <w:jc w:val="center"/>
                    <w:rPr>
                      <w:rFonts w:hint="eastAsia"/>
                      <w:szCs w:val="21"/>
                      <w:highlight w:val="none"/>
                    </w:rPr>
                  </w:pPr>
                  <w:r>
                    <w:rPr>
                      <w:rFonts w:hint="eastAsia"/>
                      <w:szCs w:val="21"/>
                      <w:highlight w:val="none"/>
                    </w:rPr>
                    <w:t>2台</w:t>
                  </w:r>
                </w:p>
              </w:tc>
              <w:tc>
                <w:tcPr>
                  <w:tcW w:w="1162" w:type="dxa"/>
                  <w:vAlign w:val="center"/>
                </w:tcPr>
                <w:p>
                  <w:pPr>
                    <w:jc w:val="center"/>
                    <w:rPr>
                      <w:rFonts w:hint="eastAsia"/>
                      <w:szCs w:val="21"/>
                      <w:highlight w:val="none"/>
                    </w:rPr>
                  </w:pPr>
                  <w:r>
                    <w:rPr>
                      <w:rFonts w:hint="eastAsia"/>
                      <w:szCs w:val="21"/>
                      <w:highlight w:val="none"/>
                    </w:rPr>
                    <w:t>75</w:t>
                  </w:r>
                  <w:r>
                    <w:rPr>
                      <w:szCs w:val="21"/>
                      <w:highlight w:val="none"/>
                    </w:rPr>
                    <w:t>～85</w:t>
                  </w:r>
                </w:p>
              </w:tc>
              <w:tc>
                <w:tcPr>
                  <w:tcW w:w="2085" w:type="dxa"/>
                  <w:vAlign w:val="center"/>
                </w:tcPr>
                <w:p>
                  <w:pPr>
                    <w:jc w:val="center"/>
                    <w:rPr>
                      <w:szCs w:val="21"/>
                      <w:highlight w:val="none"/>
                    </w:rPr>
                  </w:pPr>
                  <w:r>
                    <w:rPr>
                      <w:szCs w:val="21"/>
                      <w:highlight w:val="none"/>
                    </w:rPr>
                    <w:t>5</w:t>
                  </w:r>
                  <w:r>
                    <w:rPr>
                      <w:rFonts w:hint="eastAsia"/>
                      <w:szCs w:val="21"/>
                      <w:highlight w:val="none"/>
                    </w:rPr>
                    <w:t>0</w:t>
                  </w:r>
                  <w:r>
                    <w:rPr>
                      <w:szCs w:val="21"/>
                      <w:highlight w:val="none"/>
                    </w:rPr>
                    <w:t>～</w:t>
                  </w:r>
                  <w:r>
                    <w:rPr>
                      <w:rFonts w:hint="eastAsia"/>
                      <w:szCs w:val="21"/>
                      <w:highlight w:val="none"/>
                    </w:rPr>
                    <w:t>60</w:t>
                  </w:r>
                </w:p>
              </w:tc>
              <w:tc>
                <w:tcPr>
                  <w:tcW w:w="2189" w:type="dxa"/>
                  <w:vMerge w:val="continue"/>
                  <w:vAlign w:val="center"/>
                </w:tcPr>
                <w:p>
                  <w:pPr>
                    <w:tabs>
                      <w:tab w:val="left" w:pos="5475"/>
                    </w:tabs>
                    <w:jc w:val="center"/>
                    <w:rPr>
                      <w:szCs w:val="21"/>
                      <w:highlight w:val="none"/>
                    </w:rPr>
                  </w:pPr>
                </w:p>
              </w:tc>
            </w:tr>
          </w:tbl>
          <w:p>
            <w:pPr>
              <w:spacing w:line="520" w:lineRule="exact"/>
              <w:ind w:firstLine="528" w:firstLineChars="200"/>
              <w:rPr>
                <w:sz w:val="24"/>
                <w:highlight w:val="none"/>
              </w:rPr>
            </w:pPr>
            <w:r>
              <w:rPr>
                <w:rFonts w:hint="eastAsia"/>
                <w:spacing w:val="12"/>
                <w:sz w:val="24"/>
                <w:highlight w:val="none"/>
              </w:rPr>
              <w:t>要求</w:t>
            </w:r>
            <w:r>
              <w:rPr>
                <w:sz w:val="24"/>
                <w:highlight w:val="none"/>
              </w:rPr>
              <w:t>建设单位加强设备日常检修和维护，以保证各设备正常运转。同时合理安排，加强生产管理，引导员工文明生产，减少人为因素造成的噪声。</w:t>
            </w:r>
          </w:p>
          <w:p>
            <w:pPr>
              <w:spacing w:line="520" w:lineRule="exact"/>
              <w:ind w:firstLine="518" w:firstLineChars="200"/>
              <w:rPr>
                <w:b/>
                <w:color w:val="000000"/>
                <w:spacing w:val="9"/>
                <w:sz w:val="24"/>
                <w:highlight w:val="none"/>
              </w:rPr>
            </w:pPr>
            <w:r>
              <w:rPr>
                <w:b/>
                <w:color w:val="000000"/>
                <w:spacing w:val="9"/>
                <w:sz w:val="24"/>
                <w:highlight w:val="none"/>
              </w:rPr>
              <w:t>3.2预测方法</w:t>
            </w:r>
          </w:p>
          <w:p>
            <w:pPr>
              <w:spacing w:line="520" w:lineRule="exact"/>
              <w:ind w:firstLine="480" w:firstLineChars="200"/>
              <w:rPr>
                <w:sz w:val="24"/>
                <w:highlight w:val="none"/>
              </w:rPr>
            </w:pPr>
            <w:r>
              <w:rPr>
                <w:sz w:val="24"/>
                <w:highlight w:val="none"/>
              </w:rPr>
              <w:t>以厂区内各主要高噪声设备为噪声点源，根据其距离四周厂界的距离及噪声现状情况，按经验法推算其衰减量，并预测各声源对四周厂界预测点的贡献值，预测项目完成后四周厂界的噪声值。预测公式如下：</w:t>
            </w:r>
          </w:p>
          <w:p>
            <w:pPr>
              <w:adjustRightInd w:val="0"/>
              <w:snapToGrid w:val="0"/>
              <w:spacing w:line="520" w:lineRule="exact"/>
              <w:ind w:firstLine="2968" w:firstLineChars="1237"/>
              <w:rPr>
                <w:sz w:val="24"/>
                <w:highlight w:val="none"/>
                <w:lang w:val="fr-FR"/>
              </w:rPr>
            </w:pPr>
            <w:r>
              <w:rPr>
                <w:sz w:val="24"/>
                <w:highlight w:val="none"/>
                <w:lang w:val="fr-FR"/>
              </w:rPr>
              <w:t>L</w:t>
            </w:r>
            <w:r>
              <w:rPr>
                <w:sz w:val="24"/>
                <w:highlight w:val="none"/>
                <w:vertAlign w:val="subscript"/>
                <w:lang w:val="fr-FR"/>
              </w:rPr>
              <w:t>A</w:t>
            </w:r>
            <w:r>
              <w:rPr>
                <w:sz w:val="24"/>
                <w:highlight w:val="none"/>
                <w:lang w:val="fr-FR"/>
              </w:rPr>
              <w:t>=L</w:t>
            </w:r>
            <w:r>
              <w:rPr>
                <w:sz w:val="24"/>
                <w:highlight w:val="none"/>
                <w:vertAlign w:val="subscript"/>
                <w:lang w:val="fr-FR"/>
              </w:rPr>
              <w:t>A（r0）</w:t>
            </w:r>
            <w:r>
              <w:rPr>
                <w:sz w:val="24"/>
                <w:highlight w:val="none"/>
                <w:lang w:val="fr-FR"/>
              </w:rPr>
              <w:t>-20lg（r/r</w:t>
            </w:r>
            <w:r>
              <w:rPr>
                <w:sz w:val="24"/>
                <w:highlight w:val="none"/>
                <w:vertAlign w:val="subscript"/>
                <w:lang w:val="fr-FR"/>
              </w:rPr>
              <w:t>0</w:t>
            </w:r>
            <w:r>
              <w:rPr>
                <w:sz w:val="24"/>
                <w:highlight w:val="none"/>
                <w:lang w:val="fr-FR"/>
              </w:rPr>
              <w:t>）</w:t>
            </w:r>
          </w:p>
          <w:p>
            <w:pPr>
              <w:spacing w:line="520" w:lineRule="exact"/>
              <w:ind w:firstLine="480" w:firstLineChars="200"/>
              <w:rPr>
                <w:sz w:val="24"/>
                <w:highlight w:val="none"/>
              </w:rPr>
            </w:pPr>
            <w:r>
              <w:rPr>
                <w:sz w:val="24"/>
                <w:highlight w:val="none"/>
              </w:rPr>
              <w:t>式中：L</w:t>
            </w:r>
            <w:r>
              <w:rPr>
                <w:sz w:val="24"/>
                <w:highlight w:val="none"/>
                <w:vertAlign w:val="subscript"/>
              </w:rPr>
              <w:t>A（r）</w:t>
            </w:r>
            <w:r>
              <w:rPr>
                <w:sz w:val="24"/>
                <w:highlight w:val="none"/>
              </w:rPr>
              <w:t>—距声源r处的A声级，dB（A）；</w:t>
            </w:r>
          </w:p>
          <w:p>
            <w:pPr>
              <w:spacing w:line="520" w:lineRule="exact"/>
              <w:ind w:firstLine="1200" w:firstLineChars="500"/>
              <w:rPr>
                <w:sz w:val="24"/>
                <w:highlight w:val="none"/>
              </w:rPr>
            </w:pPr>
            <w:r>
              <w:rPr>
                <w:sz w:val="24"/>
                <w:highlight w:val="none"/>
              </w:rPr>
              <w:t>L</w:t>
            </w:r>
            <w:r>
              <w:rPr>
                <w:sz w:val="24"/>
                <w:highlight w:val="none"/>
                <w:vertAlign w:val="subscript"/>
              </w:rPr>
              <w:t>A（r0）</w:t>
            </w:r>
            <w:r>
              <w:rPr>
                <w:sz w:val="24"/>
                <w:highlight w:val="none"/>
              </w:rPr>
              <w:t>—参考位置r</w:t>
            </w:r>
            <w:r>
              <w:rPr>
                <w:sz w:val="24"/>
                <w:highlight w:val="none"/>
                <w:vertAlign w:val="subscript"/>
              </w:rPr>
              <w:t>0</w:t>
            </w:r>
            <w:r>
              <w:rPr>
                <w:sz w:val="24"/>
                <w:highlight w:val="none"/>
              </w:rPr>
              <w:t>处的A声级，dB（A）；</w:t>
            </w:r>
          </w:p>
          <w:p>
            <w:pPr>
              <w:spacing w:line="520" w:lineRule="exact"/>
              <w:ind w:firstLine="1200" w:firstLineChars="500"/>
              <w:rPr>
                <w:sz w:val="24"/>
                <w:highlight w:val="none"/>
              </w:rPr>
            </w:pPr>
            <w:r>
              <w:rPr>
                <w:sz w:val="24"/>
                <w:highlight w:val="none"/>
              </w:rPr>
              <w:t>r—预测点距声源的距离，m；</w:t>
            </w:r>
          </w:p>
          <w:p>
            <w:pPr>
              <w:spacing w:line="520" w:lineRule="exact"/>
              <w:ind w:firstLine="1200" w:firstLineChars="500"/>
              <w:rPr>
                <w:sz w:val="24"/>
                <w:highlight w:val="none"/>
              </w:rPr>
            </w:pPr>
            <w:r>
              <w:rPr>
                <w:sz w:val="24"/>
                <w:highlight w:val="none"/>
              </w:rPr>
              <w:t>r</w:t>
            </w:r>
            <w:r>
              <w:rPr>
                <w:sz w:val="24"/>
                <w:highlight w:val="none"/>
                <w:vertAlign w:val="subscript"/>
              </w:rPr>
              <w:t>0</w:t>
            </w:r>
            <w:r>
              <w:rPr>
                <w:sz w:val="24"/>
                <w:highlight w:val="none"/>
              </w:rPr>
              <w:t>—参考位置距声源的距离，m。</w:t>
            </w:r>
          </w:p>
          <w:p>
            <w:pPr>
              <w:spacing w:line="520" w:lineRule="exact"/>
              <w:ind w:firstLine="480" w:firstLineChars="200"/>
              <w:rPr>
                <w:sz w:val="24"/>
                <w:highlight w:val="none"/>
              </w:rPr>
            </w:pPr>
            <w:r>
              <w:rPr>
                <w:sz w:val="24"/>
                <w:highlight w:val="none"/>
              </w:rPr>
              <w:t>该点的总声压级可用以下公式计算：</w:t>
            </w:r>
          </w:p>
          <w:p>
            <w:pPr>
              <w:jc w:val="center"/>
              <w:rPr>
                <w:sz w:val="24"/>
                <w:highlight w:val="none"/>
              </w:rPr>
            </w:pPr>
            <w:r>
              <w:rPr>
                <w:sz w:val="24"/>
                <w:highlight w:val="none"/>
              </w:rPr>
              <w:object>
                <v:shape id="_x0000_i1032" o:spt="75" type="#_x0000_t75" style="height:36.75pt;width:123.3pt;" o:ole="t" filled="f" o:preferrelative="t" stroked="f" coordsize="21600,21600">
                  <v:path/>
                  <v:fill on="f" focussize="0,0"/>
                  <v:stroke on="f"/>
                  <v:imagedata r:id="rId16" o:title=""/>
                  <o:lock v:ext="edit" aspectratio="t"/>
                  <w10:wrap type="none"/>
                  <w10:anchorlock/>
                </v:shape>
                <o:OLEObject Type="Embed" ProgID="Equation.3" ShapeID="_x0000_i1032" DrawAspect="Content" ObjectID="_1468075732" r:id="rId29">
                  <o:LockedField>false</o:LockedField>
                </o:OLEObject>
              </w:object>
            </w:r>
          </w:p>
          <w:p>
            <w:pPr>
              <w:spacing w:line="520" w:lineRule="exact"/>
              <w:ind w:firstLine="480" w:firstLineChars="200"/>
              <w:rPr>
                <w:sz w:val="24"/>
                <w:highlight w:val="none"/>
              </w:rPr>
            </w:pPr>
            <w:r>
              <w:rPr>
                <w:sz w:val="24"/>
                <w:highlight w:val="none"/>
              </w:rPr>
              <w:t>其中：L</w:t>
            </w:r>
            <w:r>
              <w:rPr>
                <w:sz w:val="24"/>
                <w:highlight w:val="none"/>
                <w:vertAlign w:val="subscript"/>
              </w:rPr>
              <w:t>P</w:t>
            </w:r>
            <w:r>
              <w:rPr>
                <w:sz w:val="24"/>
                <w:highlight w:val="none"/>
              </w:rPr>
              <w:t>——某点叠加后的总声压级dB(A)</w:t>
            </w:r>
          </w:p>
          <w:p>
            <w:pPr>
              <w:adjustRightInd w:val="0"/>
              <w:snapToGrid w:val="0"/>
              <w:spacing w:line="520" w:lineRule="exact"/>
              <w:ind w:firstLine="1259" w:firstLineChars="477"/>
              <w:rPr>
                <w:sz w:val="24"/>
                <w:highlight w:val="none"/>
              </w:rPr>
            </w:pPr>
            <w:r>
              <w:rPr>
                <w:spacing w:val="12"/>
                <w:sz w:val="24"/>
                <w:highlight w:val="none"/>
              </w:rPr>
              <w:t>L</w:t>
            </w:r>
            <w:r>
              <w:rPr>
                <w:spacing w:val="12"/>
                <w:sz w:val="24"/>
                <w:highlight w:val="none"/>
                <w:vertAlign w:val="subscript"/>
              </w:rPr>
              <w:t>i</w:t>
            </w:r>
            <w:r>
              <w:rPr>
                <w:spacing w:val="12"/>
                <w:sz w:val="24"/>
                <w:highlight w:val="none"/>
              </w:rPr>
              <w:t>——第i个参与合成的声压级强度，dB（A）。</w:t>
            </w:r>
          </w:p>
          <w:p>
            <w:pPr>
              <w:spacing w:line="520" w:lineRule="exact"/>
              <w:ind w:firstLine="482" w:firstLineChars="200"/>
              <w:rPr>
                <w:b/>
                <w:sz w:val="24"/>
                <w:highlight w:val="none"/>
              </w:rPr>
            </w:pPr>
            <w:r>
              <w:rPr>
                <w:b/>
                <w:sz w:val="24"/>
                <w:highlight w:val="none"/>
              </w:rPr>
              <w:t>3.3预测结果及评价</w:t>
            </w:r>
          </w:p>
          <w:p>
            <w:pPr>
              <w:spacing w:line="520" w:lineRule="exact"/>
              <w:ind w:firstLine="480" w:firstLineChars="200"/>
              <w:rPr>
                <w:b/>
                <w:bCs/>
                <w:szCs w:val="21"/>
                <w:highlight w:val="none"/>
              </w:rPr>
            </w:pPr>
            <w:r>
              <w:rPr>
                <w:sz w:val="24"/>
                <w:highlight w:val="none"/>
              </w:rPr>
              <w:t>本项目实行</w:t>
            </w:r>
            <w:r>
              <w:rPr>
                <w:rFonts w:hint="eastAsia"/>
                <w:sz w:val="24"/>
                <w:highlight w:val="none"/>
              </w:rPr>
              <w:t>每天</w:t>
            </w:r>
            <w:r>
              <w:rPr>
                <w:sz w:val="24"/>
                <w:highlight w:val="none"/>
              </w:rPr>
              <w:t>单班</w:t>
            </w:r>
            <w:r>
              <w:rPr>
                <w:rFonts w:hint="eastAsia"/>
                <w:sz w:val="24"/>
                <w:highlight w:val="none"/>
              </w:rPr>
              <w:t>8</w:t>
            </w:r>
            <w:r>
              <w:rPr>
                <w:sz w:val="24"/>
                <w:highlight w:val="none"/>
              </w:rPr>
              <w:t>小时工作制度</w:t>
            </w:r>
            <w:r>
              <w:rPr>
                <w:rFonts w:hint="eastAsia"/>
                <w:sz w:val="24"/>
                <w:highlight w:val="none"/>
              </w:rPr>
              <w:t>，</w:t>
            </w:r>
            <w:r>
              <w:rPr>
                <w:sz w:val="24"/>
                <w:highlight w:val="none"/>
              </w:rPr>
              <w:t>夜间不生产。</w:t>
            </w:r>
            <w:r>
              <w:rPr>
                <w:rFonts w:hint="eastAsia"/>
                <w:sz w:val="24"/>
                <w:highlight w:val="none"/>
              </w:rPr>
              <w:t>噪声执行昼间标准</w:t>
            </w:r>
            <w:r>
              <w:rPr>
                <w:sz w:val="24"/>
                <w:highlight w:val="none"/>
              </w:rPr>
              <w:t>。经现场踏勘，根据本工程噪声源的分布，对本项目厂界四周噪声影响进行预测计算，厂界噪声预测结果见表</w:t>
            </w:r>
            <w:r>
              <w:rPr>
                <w:rFonts w:hint="eastAsia"/>
                <w:sz w:val="24"/>
                <w:highlight w:val="none"/>
              </w:rPr>
              <w:t>45</w:t>
            </w:r>
            <w:r>
              <w:rPr>
                <w:sz w:val="24"/>
                <w:highlight w:val="none"/>
              </w:rPr>
              <w:t>。</w:t>
            </w:r>
          </w:p>
          <w:p>
            <w:pPr>
              <w:spacing w:line="520" w:lineRule="exact"/>
              <w:jc w:val="center"/>
              <w:rPr>
                <w:sz w:val="24"/>
                <w:highlight w:val="none"/>
              </w:rPr>
            </w:pPr>
            <w:r>
              <w:rPr>
                <w:b/>
                <w:bCs/>
                <w:szCs w:val="21"/>
                <w:highlight w:val="none"/>
              </w:rPr>
              <w:t>表</w:t>
            </w:r>
            <w:r>
              <w:rPr>
                <w:rFonts w:hint="eastAsia"/>
                <w:b/>
                <w:bCs/>
                <w:szCs w:val="21"/>
                <w:highlight w:val="none"/>
              </w:rPr>
              <w:t>45</w:t>
            </w:r>
            <w:r>
              <w:rPr>
                <w:b/>
                <w:bCs/>
                <w:szCs w:val="21"/>
                <w:highlight w:val="none"/>
              </w:rPr>
              <w:t xml:space="preserve"> 厂界噪声预测结果一览表    单位：dB（A）</w:t>
            </w:r>
          </w:p>
          <w:tbl>
            <w:tblPr>
              <w:tblStyle w:val="28"/>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81"/>
              <w:gridCol w:w="1056"/>
              <w:gridCol w:w="1377"/>
              <w:gridCol w:w="955"/>
              <w:gridCol w:w="845"/>
              <w:gridCol w:w="1009"/>
              <w:gridCol w:w="1241"/>
              <w:gridCol w:w="873"/>
              <w:gridCol w:w="10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Align w:val="center"/>
                </w:tcPr>
                <w:p>
                  <w:pPr>
                    <w:pStyle w:val="39"/>
                    <w:spacing w:before="0" w:after="0" w:line="360" w:lineRule="exact"/>
                    <w:rPr>
                      <w:szCs w:val="21"/>
                      <w:highlight w:val="none"/>
                    </w:rPr>
                  </w:pPr>
                  <w:r>
                    <w:rPr>
                      <w:szCs w:val="21"/>
                      <w:highlight w:val="none"/>
                    </w:rPr>
                    <w:t>厂界</w:t>
                  </w:r>
                </w:p>
              </w:tc>
              <w:tc>
                <w:tcPr>
                  <w:tcW w:w="1056" w:type="dxa"/>
                  <w:vAlign w:val="center"/>
                </w:tcPr>
                <w:p>
                  <w:pPr>
                    <w:pStyle w:val="39"/>
                    <w:spacing w:before="0" w:after="0" w:line="360" w:lineRule="exact"/>
                    <w:rPr>
                      <w:szCs w:val="21"/>
                      <w:highlight w:val="none"/>
                    </w:rPr>
                  </w:pPr>
                  <w:r>
                    <w:rPr>
                      <w:szCs w:val="21"/>
                      <w:highlight w:val="none"/>
                    </w:rPr>
                    <w:t>噪声源</w:t>
                  </w:r>
                </w:p>
              </w:tc>
              <w:tc>
                <w:tcPr>
                  <w:tcW w:w="1377" w:type="dxa"/>
                  <w:vAlign w:val="center"/>
                </w:tcPr>
                <w:p>
                  <w:pPr>
                    <w:pStyle w:val="39"/>
                    <w:spacing w:before="0" w:after="0" w:line="360" w:lineRule="exact"/>
                    <w:rPr>
                      <w:szCs w:val="21"/>
                      <w:highlight w:val="none"/>
                    </w:rPr>
                  </w:pPr>
                  <w:r>
                    <w:rPr>
                      <w:szCs w:val="21"/>
                      <w:highlight w:val="none"/>
                    </w:rPr>
                    <w:t>噪声混合源强</w:t>
                  </w:r>
                </w:p>
              </w:tc>
              <w:tc>
                <w:tcPr>
                  <w:tcW w:w="955" w:type="dxa"/>
                  <w:vAlign w:val="center"/>
                </w:tcPr>
                <w:p>
                  <w:pPr>
                    <w:pStyle w:val="39"/>
                    <w:spacing w:before="0" w:after="0" w:line="360" w:lineRule="exact"/>
                    <w:rPr>
                      <w:szCs w:val="21"/>
                      <w:highlight w:val="none"/>
                    </w:rPr>
                  </w:pPr>
                  <w:r>
                    <w:rPr>
                      <w:szCs w:val="21"/>
                      <w:highlight w:val="none"/>
                    </w:rPr>
                    <w:t>距离(m)</w:t>
                  </w:r>
                </w:p>
              </w:tc>
              <w:tc>
                <w:tcPr>
                  <w:tcW w:w="845" w:type="dxa"/>
                  <w:vAlign w:val="center"/>
                </w:tcPr>
                <w:p>
                  <w:pPr>
                    <w:pStyle w:val="39"/>
                    <w:spacing w:before="0" w:after="0" w:line="360" w:lineRule="exact"/>
                    <w:rPr>
                      <w:szCs w:val="21"/>
                      <w:highlight w:val="none"/>
                    </w:rPr>
                  </w:pPr>
                  <w:r>
                    <w:rPr>
                      <w:szCs w:val="21"/>
                      <w:highlight w:val="none"/>
                    </w:rPr>
                    <w:t>贡献值</w:t>
                  </w:r>
                </w:p>
              </w:tc>
              <w:tc>
                <w:tcPr>
                  <w:tcW w:w="1009" w:type="dxa"/>
                  <w:vAlign w:val="center"/>
                </w:tcPr>
                <w:p>
                  <w:pPr>
                    <w:pStyle w:val="39"/>
                    <w:spacing w:before="0" w:after="0" w:line="360" w:lineRule="exact"/>
                    <w:rPr>
                      <w:szCs w:val="21"/>
                      <w:highlight w:val="none"/>
                    </w:rPr>
                  </w:pPr>
                  <w:r>
                    <w:rPr>
                      <w:szCs w:val="21"/>
                      <w:highlight w:val="none"/>
                    </w:rPr>
                    <w:t>背景值</w:t>
                  </w:r>
                </w:p>
              </w:tc>
              <w:tc>
                <w:tcPr>
                  <w:tcW w:w="1241" w:type="dxa"/>
                  <w:vAlign w:val="center"/>
                </w:tcPr>
                <w:p>
                  <w:pPr>
                    <w:pStyle w:val="39"/>
                    <w:spacing w:before="0" w:after="0" w:line="360" w:lineRule="exact"/>
                    <w:rPr>
                      <w:szCs w:val="21"/>
                      <w:highlight w:val="none"/>
                    </w:rPr>
                  </w:pPr>
                  <w:r>
                    <w:rPr>
                      <w:szCs w:val="21"/>
                      <w:highlight w:val="none"/>
                    </w:rPr>
                    <w:t>影响叠</w:t>
                  </w:r>
                </w:p>
                <w:p>
                  <w:pPr>
                    <w:pStyle w:val="39"/>
                    <w:spacing w:before="0" w:after="0" w:line="360" w:lineRule="exact"/>
                    <w:rPr>
                      <w:szCs w:val="21"/>
                      <w:highlight w:val="none"/>
                    </w:rPr>
                  </w:pPr>
                  <w:r>
                    <w:rPr>
                      <w:szCs w:val="21"/>
                      <w:highlight w:val="none"/>
                    </w:rPr>
                    <w:t>加值</w:t>
                  </w:r>
                </w:p>
              </w:tc>
              <w:tc>
                <w:tcPr>
                  <w:tcW w:w="873" w:type="dxa"/>
                  <w:vAlign w:val="center"/>
                </w:tcPr>
                <w:p>
                  <w:pPr>
                    <w:pStyle w:val="39"/>
                    <w:spacing w:before="0" w:after="0" w:line="360" w:lineRule="exact"/>
                    <w:rPr>
                      <w:szCs w:val="21"/>
                      <w:highlight w:val="none"/>
                    </w:rPr>
                  </w:pPr>
                  <w:r>
                    <w:rPr>
                      <w:szCs w:val="21"/>
                      <w:highlight w:val="none"/>
                    </w:rPr>
                    <w:t>昼间</w:t>
                  </w:r>
                </w:p>
                <w:p>
                  <w:pPr>
                    <w:pStyle w:val="39"/>
                    <w:spacing w:before="0" w:after="0" w:line="360" w:lineRule="exact"/>
                    <w:rPr>
                      <w:szCs w:val="21"/>
                      <w:highlight w:val="none"/>
                    </w:rPr>
                  </w:pPr>
                  <w:r>
                    <w:rPr>
                      <w:szCs w:val="21"/>
                      <w:highlight w:val="none"/>
                    </w:rPr>
                    <w:t>标准</w:t>
                  </w:r>
                </w:p>
              </w:tc>
              <w:tc>
                <w:tcPr>
                  <w:tcW w:w="1003" w:type="dxa"/>
                  <w:vAlign w:val="center"/>
                </w:tcPr>
                <w:p>
                  <w:pPr>
                    <w:pStyle w:val="39"/>
                    <w:spacing w:before="0" w:after="0" w:line="360" w:lineRule="exact"/>
                    <w:rPr>
                      <w:szCs w:val="21"/>
                      <w:highlight w:val="none"/>
                    </w:rPr>
                  </w:pPr>
                  <w:r>
                    <w:rPr>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restart"/>
                  <w:vAlign w:val="center"/>
                </w:tcPr>
                <w:p>
                  <w:pPr>
                    <w:pStyle w:val="39"/>
                    <w:spacing w:before="0" w:after="0" w:line="360" w:lineRule="exact"/>
                    <w:rPr>
                      <w:szCs w:val="21"/>
                      <w:highlight w:val="none"/>
                    </w:rPr>
                  </w:pPr>
                  <w:r>
                    <w:rPr>
                      <w:szCs w:val="21"/>
                      <w:highlight w:val="none"/>
                    </w:rPr>
                    <w:t>东</w:t>
                  </w:r>
                </w:p>
              </w:tc>
              <w:tc>
                <w:tcPr>
                  <w:tcW w:w="1056" w:type="dxa"/>
                  <w:vAlign w:val="center"/>
                </w:tcPr>
                <w:p>
                  <w:pPr>
                    <w:spacing w:line="360" w:lineRule="exact"/>
                    <w:jc w:val="center"/>
                    <w:rPr>
                      <w:kern w:val="24"/>
                      <w:szCs w:val="21"/>
                      <w:highlight w:val="none"/>
                    </w:rPr>
                  </w:pPr>
                  <w:r>
                    <w:rPr>
                      <w:rFonts w:hint="eastAsia"/>
                      <w:kern w:val="24"/>
                      <w:szCs w:val="21"/>
                      <w:highlight w:val="none"/>
                    </w:rPr>
                    <w:t>膨化间</w:t>
                  </w:r>
                </w:p>
              </w:tc>
              <w:tc>
                <w:tcPr>
                  <w:tcW w:w="1377" w:type="dxa"/>
                  <w:vAlign w:val="center"/>
                </w:tcPr>
                <w:p>
                  <w:pPr>
                    <w:spacing w:line="360" w:lineRule="exact"/>
                    <w:jc w:val="center"/>
                    <w:rPr>
                      <w:szCs w:val="21"/>
                      <w:highlight w:val="none"/>
                    </w:rPr>
                  </w:pPr>
                  <w:r>
                    <w:rPr>
                      <w:rFonts w:hint="eastAsia"/>
                      <w:szCs w:val="21"/>
                      <w:highlight w:val="none"/>
                    </w:rPr>
                    <w:t>65</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10</w:t>
                  </w:r>
                </w:p>
              </w:tc>
              <w:tc>
                <w:tcPr>
                  <w:tcW w:w="845" w:type="dxa"/>
                  <w:vAlign w:val="center"/>
                </w:tcPr>
                <w:p>
                  <w:pPr>
                    <w:widowControl/>
                    <w:jc w:val="center"/>
                    <w:textAlignment w:val="center"/>
                    <w:rPr>
                      <w:rFonts w:hint="eastAsia"/>
                      <w:szCs w:val="21"/>
                      <w:highlight w:val="none"/>
                    </w:rPr>
                  </w:pPr>
                  <w:r>
                    <w:rPr>
                      <w:rFonts w:hint="eastAsia"/>
                      <w:szCs w:val="21"/>
                      <w:highlight w:val="none"/>
                    </w:rPr>
                    <w:t>48.5</w:t>
                  </w:r>
                </w:p>
              </w:tc>
              <w:tc>
                <w:tcPr>
                  <w:tcW w:w="1009" w:type="dxa"/>
                  <w:vMerge w:val="restart"/>
                  <w:vAlign w:val="center"/>
                </w:tcPr>
                <w:p>
                  <w:pPr>
                    <w:widowControl/>
                    <w:jc w:val="center"/>
                    <w:textAlignment w:val="center"/>
                    <w:rPr>
                      <w:szCs w:val="21"/>
                      <w:highlight w:val="none"/>
                    </w:rPr>
                  </w:pPr>
                  <w:r>
                    <w:rPr>
                      <w:color w:val="000000"/>
                      <w:kern w:val="0"/>
                      <w:szCs w:val="21"/>
                      <w:highlight w:val="none"/>
                      <w:lang w:bidi="ar"/>
                    </w:rPr>
                    <w:t>/</w:t>
                  </w:r>
                </w:p>
              </w:tc>
              <w:tc>
                <w:tcPr>
                  <w:tcW w:w="1241" w:type="dxa"/>
                  <w:vMerge w:val="restart"/>
                  <w:vAlign w:val="center"/>
                </w:tcPr>
                <w:p>
                  <w:pPr>
                    <w:widowControl/>
                    <w:jc w:val="center"/>
                    <w:textAlignment w:val="center"/>
                    <w:rPr>
                      <w:szCs w:val="21"/>
                      <w:highlight w:val="none"/>
                    </w:rPr>
                  </w:pPr>
                  <w:r>
                    <w:rPr>
                      <w:rFonts w:hint="eastAsia"/>
                      <w:color w:val="000000"/>
                      <w:kern w:val="0"/>
                      <w:szCs w:val="21"/>
                      <w:highlight w:val="none"/>
                      <w:lang w:bidi="ar"/>
                    </w:rPr>
                    <w:t>50.95</w:t>
                  </w:r>
                </w:p>
              </w:tc>
              <w:tc>
                <w:tcPr>
                  <w:tcW w:w="873" w:type="dxa"/>
                  <w:vMerge w:val="restart"/>
                  <w:vAlign w:val="center"/>
                </w:tcPr>
                <w:p>
                  <w:pPr>
                    <w:pStyle w:val="39"/>
                    <w:snapToGrid w:val="0"/>
                    <w:spacing w:before="0" w:after="0" w:line="360" w:lineRule="exact"/>
                    <w:rPr>
                      <w:szCs w:val="21"/>
                      <w:highlight w:val="none"/>
                    </w:rPr>
                  </w:pPr>
                  <w:r>
                    <w:rPr>
                      <w:szCs w:val="21"/>
                      <w:highlight w:val="none"/>
                    </w:rPr>
                    <w:t>6</w:t>
                  </w:r>
                  <w:r>
                    <w:rPr>
                      <w:rFonts w:hint="eastAsia"/>
                      <w:szCs w:val="21"/>
                      <w:highlight w:val="none"/>
                    </w:rPr>
                    <w:t>0</w:t>
                  </w:r>
                </w:p>
              </w:tc>
              <w:tc>
                <w:tcPr>
                  <w:tcW w:w="1003" w:type="dxa"/>
                  <w:vMerge w:val="restart"/>
                  <w:vAlign w:val="center"/>
                </w:tcPr>
                <w:p>
                  <w:pPr>
                    <w:pStyle w:val="39"/>
                    <w:snapToGrid w:val="0"/>
                    <w:spacing w:before="0" w:after="0" w:line="360" w:lineRule="exact"/>
                    <w:rPr>
                      <w:szCs w:val="21"/>
                      <w:highlight w:val="none"/>
                    </w:rPr>
                  </w:pPr>
                  <w:r>
                    <w:rPr>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kern w:val="24"/>
                      <w:szCs w:val="21"/>
                      <w:highlight w:val="none"/>
                    </w:rPr>
                  </w:pPr>
                  <w:r>
                    <w:rPr>
                      <w:rFonts w:hint="eastAsia"/>
                      <w:kern w:val="24"/>
                      <w:szCs w:val="21"/>
                      <w:highlight w:val="none"/>
                    </w:rPr>
                    <w:t>油炸间</w:t>
                  </w:r>
                </w:p>
              </w:tc>
              <w:tc>
                <w:tcPr>
                  <w:tcW w:w="1377" w:type="dxa"/>
                  <w:vAlign w:val="center"/>
                </w:tcPr>
                <w:p>
                  <w:pPr>
                    <w:spacing w:line="360" w:lineRule="exact"/>
                    <w:jc w:val="center"/>
                    <w:rPr>
                      <w:szCs w:val="21"/>
                      <w:highlight w:val="none"/>
                    </w:rPr>
                  </w:pPr>
                  <w:r>
                    <w:rPr>
                      <w:rFonts w:hint="eastAsia"/>
                      <w:szCs w:val="21"/>
                      <w:highlight w:val="none"/>
                    </w:rPr>
                    <w:t>67.1</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10</w:t>
                  </w:r>
                </w:p>
              </w:tc>
              <w:tc>
                <w:tcPr>
                  <w:tcW w:w="845" w:type="dxa"/>
                  <w:vAlign w:val="center"/>
                </w:tcPr>
                <w:p>
                  <w:pPr>
                    <w:widowControl/>
                    <w:jc w:val="center"/>
                    <w:textAlignment w:val="center"/>
                    <w:rPr>
                      <w:rFonts w:hint="eastAsia"/>
                      <w:szCs w:val="21"/>
                      <w:highlight w:val="none"/>
                    </w:rPr>
                  </w:pPr>
                  <w:r>
                    <w:rPr>
                      <w:rFonts w:hint="eastAsia"/>
                      <w:szCs w:val="21"/>
                      <w:highlight w:val="none"/>
                    </w:rPr>
                    <w:t>49.0</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kern w:val="24"/>
                      <w:szCs w:val="21"/>
                      <w:highlight w:val="none"/>
                    </w:rPr>
                  </w:pPr>
                  <w:r>
                    <w:rPr>
                      <w:rFonts w:hint="eastAsia"/>
                      <w:kern w:val="24"/>
                      <w:szCs w:val="21"/>
                      <w:highlight w:val="none"/>
                    </w:rPr>
                    <w:t>包装间</w:t>
                  </w:r>
                </w:p>
              </w:tc>
              <w:tc>
                <w:tcPr>
                  <w:tcW w:w="1377" w:type="dxa"/>
                  <w:vAlign w:val="center"/>
                </w:tcPr>
                <w:p>
                  <w:pPr>
                    <w:spacing w:line="360" w:lineRule="exact"/>
                    <w:jc w:val="center"/>
                    <w:rPr>
                      <w:szCs w:val="21"/>
                      <w:highlight w:val="none"/>
                    </w:rPr>
                  </w:pPr>
                  <w:r>
                    <w:rPr>
                      <w:rFonts w:hint="eastAsia"/>
                      <w:szCs w:val="21"/>
                      <w:highlight w:val="none"/>
                    </w:rPr>
                    <w:t>60</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10</w:t>
                  </w:r>
                </w:p>
              </w:tc>
              <w:tc>
                <w:tcPr>
                  <w:tcW w:w="845" w:type="dxa"/>
                  <w:vAlign w:val="center"/>
                </w:tcPr>
                <w:p>
                  <w:pPr>
                    <w:widowControl/>
                    <w:jc w:val="center"/>
                    <w:textAlignment w:val="center"/>
                    <w:rPr>
                      <w:rFonts w:hint="eastAsia"/>
                      <w:color w:val="000000"/>
                      <w:kern w:val="0"/>
                      <w:szCs w:val="21"/>
                      <w:highlight w:val="none"/>
                      <w:lang w:bidi="ar"/>
                    </w:rPr>
                  </w:pPr>
                  <w:r>
                    <w:rPr>
                      <w:rFonts w:hint="eastAsia"/>
                      <w:color w:val="000000"/>
                      <w:kern w:val="0"/>
                      <w:szCs w:val="21"/>
                      <w:highlight w:val="none"/>
                      <w:lang w:bidi="ar"/>
                    </w:rPr>
                    <w:t>40.4</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rFonts w:hint="eastAsia"/>
                      <w:kern w:val="24"/>
                      <w:szCs w:val="21"/>
                      <w:highlight w:val="none"/>
                    </w:rPr>
                  </w:pPr>
                  <w:r>
                    <w:rPr>
                      <w:rFonts w:hint="eastAsia"/>
                      <w:kern w:val="24"/>
                      <w:szCs w:val="21"/>
                      <w:highlight w:val="none"/>
                    </w:rPr>
                    <w:t>拌面间</w:t>
                  </w:r>
                </w:p>
              </w:tc>
              <w:tc>
                <w:tcPr>
                  <w:tcW w:w="1377" w:type="dxa"/>
                  <w:vAlign w:val="center"/>
                </w:tcPr>
                <w:p>
                  <w:pPr>
                    <w:spacing w:line="360" w:lineRule="exact"/>
                    <w:jc w:val="center"/>
                    <w:rPr>
                      <w:rFonts w:hint="eastAsia"/>
                      <w:szCs w:val="21"/>
                      <w:highlight w:val="none"/>
                    </w:rPr>
                  </w:pPr>
                  <w:r>
                    <w:rPr>
                      <w:rFonts w:hint="eastAsia"/>
                      <w:szCs w:val="21"/>
                      <w:highlight w:val="none"/>
                    </w:rPr>
                    <w:t>65</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10</w:t>
                  </w:r>
                </w:p>
              </w:tc>
              <w:tc>
                <w:tcPr>
                  <w:tcW w:w="845" w:type="dxa"/>
                  <w:vAlign w:val="center"/>
                </w:tcPr>
                <w:p>
                  <w:pPr>
                    <w:widowControl/>
                    <w:jc w:val="center"/>
                    <w:textAlignment w:val="center"/>
                    <w:rPr>
                      <w:color w:val="000000"/>
                      <w:kern w:val="0"/>
                      <w:szCs w:val="21"/>
                      <w:highlight w:val="none"/>
                      <w:lang w:bidi="ar"/>
                    </w:rPr>
                  </w:pPr>
                  <w:r>
                    <w:rPr>
                      <w:rFonts w:hint="eastAsia"/>
                      <w:color w:val="000000"/>
                      <w:kern w:val="0"/>
                      <w:szCs w:val="21"/>
                      <w:highlight w:val="none"/>
                      <w:lang w:bidi="ar"/>
                    </w:rPr>
                    <w:t>45</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restart"/>
                  <w:vAlign w:val="center"/>
                </w:tcPr>
                <w:p>
                  <w:pPr>
                    <w:pStyle w:val="39"/>
                    <w:spacing w:before="0" w:after="0" w:line="360" w:lineRule="exact"/>
                    <w:rPr>
                      <w:szCs w:val="21"/>
                      <w:highlight w:val="none"/>
                    </w:rPr>
                  </w:pPr>
                  <w:r>
                    <w:rPr>
                      <w:szCs w:val="21"/>
                      <w:highlight w:val="none"/>
                    </w:rPr>
                    <w:t>南</w:t>
                  </w:r>
                </w:p>
              </w:tc>
              <w:tc>
                <w:tcPr>
                  <w:tcW w:w="1056" w:type="dxa"/>
                  <w:vAlign w:val="center"/>
                </w:tcPr>
                <w:p>
                  <w:pPr>
                    <w:spacing w:line="360" w:lineRule="exact"/>
                    <w:jc w:val="center"/>
                    <w:rPr>
                      <w:kern w:val="24"/>
                      <w:szCs w:val="21"/>
                      <w:highlight w:val="none"/>
                    </w:rPr>
                  </w:pPr>
                  <w:r>
                    <w:rPr>
                      <w:rFonts w:hint="eastAsia"/>
                      <w:kern w:val="24"/>
                      <w:szCs w:val="21"/>
                      <w:highlight w:val="none"/>
                    </w:rPr>
                    <w:t>膨化间</w:t>
                  </w:r>
                </w:p>
              </w:tc>
              <w:tc>
                <w:tcPr>
                  <w:tcW w:w="1377" w:type="dxa"/>
                  <w:vAlign w:val="center"/>
                </w:tcPr>
                <w:p>
                  <w:pPr>
                    <w:spacing w:line="360" w:lineRule="exact"/>
                    <w:jc w:val="center"/>
                    <w:rPr>
                      <w:szCs w:val="21"/>
                      <w:highlight w:val="none"/>
                    </w:rPr>
                  </w:pPr>
                  <w:r>
                    <w:rPr>
                      <w:rFonts w:hint="eastAsia"/>
                      <w:szCs w:val="21"/>
                      <w:highlight w:val="none"/>
                    </w:rPr>
                    <w:t>65</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30</w:t>
                  </w:r>
                </w:p>
              </w:tc>
              <w:tc>
                <w:tcPr>
                  <w:tcW w:w="845" w:type="dxa"/>
                  <w:vAlign w:val="center"/>
                </w:tcPr>
                <w:p>
                  <w:pPr>
                    <w:widowControl/>
                    <w:jc w:val="center"/>
                    <w:textAlignment w:val="center"/>
                    <w:rPr>
                      <w:rFonts w:hint="eastAsia"/>
                      <w:szCs w:val="21"/>
                      <w:highlight w:val="none"/>
                    </w:rPr>
                  </w:pPr>
                  <w:r>
                    <w:rPr>
                      <w:rFonts w:hint="eastAsia"/>
                      <w:szCs w:val="21"/>
                      <w:highlight w:val="none"/>
                    </w:rPr>
                    <w:t>35.9</w:t>
                  </w:r>
                </w:p>
              </w:tc>
              <w:tc>
                <w:tcPr>
                  <w:tcW w:w="1009" w:type="dxa"/>
                  <w:vMerge w:val="restart"/>
                  <w:vAlign w:val="center"/>
                </w:tcPr>
                <w:p>
                  <w:pPr>
                    <w:widowControl/>
                    <w:jc w:val="center"/>
                    <w:textAlignment w:val="center"/>
                    <w:rPr>
                      <w:szCs w:val="21"/>
                      <w:highlight w:val="none"/>
                    </w:rPr>
                  </w:pPr>
                  <w:r>
                    <w:rPr>
                      <w:color w:val="000000"/>
                      <w:kern w:val="0"/>
                      <w:szCs w:val="21"/>
                      <w:highlight w:val="none"/>
                      <w:lang w:bidi="ar"/>
                    </w:rPr>
                    <w:t>/</w:t>
                  </w:r>
                </w:p>
              </w:tc>
              <w:tc>
                <w:tcPr>
                  <w:tcW w:w="1241" w:type="dxa"/>
                  <w:vMerge w:val="restart"/>
                  <w:vAlign w:val="center"/>
                </w:tcPr>
                <w:p>
                  <w:pPr>
                    <w:widowControl/>
                    <w:jc w:val="center"/>
                    <w:textAlignment w:val="center"/>
                    <w:rPr>
                      <w:szCs w:val="21"/>
                      <w:highlight w:val="none"/>
                    </w:rPr>
                  </w:pPr>
                  <w:r>
                    <w:rPr>
                      <w:rFonts w:hint="eastAsia"/>
                      <w:color w:val="000000"/>
                      <w:kern w:val="0"/>
                      <w:szCs w:val="21"/>
                      <w:highlight w:val="none"/>
                      <w:lang w:bidi="ar"/>
                    </w:rPr>
                    <w:t>48.3</w:t>
                  </w:r>
                </w:p>
              </w:tc>
              <w:tc>
                <w:tcPr>
                  <w:tcW w:w="873" w:type="dxa"/>
                  <w:vMerge w:val="restart"/>
                  <w:vAlign w:val="center"/>
                </w:tcPr>
                <w:p>
                  <w:pPr>
                    <w:pStyle w:val="39"/>
                    <w:snapToGrid w:val="0"/>
                    <w:spacing w:before="0" w:after="0" w:line="360" w:lineRule="exact"/>
                    <w:rPr>
                      <w:rFonts w:hint="eastAsia"/>
                      <w:szCs w:val="21"/>
                      <w:highlight w:val="none"/>
                    </w:rPr>
                  </w:pPr>
                  <w:r>
                    <w:rPr>
                      <w:rFonts w:hint="eastAsia"/>
                      <w:szCs w:val="21"/>
                      <w:highlight w:val="none"/>
                    </w:rPr>
                    <w:t>60</w:t>
                  </w:r>
                </w:p>
              </w:tc>
              <w:tc>
                <w:tcPr>
                  <w:tcW w:w="1003" w:type="dxa"/>
                  <w:vMerge w:val="restart"/>
                  <w:vAlign w:val="center"/>
                </w:tcPr>
                <w:p>
                  <w:pPr>
                    <w:pStyle w:val="39"/>
                    <w:snapToGrid w:val="0"/>
                    <w:spacing w:before="0" w:after="0" w:line="360" w:lineRule="exact"/>
                    <w:rPr>
                      <w:szCs w:val="21"/>
                      <w:highlight w:val="none"/>
                    </w:rPr>
                  </w:pPr>
                  <w:r>
                    <w:rPr>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kern w:val="24"/>
                      <w:szCs w:val="21"/>
                      <w:highlight w:val="none"/>
                    </w:rPr>
                  </w:pPr>
                  <w:r>
                    <w:rPr>
                      <w:rFonts w:hint="eastAsia"/>
                      <w:kern w:val="24"/>
                      <w:szCs w:val="21"/>
                      <w:highlight w:val="none"/>
                    </w:rPr>
                    <w:t>油炸间</w:t>
                  </w:r>
                </w:p>
              </w:tc>
              <w:tc>
                <w:tcPr>
                  <w:tcW w:w="1377" w:type="dxa"/>
                  <w:vAlign w:val="center"/>
                </w:tcPr>
                <w:p>
                  <w:pPr>
                    <w:spacing w:line="360" w:lineRule="exact"/>
                    <w:jc w:val="center"/>
                    <w:rPr>
                      <w:szCs w:val="21"/>
                      <w:highlight w:val="none"/>
                    </w:rPr>
                  </w:pPr>
                  <w:r>
                    <w:rPr>
                      <w:rFonts w:hint="eastAsia"/>
                      <w:szCs w:val="21"/>
                      <w:highlight w:val="none"/>
                    </w:rPr>
                    <w:t>67.1</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60</w:t>
                  </w:r>
                </w:p>
              </w:tc>
              <w:tc>
                <w:tcPr>
                  <w:tcW w:w="845" w:type="dxa"/>
                  <w:vAlign w:val="center"/>
                </w:tcPr>
                <w:p>
                  <w:pPr>
                    <w:widowControl/>
                    <w:jc w:val="center"/>
                    <w:textAlignment w:val="center"/>
                    <w:rPr>
                      <w:rFonts w:hint="eastAsia"/>
                      <w:szCs w:val="21"/>
                      <w:highlight w:val="none"/>
                    </w:rPr>
                  </w:pPr>
                  <w:r>
                    <w:rPr>
                      <w:rFonts w:hint="eastAsia"/>
                      <w:szCs w:val="21"/>
                      <w:highlight w:val="none"/>
                    </w:rPr>
                    <w:t>28.0</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kern w:val="24"/>
                      <w:szCs w:val="21"/>
                      <w:highlight w:val="none"/>
                    </w:rPr>
                  </w:pPr>
                  <w:r>
                    <w:rPr>
                      <w:rFonts w:hint="eastAsia"/>
                      <w:kern w:val="24"/>
                      <w:szCs w:val="21"/>
                      <w:highlight w:val="none"/>
                    </w:rPr>
                    <w:t>包装间</w:t>
                  </w:r>
                </w:p>
              </w:tc>
              <w:tc>
                <w:tcPr>
                  <w:tcW w:w="1377" w:type="dxa"/>
                  <w:vAlign w:val="center"/>
                </w:tcPr>
                <w:p>
                  <w:pPr>
                    <w:spacing w:line="360" w:lineRule="exact"/>
                    <w:jc w:val="center"/>
                    <w:rPr>
                      <w:szCs w:val="21"/>
                      <w:highlight w:val="none"/>
                    </w:rPr>
                  </w:pPr>
                  <w:r>
                    <w:rPr>
                      <w:rFonts w:hint="eastAsia"/>
                      <w:szCs w:val="21"/>
                      <w:highlight w:val="none"/>
                    </w:rPr>
                    <w:t>60</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90</w:t>
                  </w:r>
                </w:p>
              </w:tc>
              <w:tc>
                <w:tcPr>
                  <w:tcW w:w="845" w:type="dxa"/>
                  <w:vAlign w:val="center"/>
                </w:tcPr>
                <w:p>
                  <w:pPr>
                    <w:widowControl/>
                    <w:jc w:val="center"/>
                    <w:textAlignment w:val="center"/>
                    <w:rPr>
                      <w:rFonts w:hint="eastAsia"/>
                      <w:color w:val="000000"/>
                      <w:kern w:val="0"/>
                      <w:szCs w:val="21"/>
                      <w:highlight w:val="none"/>
                      <w:lang w:bidi="ar"/>
                    </w:rPr>
                  </w:pPr>
                  <w:r>
                    <w:rPr>
                      <w:rFonts w:hint="eastAsia"/>
                      <w:color w:val="000000"/>
                      <w:kern w:val="0"/>
                      <w:szCs w:val="21"/>
                      <w:highlight w:val="none"/>
                      <w:lang w:bidi="ar"/>
                    </w:rPr>
                    <w:t>25.9</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rFonts w:hint="eastAsia"/>
                      <w:kern w:val="24"/>
                      <w:szCs w:val="21"/>
                      <w:highlight w:val="none"/>
                    </w:rPr>
                  </w:pPr>
                  <w:r>
                    <w:rPr>
                      <w:rFonts w:hint="eastAsia"/>
                      <w:kern w:val="24"/>
                      <w:szCs w:val="21"/>
                      <w:highlight w:val="none"/>
                    </w:rPr>
                    <w:t>拌面间</w:t>
                  </w:r>
                </w:p>
              </w:tc>
              <w:tc>
                <w:tcPr>
                  <w:tcW w:w="1377" w:type="dxa"/>
                  <w:vAlign w:val="center"/>
                </w:tcPr>
                <w:p>
                  <w:pPr>
                    <w:spacing w:line="360" w:lineRule="exact"/>
                    <w:jc w:val="center"/>
                    <w:rPr>
                      <w:rFonts w:hint="eastAsia"/>
                      <w:szCs w:val="21"/>
                      <w:highlight w:val="none"/>
                    </w:rPr>
                  </w:pPr>
                  <w:r>
                    <w:rPr>
                      <w:rFonts w:hint="eastAsia"/>
                      <w:szCs w:val="21"/>
                      <w:highlight w:val="none"/>
                    </w:rPr>
                    <w:t>62</w:t>
                  </w:r>
                </w:p>
              </w:tc>
              <w:tc>
                <w:tcPr>
                  <w:tcW w:w="955" w:type="dxa"/>
                  <w:vAlign w:val="center"/>
                </w:tcPr>
                <w:p>
                  <w:pPr>
                    <w:pStyle w:val="37"/>
                    <w:spacing w:line="360" w:lineRule="exact"/>
                    <w:ind w:firstLine="0"/>
                    <w:jc w:val="center"/>
                    <w:rPr>
                      <w:rFonts w:hint="eastAsia"/>
                      <w:sz w:val="21"/>
                      <w:szCs w:val="21"/>
                      <w:highlight w:val="none"/>
                    </w:rPr>
                  </w:pPr>
                  <w:r>
                    <w:rPr>
                      <w:rFonts w:hint="eastAsia"/>
                      <w:sz w:val="21"/>
                      <w:szCs w:val="21"/>
                      <w:highlight w:val="none"/>
                    </w:rPr>
                    <w:t>5</w:t>
                  </w:r>
                </w:p>
              </w:tc>
              <w:tc>
                <w:tcPr>
                  <w:tcW w:w="845" w:type="dxa"/>
                  <w:vAlign w:val="center"/>
                </w:tcPr>
                <w:p>
                  <w:pPr>
                    <w:widowControl/>
                    <w:jc w:val="center"/>
                    <w:textAlignment w:val="center"/>
                    <w:rPr>
                      <w:color w:val="000000"/>
                      <w:kern w:val="0"/>
                      <w:szCs w:val="21"/>
                      <w:highlight w:val="none"/>
                      <w:lang w:bidi="ar"/>
                    </w:rPr>
                  </w:pPr>
                  <w:r>
                    <w:rPr>
                      <w:rFonts w:hint="eastAsia"/>
                      <w:color w:val="000000"/>
                      <w:kern w:val="0"/>
                      <w:szCs w:val="21"/>
                      <w:highlight w:val="none"/>
                      <w:lang w:bidi="ar"/>
                    </w:rPr>
                    <w:t>58.1</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restart"/>
                  <w:vAlign w:val="center"/>
                </w:tcPr>
                <w:p>
                  <w:pPr>
                    <w:pStyle w:val="39"/>
                    <w:spacing w:before="0" w:after="0" w:line="360" w:lineRule="exact"/>
                    <w:rPr>
                      <w:szCs w:val="21"/>
                      <w:highlight w:val="none"/>
                    </w:rPr>
                  </w:pPr>
                  <w:r>
                    <w:rPr>
                      <w:szCs w:val="21"/>
                      <w:highlight w:val="none"/>
                    </w:rPr>
                    <w:t>西</w:t>
                  </w:r>
                </w:p>
              </w:tc>
              <w:tc>
                <w:tcPr>
                  <w:tcW w:w="1056" w:type="dxa"/>
                  <w:vAlign w:val="center"/>
                </w:tcPr>
                <w:p>
                  <w:pPr>
                    <w:spacing w:line="360" w:lineRule="exact"/>
                    <w:jc w:val="center"/>
                    <w:rPr>
                      <w:kern w:val="24"/>
                      <w:szCs w:val="21"/>
                      <w:highlight w:val="none"/>
                    </w:rPr>
                  </w:pPr>
                  <w:r>
                    <w:rPr>
                      <w:rFonts w:hint="eastAsia"/>
                      <w:kern w:val="24"/>
                      <w:szCs w:val="21"/>
                      <w:highlight w:val="none"/>
                    </w:rPr>
                    <w:t>膨化间</w:t>
                  </w:r>
                </w:p>
              </w:tc>
              <w:tc>
                <w:tcPr>
                  <w:tcW w:w="1377" w:type="dxa"/>
                  <w:vAlign w:val="center"/>
                </w:tcPr>
                <w:p>
                  <w:pPr>
                    <w:spacing w:line="360" w:lineRule="exact"/>
                    <w:jc w:val="center"/>
                    <w:rPr>
                      <w:rFonts w:hint="eastAsia"/>
                      <w:szCs w:val="21"/>
                      <w:highlight w:val="none"/>
                    </w:rPr>
                  </w:pPr>
                  <w:r>
                    <w:rPr>
                      <w:rFonts w:hint="eastAsia"/>
                      <w:szCs w:val="21"/>
                      <w:highlight w:val="none"/>
                    </w:rPr>
                    <w:t>61</w:t>
                  </w:r>
                </w:p>
              </w:tc>
              <w:tc>
                <w:tcPr>
                  <w:tcW w:w="955" w:type="dxa"/>
                  <w:vAlign w:val="center"/>
                </w:tcPr>
                <w:p>
                  <w:pPr>
                    <w:pStyle w:val="37"/>
                    <w:spacing w:line="360" w:lineRule="exact"/>
                    <w:ind w:firstLine="0"/>
                    <w:jc w:val="center"/>
                    <w:rPr>
                      <w:rFonts w:hint="eastAsia"/>
                      <w:sz w:val="21"/>
                      <w:szCs w:val="21"/>
                      <w:highlight w:val="none"/>
                    </w:rPr>
                  </w:pPr>
                  <w:r>
                    <w:rPr>
                      <w:rFonts w:hint="eastAsia"/>
                      <w:sz w:val="21"/>
                      <w:szCs w:val="21"/>
                      <w:highlight w:val="none"/>
                    </w:rPr>
                    <w:t>7</w:t>
                  </w:r>
                </w:p>
              </w:tc>
              <w:tc>
                <w:tcPr>
                  <w:tcW w:w="845" w:type="dxa"/>
                  <w:vAlign w:val="center"/>
                </w:tcPr>
                <w:p>
                  <w:pPr>
                    <w:widowControl/>
                    <w:jc w:val="center"/>
                    <w:textAlignment w:val="center"/>
                    <w:rPr>
                      <w:rFonts w:hint="eastAsia"/>
                      <w:szCs w:val="21"/>
                      <w:highlight w:val="none"/>
                    </w:rPr>
                  </w:pPr>
                  <w:r>
                    <w:rPr>
                      <w:rFonts w:hint="eastAsia"/>
                      <w:szCs w:val="21"/>
                      <w:highlight w:val="none"/>
                    </w:rPr>
                    <w:t>56.4</w:t>
                  </w:r>
                </w:p>
              </w:tc>
              <w:tc>
                <w:tcPr>
                  <w:tcW w:w="1009" w:type="dxa"/>
                  <w:vMerge w:val="restart"/>
                  <w:vAlign w:val="center"/>
                </w:tcPr>
                <w:p>
                  <w:pPr>
                    <w:widowControl/>
                    <w:jc w:val="center"/>
                    <w:textAlignment w:val="center"/>
                    <w:rPr>
                      <w:szCs w:val="21"/>
                      <w:highlight w:val="none"/>
                    </w:rPr>
                  </w:pPr>
                  <w:r>
                    <w:rPr>
                      <w:color w:val="000000"/>
                      <w:kern w:val="0"/>
                      <w:szCs w:val="21"/>
                      <w:highlight w:val="none"/>
                      <w:lang w:bidi="ar"/>
                    </w:rPr>
                    <w:t>/</w:t>
                  </w:r>
                </w:p>
              </w:tc>
              <w:tc>
                <w:tcPr>
                  <w:tcW w:w="1241" w:type="dxa"/>
                  <w:vMerge w:val="restart"/>
                  <w:vAlign w:val="center"/>
                </w:tcPr>
                <w:p>
                  <w:pPr>
                    <w:widowControl/>
                    <w:jc w:val="center"/>
                    <w:textAlignment w:val="center"/>
                    <w:rPr>
                      <w:szCs w:val="21"/>
                      <w:highlight w:val="none"/>
                    </w:rPr>
                  </w:pPr>
                  <w:r>
                    <w:rPr>
                      <w:rFonts w:hint="eastAsia"/>
                      <w:color w:val="000000"/>
                      <w:kern w:val="0"/>
                      <w:szCs w:val="21"/>
                      <w:highlight w:val="none"/>
                      <w:lang w:bidi="ar"/>
                    </w:rPr>
                    <w:t>48.64</w:t>
                  </w:r>
                </w:p>
              </w:tc>
              <w:tc>
                <w:tcPr>
                  <w:tcW w:w="873" w:type="dxa"/>
                  <w:vMerge w:val="restart"/>
                  <w:vAlign w:val="center"/>
                </w:tcPr>
                <w:p>
                  <w:pPr>
                    <w:pStyle w:val="39"/>
                    <w:snapToGrid w:val="0"/>
                    <w:spacing w:before="0" w:after="0" w:line="360" w:lineRule="exact"/>
                    <w:rPr>
                      <w:rFonts w:hint="eastAsia"/>
                      <w:szCs w:val="21"/>
                      <w:highlight w:val="none"/>
                    </w:rPr>
                  </w:pPr>
                  <w:r>
                    <w:rPr>
                      <w:rFonts w:hint="eastAsia"/>
                      <w:szCs w:val="21"/>
                      <w:highlight w:val="none"/>
                    </w:rPr>
                    <w:t>60</w:t>
                  </w:r>
                </w:p>
              </w:tc>
              <w:tc>
                <w:tcPr>
                  <w:tcW w:w="1003" w:type="dxa"/>
                  <w:vMerge w:val="restart"/>
                  <w:vAlign w:val="center"/>
                </w:tcPr>
                <w:p>
                  <w:pPr>
                    <w:pStyle w:val="39"/>
                    <w:snapToGrid w:val="0"/>
                    <w:spacing w:before="0" w:after="0" w:line="360" w:lineRule="exact"/>
                    <w:rPr>
                      <w:szCs w:val="21"/>
                      <w:highlight w:val="none"/>
                    </w:rPr>
                  </w:pPr>
                  <w:r>
                    <w:rPr>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kern w:val="24"/>
                      <w:szCs w:val="21"/>
                      <w:highlight w:val="none"/>
                    </w:rPr>
                  </w:pPr>
                  <w:r>
                    <w:rPr>
                      <w:rFonts w:hint="eastAsia"/>
                      <w:kern w:val="24"/>
                      <w:szCs w:val="21"/>
                      <w:highlight w:val="none"/>
                    </w:rPr>
                    <w:t>油炸间</w:t>
                  </w:r>
                </w:p>
              </w:tc>
              <w:tc>
                <w:tcPr>
                  <w:tcW w:w="1377" w:type="dxa"/>
                  <w:vAlign w:val="center"/>
                </w:tcPr>
                <w:p>
                  <w:pPr>
                    <w:spacing w:line="360" w:lineRule="exact"/>
                    <w:jc w:val="center"/>
                    <w:rPr>
                      <w:rFonts w:hint="eastAsia"/>
                      <w:szCs w:val="21"/>
                      <w:highlight w:val="none"/>
                    </w:rPr>
                  </w:pPr>
                  <w:r>
                    <w:rPr>
                      <w:rFonts w:hint="eastAsia"/>
                      <w:szCs w:val="21"/>
                      <w:highlight w:val="none"/>
                    </w:rPr>
                    <w:t>61.2</w:t>
                  </w:r>
                </w:p>
              </w:tc>
              <w:tc>
                <w:tcPr>
                  <w:tcW w:w="955" w:type="dxa"/>
                  <w:vAlign w:val="center"/>
                </w:tcPr>
                <w:p>
                  <w:pPr>
                    <w:pStyle w:val="37"/>
                    <w:spacing w:line="360" w:lineRule="exact"/>
                    <w:ind w:firstLine="0"/>
                    <w:jc w:val="center"/>
                    <w:rPr>
                      <w:rFonts w:hint="eastAsia"/>
                      <w:sz w:val="21"/>
                      <w:szCs w:val="21"/>
                      <w:highlight w:val="none"/>
                    </w:rPr>
                  </w:pPr>
                  <w:r>
                    <w:rPr>
                      <w:rFonts w:hint="eastAsia"/>
                      <w:sz w:val="21"/>
                      <w:szCs w:val="21"/>
                      <w:highlight w:val="none"/>
                    </w:rPr>
                    <w:t>7</w:t>
                  </w:r>
                </w:p>
              </w:tc>
              <w:tc>
                <w:tcPr>
                  <w:tcW w:w="845" w:type="dxa"/>
                  <w:vAlign w:val="center"/>
                </w:tcPr>
                <w:p>
                  <w:pPr>
                    <w:widowControl/>
                    <w:jc w:val="center"/>
                    <w:textAlignment w:val="center"/>
                    <w:rPr>
                      <w:rFonts w:hint="eastAsia"/>
                      <w:szCs w:val="21"/>
                      <w:highlight w:val="none"/>
                    </w:rPr>
                  </w:pPr>
                  <w:r>
                    <w:rPr>
                      <w:rFonts w:hint="eastAsia"/>
                      <w:szCs w:val="21"/>
                      <w:highlight w:val="none"/>
                    </w:rPr>
                    <w:t>58.5</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kern w:val="24"/>
                      <w:szCs w:val="21"/>
                      <w:highlight w:val="none"/>
                    </w:rPr>
                  </w:pPr>
                  <w:r>
                    <w:rPr>
                      <w:rFonts w:hint="eastAsia"/>
                      <w:kern w:val="24"/>
                      <w:szCs w:val="21"/>
                      <w:highlight w:val="none"/>
                    </w:rPr>
                    <w:t>包装间</w:t>
                  </w:r>
                </w:p>
              </w:tc>
              <w:tc>
                <w:tcPr>
                  <w:tcW w:w="1377" w:type="dxa"/>
                  <w:vAlign w:val="center"/>
                </w:tcPr>
                <w:p>
                  <w:pPr>
                    <w:spacing w:line="360" w:lineRule="exact"/>
                    <w:jc w:val="center"/>
                    <w:rPr>
                      <w:szCs w:val="21"/>
                      <w:highlight w:val="none"/>
                    </w:rPr>
                  </w:pPr>
                  <w:r>
                    <w:rPr>
                      <w:rFonts w:hint="eastAsia"/>
                      <w:szCs w:val="21"/>
                      <w:highlight w:val="none"/>
                    </w:rPr>
                    <w:t>60</w:t>
                  </w:r>
                </w:p>
              </w:tc>
              <w:tc>
                <w:tcPr>
                  <w:tcW w:w="955" w:type="dxa"/>
                  <w:vAlign w:val="center"/>
                </w:tcPr>
                <w:p>
                  <w:pPr>
                    <w:pStyle w:val="37"/>
                    <w:spacing w:line="360" w:lineRule="exact"/>
                    <w:ind w:firstLine="0"/>
                    <w:jc w:val="center"/>
                    <w:rPr>
                      <w:rFonts w:hint="eastAsia"/>
                      <w:sz w:val="21"/>
                      <w:szCs w:val="21"/>
                      <w:highlight w:val="none"/>
                    </w:rPr>
                  </w:pPr>
                  <w:r>
                    <w:rPr>
                      <w:rFonts w:hint="eastAsia"/>
                      <w:sz w:val="21"/>
                      <w:szCs w:val="21"/>
                      <w:highlight w:val="none"/>
                    </w:rPr>
                    <w:t>7</w:t>
                  </w:r>
                </w:p>
              </w:tc>
              <w:tc>
                <w:tcPr>
                  <w:tcW w:w="845" w:type="dxa"/>
                  <w:vAlign w:val="center"/>
                </w:tcPr>
                <w:p>
                  <w:pPr>
                    <w:widowControl/>
                    <w:jc w:val="center"/>
                    <w:textAlignment w:val="center"/>
                    <w:rPr>
                      <w:rFonts w:hint="eastAsia"/>
                      <w:color w:val="000000"/>
                      <w:kern w:val="0"/>
                      <w:szCs w:val="21"/>
                      <w:highlight w:val="none"/>
                      <w:lang w:bidi="ar"/>
                    </w:rPr>
                  </w:pPr>
                  <w:r>
                    <w:rPr>
                      <w:rFonts w:hint="eastAsia"/>
                      <w:color w:val="000000"/>
                      <w:kern w:val="0"/>
                      <w:szCs w:val="21"/>
                      <w:highlight w:val="none"/>
                      <w:lang w:bidi="ar"/>
                    </w:rPr>
                    <w:t>56.4</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rFonts w:hint="eastAsia"/>
                      <w:kern w:val="24"/>
                      <w:szCs w:val="21"/>
                      <w:highlight w:val="none"/>
                    </w:rPr>
                  </w:pPr>
                  <w:r>
                    <w:rPr>
                      <w:rFonts w:hint="eastAsia"/>
                      <w:kern w:val="24"/>
                      <w:szCs w:val="21"/>
                      <w:highlight w:val="none"/>
                    </w:rPr>
                    <w:t>拌面间</w:t>
                  </w:r>
                </w:p>
              </w:tc>
              <w:tc>
                <w:tcPr>
                  <w:tcW w:w="1377" w:type="dxa"/>
                  <w:vAlign w:val="center"/>
                </w:tcPr>
                <w:p>
                  <w:pPr>
                    <w:spacing w:line="360" w:lineRule="exact"/>
                    <w:jc w:val="center"/>
                    <w:rPr>
                      <w:rFonts w:hint="eastAsia"/>
                      <w:szCs w:val="21"/>
                      <w:highlight w:val="none"/>
                    </w:rPr>
                  </w:pPr>
                  <w:r>
                    <w:rPr>
                      <w:rFonts w:hint="eastAsia"/>
                      <w:szCs w:val="21"/>
                      <w:highlight w:val="none"/>
                    </w:rPr>
                    <w:t>20</w:t>
                  </w:r>
                </w:p>
              </w:tc>
              <w:tc>
                <w:tcPr>
                  <w:tcW w:w="955" w:type="dxa"/>
                  <w:vAlign w:val="center"/>
                </w:tcPr>
                <w:p>
                  <w:pPr>
                    <w:pStyle w:val="37"/>
                    <w:spacing w:line="360" w:lineRule="exact"/>
                    <w:ind w:firstLine="0"/>
                    <w:jc w:val="center"/>
                    <w:rPr>
                      <w:rFonts w:hint="eastAsia"/>
                      <w:sz w:val="21"/>
                      <w:szCs w:val="21"/>
                      <w:highlight w:val="none"/>
                    </w:rPr>
                  </w:pPr>
                  <w:r>
                    <w:rPr>
                      <w:rFonts w:hint="eastAsia"/>
                      <w:sz w:val="21"/>
                      <w:szCs w:val="21"/>
                      <w:highlight w:val="none"/>
                    </w:rPr>
                    <w:t>7</w:t>
                  </w:r>
                </w:p>
              </w:tc>
              <w:tc>
                <w:tcPr>
                  <w:tcW w:w="845" w:type="dxa"/>
                  <w:vAlign w:val="center"/>
                </w:tcPr>
                <w:p>
                  <w:pPr>
                    <w:widowControl/>
                    <w:jc w:val="center"/>
                    <w:textAlignment w:val="center"/>
                    <w:rPr>
                      <w:color w:val="000000"/>
                      <w:kern w:val="0"/>
                      <w:szCs w:val="21"/>
                      <w:highlight w:val="none"/>
                      <w:lang w:bidi="ar"/>
                    </w:rPr>
                  </w:pPr>
                  <w:r>
                    <w:rPr>
                      <w:rFonts w:hint="eastAsia"/>
                      <w:color w:val="000000"/>
                      <w:kern w:val="0"/>
                      <w:szCs w:val="21"/>
                      <w:highlight w:val="none"/>
                      <w:lang w:bidi="ar"/>
                    </w:rPr>
                    <w:t>45</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restart"/>
                  <w:vAlign w:val="center"/>
                </w:tcPr>
                <w:p>
                  <w:pPr>
                    <w:pStyle w:val="39"/>
                    <w:spacing w:before="0" w:after="0" w:line="360" w:lineRule="exact"/>
                    <w:rPr>
                      <w:szCs w:val="21"/>
                      <w:highlight w:val="none"/>
                    </w:rPr>
                  </w:pPr>
                  <w:r>
                    <w:rPr>
                      <w:szCs w:val="21"/>
                      <w:highlight w:val="none"/>
                    </w:rPr>
                    <w:t>北</w:t>
                  </w:r>
                </w:p>
              </w:tc>
              <w:tc>
                <w:tcPr>
                  <w:tcW w:w="1056" w:type="dxa"/>
                  <w:vAlign w:val="center"/>
                </w:tcPr>
                <w:p>
                  <w:pPr>
                    <w:spacing w:line="360" w:lineRule="exact"/>
                    <w:jc w:val="center"/>
                    <w:rPr>
                      <w:kern w:val="24"/>
                      <w:szCs w:val="21"/>
                      <w:highlight w:val="none"/>
                    </w:rPr>
                  </w:pPr>
                  <w:r>
                    <w:rPr>
                      <w:rFonts w:hint="eastAsia"/>
                      <w:kern w:val="24"/>
                      <w:szCs w:val="21"/>
                      <w:highlight w:val="none"/>
                    </w:rPr>
                    <w:t>膨化间</w:t>
                  </w:r>
                </w:p>
              </w:tc>
              <w:tc>
                <w:tcPr>
                  <w:tcW w:w="1377" w:type="dxa"/>
                  <w:vAlign w:val="center"/>
                </w:tcPr>
                <w:p>
                  <w:pPr>
                    <w:spacing w:line="360" w:lineRule="exact"/>
                    <w:jc w:val="center"/>
                    <w:rPr>
                      <w:szCs w:val="21"/>
                      <w:highlight w:val="none"/>
                    </w:rPr>
                  </w:pPr>
                  <w:r>
                    <w:rPr>
                      <w:rFonts w:hint="eastAsia"/>
                      <w:szCs w:val="21"/>
                      <w:highlight w:val="none"/>
                    </w:rPr>
                    <w:t>65</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96.5</w:t>
                  </w:r>
                </w:p>
              </w:tc>
              <w:tc>
                <w:tcPr>
                  <w:tcW w:w="845" w:type="dxa"/>
                  <w:vAlign w:val="center"/>
                </w:tcPr>
                <w:p>
                  <w:pPr>
                    <w:widowControl/>
                    <w:jc w:val="center"/>
                    <w:textAlignment w:val="center"/>
                    <w:rPr>
                      <w:rFonts w:hint="eastAsia"/>
                      <w:szCs w:val="21"/>
                      <w:highlight w:val="none"/>
                    </w:rPr>
                  </w:pPr>
                  <w:r>
                    <w:rPr>
                      <w:rFonts w:hint="eastAsia"/>
                      <w:szCs w:val="21"/>
                      <w:highlight w:val="none"/>
                    </w:rPr>
                    <w:t>20.4</w:t>
                  </w:r>
                </w:p>
              </w:tc>
              <w:tc>
                <w:tcPr>
                  <w:tcW w:w="1009" w:type="dxa"/>
                  <w:vMerge w:val="restart"/>
                  <w:vAlign w:val="center"/>
                </w:tcPr>
                <w:p>
                  <w:pPr>
                    <w:widowControl/>
                    <w:jc w:val="center"/>
                    <w:textAlignment w:val="center"/>
                    <w:rPr>
                      <w:szCs w:val="21"/>
                      <w:highlight w:val="none"/>
                    </w:rPr>
                  </w:pPr>
                  <w:r>
                    <w:rPr>
                      <w:color w:val="000000"/>
                      <w:kern w:val="0"/>
                      <w:szCs w:val="21"/>
                      <w:highlight w:val="none"/>
                      <w:lang w:bidi="ar"/>
                    </w:rPr>
                    <w:t>/</w:t>
                  </w:r>
                </w:p>
              </w:tc>
              <w:tc>
                <w:tcPr>
                  <w:tcW w:w="1241" w:type="dxa"/>
                  <w:vMerge w:val="restart"/>
                  <w:vAlign w:val="center"/>
                </w:tcPr>
                <w:p>
                  <w:pPr>
                    <w:widowControl/>
                    <w:jc w:val="center"/>
                    <w:textAlignment w:val="center"/>
                    <w:rPr>
                      <w:rFonts w:hint="eastAsia"/>
                      <w:szCs w:val="21"/>
                      <w:highlight w:val="none"/>
                    </w:rPr>
                  </w:pPr>
                  <w:r>
                    <w:rPr>
                      <w:rFonts w:hint="eastAsia"/>
                      <w:color w:val="000000"/>
                      <w:kern w:val="0"/>
                      <w:szCs w:val="21"/>
                      <w:highlight w:val="none"/>
                      <w:lang w:bidi="ar"/>
                    </w:rPr>
                    <w:t>33.88</w:t>
                  </w:r>
                </w:p>
              </w:tc>
              <w:tc>
                <w:tcPr>
                  <w:tcW w:w="873" w:type="dxa"/>
                  <w:vMerge w:val="restart"/>
                  <w:vAlign w:val="center"/>
                </w:tcPr>
                <w:p>
                  <w:pPr>
                    <w:pStyle w:val="39"/>
                    <w:snapToGrid w:val="0"/>
                    <w:spacing w:before="0" w:after="0" w:line="360" w:lineRule="exact"/>
                    <w:rPr>
                      <w:szCs w:val="21"/>
                      <w:highlight w:val="none"/>
                    </w:rPr>
                  </w:pPr>
                  <w:r>
                    <w:rPr>
                      <w:szCs w:val="21"/>
                      <w:highlight w:val="none"/>
                    </w:rPr>
                    <w:t>6</w:t>
                  </w:r>
                  <w:r>
                    <w:rPr>
                      <w:rFonts w:hint="eastAsia"/>
                      <w:szCs w:val="21"/>
                      <w:highlight w:val="none"/>
                    </w:rPr>
                    <w:t>0</w:t>
                  </w:r>
                </w:p>
              </w:tc>
              <w:tc>
                <w:tcPr>
                  <w:tcW w:w="1003" w:type="dxa"/>
                  <w:vMerge w:val="restart"/>
                  <w:vAlign w:val="center"/>
                </w:tcPr>
                <w:p>
                  <w:pPr>
                    <w:pStyle w:val="39"/>
                    <w:snapToGrid w:val="0"/>
                    <w:spacing w:before="0" w:after="0" w:line="360" w:lineRule="exact"/>
                    <w:rPr>
                      <w:szCs w:val="21"/>
                      <w:highlight w:val="none"/>
                    </w:rPr>
                  </w:pPr>
                  <w:r>
                    <w:rPr>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kern w:val="24"/>
                      <w:szCs w:val="21"/>
                      <w:highlight w:val="none"/>
                    </w:rPr>
                  </w:pPr>
                  <w:r>
                    <w:rPr>
                      <w:rFonts w:hint="eastAsia"/>
                      <w:kern w:val="24"/>
                      <w:szCs w:val="21"/>
                      <w:highlight w:val="none"/>
                    </w:rPr>
                    <w:t>油炸间</w:t>
                  </w:r>
                </w:p>
              </w:tc>
              <w:tc>
                <w:tcPr>
                  <w:tcW w:w="1377" w:type="dxa"/>
                  <w:vAlign w:val="center"/>
                </w:tcPr>
                <w:p>
                  <w:pPr>
                    <w:spacing w:line="360" w:lineRule="exact"/>
                    <w:jc w:val="center"/>
                    <w:rPr>
                      <w:szCs w:val="21"/>
                      <w:highlight w:val="none"/>
                    </w:rPr>
                  </w:pPr>
                  <w:r>
                    <w:rPr>
                      <w:rFonts w:hint="eastAsia"/>
                      <w:szCs w:val="21"/>
                      <w:highlight w:val="none"/>
                    </w:rPr>
                    <w:t>67.1</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66.5</w:t>
                  </w:r>
                </w:p>
              </w:tc>
              <w:tc>
                <w:tcPr>
                  <w:tcW w:w="845" w:type="dxa"/>
                  <w:vAlign w:val="center"/>
                </w:tcPr>
                <w:p>
                  <w:pPr>
                    <w:widowControl/>
                    <w:jc w:val="center"/>
                    <w:textAlignment w:val="center"/>
                    <w:rPr>
                      <w:rFonts w:hint="eastAsia"/>
                      <w:szCs w:val="21"/>
                      <w:highlight w:val="none"/>
                    </w:rPr>
                  </w:pPr>
                  <w:r>
                    <w:rPr>
                      <w:rFonts w:hint="eastAsia"/>
                      <w:szCs w:val="21"/>
                      <w:highlight w:val="none"/>
                    </w:rPr>
                    <w:t>31.1</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kern w:val="24"/>
                      <w:szCs w:val="21"/>
                      <w:highlight w:val="none"/>
                    </w:rPr>
                  </w:pPr>
                  <w:r>
                    <w:rPr>
                      <w:rFonts w:hint="eastAsia"/>
                      <w:kern w:val="24"/>
                      <w:szCs w:val="21"/>
                      <w:highlight w:val="none"/>
                    </w:rPr>
                    <w:t>包装间</w:t>
                  </w:r>
                </w:p>
              </w:tc>
              <w:tc>
                <w:tcPr>
                  <w:tcW w:w="1377" w:type="dxa"/>
                  <w:vAlign w:val="center"/>
                </w:tcPr>
                <w:p>
                  <w:pPr>
                    <w:spacing w:line="360" w:lineRule="exact"/>
                    <w:jc w:val="center"/>
                    <w:rPr>
                      <w:szCs w:val="21"/>
                      <w:highlight w:val="none"/>
                    </w:rPr>
                  </w:pPr>
                  <w:r>
                    <w:rPr>
                      <w:rFonts w:hint="eastAsia"/>
                      <w:szCs w:val="21"/>
                      <w:highlight w:val="none"/>
                    </w:rPr>
                    <w:t>60</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36.5</w:t>
                  </w:r>
                </w:p>
              </w:tc>
              <w:tc>
                <w:tcPr>
                  <w:tcW w:w="845" w:type="dxa"/>
                  <w:vAlign w:val="center"/>
                </w:tcPr>
                <w:p>
                  <w:pPr>
                    <w:widowControl/>
                    <w:jc w:val="center"/>
                    <w:textAlignment w:val="center"/>
                    <w:rPr>
                      <w:rFonts w:hint="eastAsia"/>
                      <w:color w:val="000000"/>
                      <w:kern w:val="0"/>
                      <w:szCs w:val="21"/>
                      <w:highlight w:val="none"/>
                      <w:lang w:bidi="ar"/>
                    </w:rPr>
                  </w:pPr>
                  <w:r>
                    <w:rPr>
                      <w:rFonts w:hint="eastAsia"/>
                      <w:color w:val="000000"/>
                      <w:kern w:val="0"/>
                      <w:szCs w:val="21"/>
                      <w:highlight w:val="none"/>
                      <w:lang w:bidi="ar"/>
                    </w:rPr>
                    <w:t>41.0</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3" w:hRule="atLeast"/>
                <w:jc w:val="center"/>
              </w:trPr>
              <w:tc>
                <w:tcPr>
                  <w:tcW w:w="681" w:type="dxa"/>
                  <w:vMerge w:val="continue"/>
                  <w:vAlign w:val="center"/>
                </w:tcPr>
                <w:p>
                  <w:pPr>
                    <w:pStyle w:val="39"/>
                    <w:spacing w:before="0" w:after="0" w:line="360" w:lineRule="exact"/>
                    <w:rPr>
                      <w:szCs w:val="21"/>
                      <w:highlight w:val="none"/>
                    </w:rPr>
                  </w:pPr>
                </w:p>
              </w:tc>
              <w:tc>
                <w:tcPr>
                  <w:tcW w:w="1056" w:type="dxa"/>
                  <w:vAlign w:val="center"/>
                </w:tcPr>
                <w:p>
                  <w:pPr>
                    <w:spacing w:line="360" w:lineRule="exact"/>
                    <w:jc w:val="center"/>
                    <w:rPr>
                      <w:rFonts w:hint="eastAsia"/>
                      <w:kern w:val="24"/>
                      <w:szCs w:val="21"/>
                      <w:highlight w:val="none"/>
                    </w:rPr>
                  </w:pPr>
                  <w:r>
                    <w:rPr>
                      <w:rFonts w:hint="eastAsia"/>
                      <w:kern w:val="24"/>
                      <w:szCs w:val="21"/>
                      <w:highlight w:val="none"/>
                    </w:rPr>
                    <w:t>拌面间</w:t>
                  </w:r>
                </w:p>
              </w:tc>
              <w:tc>
                <w:tcPr>
                  <w:tcW w:w="1377" w:type="dxa"/>
                  <w:vAlign w:val="center"/>
                </w:tcPr>
                <w:p>
                  <w:pPr>
                    <w:spacing w:line="360" w:lineRule="exact"/>
                    <w:jc w:val="center"/>
                    <w:rPr>
                      <w:rFonts w:hint="eastAsia"/>
                      <w:szCs w:val="21"/>
                      <w:highlight w:val="none"/>
                    </w:rPr>
                  </w:pPr>
                  <w:r>
                    <w:rPr>
                      <w:rFonts w:hint="eastAsia"/>
                      <w:szCs w:val="21"/>
                      <w:highlight w:val="none"/>
                    </w:rPr>
                    <w:t>65</w:t>
                  </w:r>
                </w:p>
              </w:tc>
              <w:tc>
                <w:tcPr>
                  <w:tcW w:w="955" w:type="dxa"/>
                  <w:vAlign w:val="center"/>
                </w:tcPr>
                <w:p>
                  <w:pPr>
                    <w:pStyle w:val="37"/>
                    <w:spacing w:line="360" w:lineRule="exact"/>
                    <w:ind w:firstLine="0"/>
                    <w:jc w:val="center"/>
                    <w:rPr>
                      <w:sz w:val="21"/>
                      <w:szCs w:val="21"/>
                      <w:highlight w:val="none"/>
                    </w:rPr>
                  </w:pPr>
                  <w:r>
                    <w:rPr>
                      <w:rFonts w:hint="eastAsia"/>
                      <w:sz w:val="21"/>
                      <w:szCs w:val="21"/>
                      <w:highlight w:val="none"/>
                    </w:rPr>
                    <w:t>126.5</w:t>
                  </w:r>
                </w:p>
              </w:tc>
              <w:tc>
                <w:tcPr>
                  <w:tcW w:w="845" w:type="dxa"/>
                  <w:vAlign w:val="center"/>
                </w:tcPr>
                <w:p>
                  <w:pPr>
                    <w:widowControl/>
                    <w:jc w:val="center"/>
                    <w:textAlignment w:val="center"/>
                    <w:rPr>
                      <w:color w:val="000000"/>
                      <w:kern w:val="0"/>
                      <w:szCs w:val="21"/>
                      <w:highlight w:val="none"/>
                      <w:lang w:bidi="ar"/>
                    </w:rPr>
                  </w:pPr>
                  <w:r>
                    <w:rPr>
                      <w:rFonts w:hint="eastAsia"/>
                      <w:color w:val="000000"/>
                      <w:kern w:val="0"/>
                      <w:szCs w:val="21"/>
                      <w:highlight w:val="none"/>
                      <w:lang w:bidi="ar"/>
                    </w:rPr>
                    <w:t>20.4</w:t>
                  </w:r>
                </w:p>
              </w:tc>
              <w:tc>
                <w:tcPr>
                  <w:tcW w:w="1009" w:type="dxa"/>
                  <w:vMerge w:val="continue"/>
                  <w:vAlign w:val="center"/>
                </w:tcPr>
                <w:p>
                  <w:pPr>
                    <w:jc w:val="center"/>
                    <w:rPr>
                      <w:szCs w:val="21"/>
                      <w:highlight w:val="none"/>
                    </w:rPr>
                  </w:pPr>
                </w:p>
              </w:tc>
              <w:tc>
                <w:tcPr>
                  <w:tcW w:w="1241" w:type="dxa"/>
                  <w:vMerge w:val="continue"/>
                  <w:vAlign w:val="center"/>
                </w:tcPr>
                <w:p>
                  <w:pPr>
                    <w:pStyle w:val="39"/>
                    <w:snapToGrid w:val="0"/>
                    <w:spacing w:before="0" w:after="0" w:line="360" w:lineRule="exact"/>
                    <w:rPr>
                      <w:szCs w:val="21"/>
                      <w:highlight w:val="none"/>
                    </w:rPr>
                  </w:pPr>
                </w:p>
              </w:tc>
              <w:tc>
                <w:tcPr>
                  <w:tcW w:w="873" w:type="dxa"/>
                  <w:vMerge w:val="continue"/>
                  <w:vAlign w:val="center"/>
                </w:tcPr>
                <w:p>
                  <w:pPr>
                    <w:pStyle w:val="39"/>
                    <w:snapToGrid w:val="0"/>
                    <w:spacing w:before="0" w:after="0" w:line="360" w:lineRule="exact"/>
                    <w:rPr>
                      <w:szCs w:val="21"/>
                      <w:highlight w:val="none"/>
                    </w:rPr>
                  </w:pPr>
                </w:p>
              </w:tc>
              <w:tc>
                <w:tcPr>
                  <w:tcW w:w="1003" w:type="dxa"/>
                  <w:vMerge w:val="continue"/>
                  <w:vAlign w:val="center"/>
                </w:tcPr>
                <w:p>
                  <w:pPr>
                    <w:pStyle w:val="39"/>
                    <w:snapToGrid w:val="0"/>
                    <w:spacing w:before="0" w:after="0" w:line="360" w:lineRule="exact"/>
                    <w:rPr>
                      <w:szCs w:val="21"/>
                      <w:highlight w:val="none"/>
                    </w:rPr>
                  </w:pPr>
                </w:p>
              </w:tc>
            </w:tr>
          </w:tbl>
          <w:p>
            <w:pPr>
              <w:spacing w:line="520" w:lineRule="exact"/>
              <w:ind w:firstLine="480" w:firstLineChars="200"/>
              <w:rPr>
                <w:sz w:val="24"/>
                <w:highlight w:val="none"/>
              </w:rPr>
            </w:pPr>
            <w:r>
              <w:rPr>
                <w:sz w:val="24"/>
                <w:highlight w:val="none"/>
              </w:rPr>
              <w:t>由上表可知，项目</w:t>
            </w:r>
            <w:r>
              <w:rPr>
                <w:rFonts w:hint="eastAsia"/>
                <w:sz w:val="24"/>
                <w:highlight w:val="none"/>
              </w:rPr>
              <w:t>运营期</w:t>
            </w:r>
            <w:r>
              <w:rPr>
                <w:sz w:val="24"/>
                <w:highlight w:val="none"/>
              </w:rPr>
              <w:t>厂界噪声</w:t>
            </w:r>
            <w:r>
              <w:rPr>
                <w:rFonts w:hint="eastAsia"/>
                <w:sz w:val="24"/>
                <w:highlight w:val="none"/>
              </w:rPr>
              <w:t>贡献</w:t>
            </w:r>
            <w:r>
              <w:rPr>
                <w:sz w:val="24"/>
                <w:highlight w:val="none"/>
              </w:rPr>
              <w:t>值均可达到《工业企业厂界环境噪声排放标准》（GB12348-2008）</w:t>
            </w:r>
            <w:r>
              <w:rPr>
                <w:rFonts w:hint="eastAsia"/>
                <w:sz w:val="24"/>
                <w:highlight w:val="none"/>
              </w:rPr>
              <w:t>2</w:t>
            </w:r>
            <w:r>
              <w:rPr>
                <w:sz w:val="24"/>
                <w:highlight w:val="none"/>
              </w:rPr>
              <w:t>类标准（昼间6</w:t>
            </w:r>
            <w:r>
              <w:rPr>
                <w:rFonts w:hint="eastAsia"/>
                <w:sz w:val="24"/>
                <w:highlight w:val="none"/>
              </w:rPr>
              <w:t>0</w:t>
            </w:r>
            <w:r>
              <w:rPr>
                <w:sz w:val="24"/>
                <w:highlight w:val="none"/>
              </w:rPr>
              <w:t>dB(A)）。</w:t>
            </w:r>
          </w:p>
          <w:p>
            <w:pPr>
              <w:spacing w:line="520" w:lineRule="exact"/>
              <w:ind w:firstLine="480" w:firstLineChars="200"/>
              <w:rPr>
                <w:sz w:val="24"/>
                <w:highlight w:val="none"/>
              </w:rPr>
            </w:pPr>
            <w:r>
              <w:rPr>
                <w:sz w:val="24"/>
                <w:highlight w:val="none"/>
              </w:rPr>
              <w:t>为进一步减轻</w:t>
            </w:r>
            <w:r>
              <w:rPr>
                <w:rFonts w:hint="eastAsia"/>
                <w:sz w:val="24"/>
                <w:highlight w:val="none"/>
              </w:rPr>
              <w:t>运营期</w:t>
            </w:r>
            <w:r>
              <w:rPr>
                <w:sz w:val="24"/>
                <w:highlight w:val="none"/>
              </w:rPr>
              <w:t>噪声对周围环境影响，</w:t>
            </w:r>
            <w:r>
              <w:rPr>
                <w:rFonts w:hint="eastAsia"/>
                <w:sz w:val="24"/>
                <w:highlight w:val="none"/>
              </w:rPr>
              <w:t>要求</w:t>
            </w:r>
            <w:r>
              <w:rPr>
                <w:sz w:val="24"/>
                <w:highlight w:val="none"/>
              </w:rPr>
              <w:t>建设单位采用如下措施控制噪声：</w:t>
            </w:r>
          </w:p>
          <w:p>
            <w:pPr>
              <w:spacing w:line="520" w:lineRule="exact"/>
              <w:ind w:firstLine="480" w:firstLineChars="200"/>
              <w:rPr>
                <w:sz w:val="24"/>
                <w:highlight w:val="none"/>
              </w:rPr>
            </w:pPr>
            <w:r>
              <w:rPr>
                <w:sz w:val="24"/>
                <w:highlight w:val="none"/>
              </w:rPr>
              <w:t>（1</w:t>
            </w:r>
            <w:r>
              <w:rPr>
                <w:rFonts w:hint="eastAsia"/>
                <w:sz w:val="24"/>
                <w:highlight w:val="none"/>
              </w:rPr>
              <w:t>）</w:t>
            </w:r>
            <w:r>
              <w:rPr>
                <w:sz w:val="24"/>
                <w:highlight w:val="none"/>
              </w:rPr>
              <w:t>加强设备的维修、维护使其正常运转；</w:t>
            </w:r>
          </w:p>
          <w:p>
            <w:pPr>
              <w:spacing w:line="520" w:lineRule="exact"/>
              <w:ind w:firstLine="480" w:firstLineChars="200"/>
              <w:rPr>
                <w:sz w:val="24"/>
                <w:highlight w:val="none"/>
              </w:rPr>
            </w:pPr>
            <w:r>
              <w:rPr>
                <w:sz w:val="24"/>
                <w:highlight w:val="none"/>
              </w:rPr>
              <w:t>（2）合理布局加工设备，高、低噪声设备间隔布置，尽可能将设备布置在车间的中央位置；同时加工时尽量在车间内进行，充分利用墙壁的隔声作用，以减轻各类声源对周围环境敏感点的噪声影响；</w:t>
            </w:r>
          </w:p>
          <w:p>
            <w:pPr>
              <w:spacing w:line="520" w:lineRule="exact"/>
              <w:ind w:firstLine="480" w:firstLineChars="200"/>
              <w:rPr>
                <w:sz w:val="24"/>
                <w:highlight w:val="none"/>
              </w:rPr>
            </w:pPr>
            <w:r>
              <w:rPr>
                <w:sz w:val="24"/>
                <w:highlight w:val="none"/>
              </w:rPr>
              <w:t>（3）加强生产管理，教育员工文明生产，减少人为因素造成的噪声，合理安排生产，提高工作效率，减少设备运行时间，以减轻对环境的影响。</w:t>
            </w:r>
          </w:p>
          <w:p>
            <w:pPr>
              <w:spacing w:line="520" w:lineRule="exact"/>
              <w:ind w:firstLine="482" w:firstLineChars="200"/>
              <w:rPr>
                <w:b/>
                <w:color w:val="000000"/>
                <w:sz w:val="24"/>
                <w:highlight w:val="none"/>
              </w:rPr>
            </w:pPr>
            <w:r>
              <w:rPr>
                <w:b/>
                <w:color w:val="000000"/>
                <w:sz w:val="24"/>
                <w:highlight w:val="none"/>
              </w:rPr>
              <w:t>4、固体废物环境影响分析</w:t>
            </w:r>
          </w:p>
          <w:p>
            <w:pPr>
              <w:spacing w:line="520" w:lineRule="exact"/>
              <w:ind w:firstLine="482" w:firstLineChars="200"/>
              <w:rPr>
                <w:rFonts w:hint="eastAsia"/>
                <w:b/>
                <w:color w:val="000000"/>
                <w:sz w:val="24"/>
                <w:highlight w:val="none"/>
              </w:rPr>
            </w:pPr>
            <w:r>
              <w:rPr>
                <w:b/>
                <w:color w:val="000000"/>
                <w:sz w:val="24"/>
                <w:highlight w:val="none"/>
              </w:rPr>
              <w:t>4.1</w:t>
            </w:r>
            <w:r>
              <w:rPr>
                <w:rFonts w:hint="eastAsia"/>
                <w:b/>
                <w:color w:val="000000"/>
                <w:sz w:val="24"/>
                <w:highlight w:val="none"/>
              </w:rPr>
              <w:t>包装废料</w:t>
            </w:r>
          </w:p>
          <w:p>
            <w:pPr>
              <w:spacing w:line="520" w:lineRule="exact"/>
              <w:ind w:firstLine="480" w:firstLineChars="200"/>
              <w:rPr>
                <w:rFonts w:hint="eastAsia"/>
                <w:sz w:val="24"/>
                <w:highlight w:val="none"/>
              </w:rPr>
            </w:pPr>
            <w:r>
              <w:rPr>
                <w:rFonts w:hint="eastAsia"/>
                <w:sz w:val="24"/>
                <w:highlight w:val="none"/>
                <w:lang w:val="fr-FR"/>
              </w:rPr>
              <w:t>本项目包装废料主要包括原料包装废料和产品包装废料，产生量共计</w:t>
            </w:r>
            <w:r>
              <w:rPr>
                <w:rFonts w:hint="eastAsia"/>
                <w:sz w:val="24"/>
                <w:highlight w:val="none"/>
              </w:rPr>
              <w:t>8t/a，主要成分为塑料和纸，评价要求：集中收集厂区固废临时堆场，定期外售废品回收站综合利用。</w:t>
            </w:r>
          </w:p>
          <w:p>
            <w:pPr>
              <w:spacing w:line="520" w:lineRule="exact"/>
              <w:ind w:firstLine="482" w:firstLineChars="200"/>
              <w:rPr>
                <w:rFonts w:hint="eastAsia"/>
                <w:b/>
                <w:bCs/>
                <w:sz w:val="24"/>
                <w:highlight w:val="none"/>
              </w:rPr>
            </w:pPr>
            <w:r>
              <w:rPr>
                <w:b/>
                <w:bCs/>
                <w:sz w:val="24"/>
                <w:highlight w:val="none"/>
              </w:rPr>
              <w:t>4.2</w:t>
            </w:r>
            <w:r>
              <w:rPr>
                <w:rFonts w:hint="eastAsia"/>
                <w:b/>
                <w:bCs/>
                <w:sz w:val="24"/>
                <w:highlight w:val="none"/>
              </w:rPr>
              <w:t>废油和废油渣</w:t>
            </w:r>
          </w:p>
          <w:p>
            <w:pPr>
              <w:spacing w:line="520" w:lineRule="exact"/>
              <w:ind w:firstLine="480" w:firstLineChars="200"/>
              <w:rPr>
                <w:rFonts w:hint="eastAsia"/>
                <w:sz w:val="24"/>
                <w:highlight w:val="none"/>
              </w:rPr>
            </w:pPr>
            <w:r>
              <w:rPr>
                <w:rFonts w:hint="eastAsia"/>
                <w:sz w:val="24"/>
                <w:highlight w:val="none"/>
                <w:lang w:val="fr-FR"/>
              </w:rPr>
              <w:fldChar w:fldCharType="begin"/>
            </w:r>
            <w:r>
              <w:rPr>
                <w:rFonts w:hint="eastAsia"/>
                <w:sz w:val="24"/>
                <w:highlight w:val="none"/>
                <w:lang w:val="fr-FR"/>
              </w:rPr>
              <w:instrText xml:space="preserve"> = 1 \* GB3 \* MERGEFORMAT </w:instrText>
            </w:r>
            <w:r>
              <w:rPr>
                <w:rFonts w:hint="eastAsia"/>
                <w:sz w:val="24"/>
                <w:highlight w:val="none"/>
                <w:lang w:val="fr-FR"/>
              </w:rPr>
              <w:fldChar w:fldCharType="separate"/>
            </w:r>
            <w:r>
              <w:rPr>
                <w:rFonts w:hint="eastAsia"/>
                <w:sz w:val="24"/>
                <w:highlight w:val="none"/>
                <w:lang w:val="fr-FR"/>
              </w:rPr>
              <w:t>①</w:t>
            </w:r>
            <w:r>
              <w:rPr>
                <w:rFonts w:hint="eastAsia"/>
                <w:sz w:val="24"/>
                <w:highlight w:val="none"/>
                <w:lang w:val="fr-FR"/>
              </w:rPr>
              <w:fldChar w:fldCharType="end"/>
            </w:r>
            <w:r>
              <w:rPr>
                <w:rFonts w:hint="eastAsia"/>
                <w:sz w:val="24"/>
                <w:highlight w:val="none"/>
                <w:lang w:val="fr-FR"/>
              </w:rPr>
              <w:t>废油：油炸过程产生的废油为废植物油，产生量为</w:t>
            </w:r>
            <w:r>
              <w:rPr>
                <w:rFonts w:hint="eastAsia"/>
                <w:sz w:val="24"/>
                <w:highlight w:val="none"/>
              </w:rPr>
              <w:t>24t/a。经查阅《国家危险废物名录》，项目油炸工段产生的废油和废油渣不属于危险废物。评价要求：废油设专用容器进行盛装，必须定期交由废油脂处置的单位集中处理，不得擅自倾倒或排入下水管道。</w:t>
            </w:r>
          </w:p>
          <w:p>
            <w:pPr>
              <w:spacing w:line="520" w:lineRule="exact"/>
              <w:ind w:firstLine="480" w:firstLineChars="200"/>
              <w:rPr>
                <w:rFonts w:hint="eastAsia"/>
                <w:sz w:val="24"/>
                <w:highlight w:val="none"/>
              </w:rPr>
            </w:pPr>
            <w:r>
              <w:rPr>
                <w:rFonts w:hint="eastAsia"/>
                <w:sz w:val="24"/>
                <w:highlight w:val="none"/>
              </w:rPr>
              <w:fldChar w:fldCharType="begin"/>
            </w:r>
            <w:r>
              <w:rPr>
                <w:rFonts w:hint="eastAsia"/>
                <w:sz w:val="24"/>
                <w:highlight w:val="none"/>
              </w:rPr>
              <w:instrText xml:space="preserve"> = 2 \* GB3 \* MERGEFORMAT </w:instrText>
            </w:r>
            <w:r>
              <w:rPr>
                <w:rFonts w:hint="eastAsia"/>
                <w:sz w:val="24"/>
                <w:highlight w:val="none"/>
              </w:rPr>
              <w:fldChar w:fldCharType="separate"/>
            </w:r>
            <w:r>
              <w:rPr>
                <w:rFonts w:hint="eastAsia"/>
                <w:sz w:val="24"/>
                <w:highlight w:val="none"/>
                <w:lang w:val="fr-FR"/>
              </w:rPr>
              <w:t>②</w:t>
            </w:r>
            <w:r>
              <w:rPr>
                <w:rFonts w:hint="eastAsia"/>
                <w:sz w:val="24"/>
                <w:highlight w:val="none"/>
              </w:rPr>
              <w:fldChar w:fldCharType="end"/>
            </w:r>
            <w:r>
              <w:rPr>
                <w:rFonts w:hint="eastAsia"/>
                <w:sz w:val="24"/>
                <w:highlight w:val="none"/>
              </w:rPr>
              <w:t>废油渣：本项目油炸工序过滤油炸（主要是废油渣），产生量为3t/a。评价要求：采用固定容器进行收集，外售给养殖场等生产单位作为饲料综合利用。</w:t>
            </w:r>
          </w:p>
          <w:p>
            <w:pPr>
              <w:spacing w:line="520" w:lineRule="exact"/>
              <w:ind w:firstLine="482" w:firstLineChars="200"/>
              <w:rPr>
                <w:rFonts w:hint="eastAsia"/>
                <w:b/>
                <w:bCs/>
                <w:sz w:val="24"/>
                <w:highlight w:val="none"/>
              </w:rPr>
            </w:pPr>
            <w:r>
              <w:rPr>
                <w:rFonts w:hint="eastAsia"/>
                <w:b/>
                <w:bCs/>
                <w:sz w:val="24"/>
                <w:highlight w:val="none"/>
              </w:rPr>
              <w:t>4.3职工生活垃圾</w:t>
            </w:r>
          </w:p>
          <w:p>
            <w:pPr>
              <w:spacing w:line="520" w:lineRule="exact"/>
              <w:ind w:firstLine="480" w:firstLineChars="200"/>
              <w:rPr>
                <w:rFonts w:hint="eastAsia"/>
                <w:sz w:val="24"/>
                <w:highlight w:val="none"/>
              </w:rPr>
            </w:pPr>
            <w:r>
              <w:rPr>
                <w:rFonts w:hint="eastAsia"/>
                <w:sz w:val="24"/>
                <w:highlight w:val="none"/>
              </w:rPr>
              <w:t>本项目生活垃圾产生量为</w:t>
            </w:r>
            <w:r>
              <w:rPr>
                <w:rFonts w:hint="eastAsia"/>
                <w:sz w:val="24"/>
                <w:highlight w:val="none"/>
                <w:lang w:eastAsia="zh-CN"/>
              </w:rPr>
              <w:t>4.02</w:t>
            </w:r>
            <w:r>
              <w:rPr>
                <w:sz w:val="24"/>
                <w:highlight w:val="none"/>
              </w:rPr>
              <w:t>t/</w:t>
            </w:r>
            <w:r>
              <w:rPr>
                <w:sz w:val="24"/>
              </w:rPr>
              <w:t>a</w:t>
            </w:r>
            <w:r>
              <w:rPr>
                <w:rFonts w:hint="eastAsia"/>
                <w:sz w:val="24"/>
                <w:highlight w:val="none"/>
              </w:rPr>
              <w:t>，主要成分为废纸和废塑料，评价要求：生产车间门口和办公区各设2个垃圾桶，用于职工生活垃圾的收集暂存，生活垃圾经集中收集后由环卫部门统一处理。</w:t>
            </w:r>
          </w:p>
          <w:p>
            <w:pPr>
              <w:keepNext/>
              <w:keepLines/>
              <w:spacing w:line="360" w:lineRule="auto"/>
              <w:ind w:firstLine="480" w:firstLineChars="200"/>
              <w:rPr>
                <w:rFonts w:hint="eastAsia"/>
                <w:highlight w:val="none"/>
              </w:rPr>
            </w:pPr>
            <w:r>
              <w:rPr>
                <w:rFonts w:hint="eastAsia"/>
                <w:sz w:val="24"/>
                <w:highlight w:val="none"/>
              </w:rPr>
              <w:t>此外，评价要求厂区内设置固定的固废临时贮存场，场所地面须坚固、耐腐、防渗，表面无缝隙，须有防晒、防风、防雨、防火、安全照明设施。综上所述，本项目建设完成后全厂营运期间产生的固体废物均得到合理处置，不会对周围环境造成二次污染。</w:t>
            </w:r>
          </w:p>
          <w:p>
            <w:pPr>
              <w:spacing w:line="560" w:lineRule="exact"/>
              <w:ind w:firstLine="482" w:firstLineChars="200"/>
              <w:rPr>
                <w:rFonts w:hint="eastAsia"/>
                <w:b/>
                <w:bCs/>
                <w:sz w:val="24"/>
                <w:highlight w:val="none"/>
              </w:rPr>
            </w:pPr>
            <w:bookmarkStart w:id="7" w:name="_Toc372375246"/>
            <w:r>
              <w:rPr>
                <w:rFonts w:hint="eastAsia"/>
                <w:b/>
                <w:bCs/>
                <w:sz w:val="24"/>
                <w:highlight w:val="none"/>
              </w:rPr>
              <w:t>5、环境风险分析</w:t>
            </w:r>
          </w:p>
          <w:p>
            <w:pPr>
              <w:spacing w:line="560" w:lineRule="exact"/>
              <w:ind w:firstLine="482" w:firstLineChars="200"/>
              <w:rPr>
                <w:rFonts w:hint="eastAsia"/>
                <w:b/>
                <w:bCs/>
                <w:sz w:val="24"/>
                <w:highlight w:val="none"/>
              </w:rPr>
            </w:pPr>
            <w:r>
              <w:rPr>
                <w:rFonts w:hint="eastAsia"/>
                <w:b/>
                <w:bCs/>
                <w:sz w:val="24"/>
                <w:highlight w:val="none"/>
              </w:rPr>
              <w:t>5.1风险识别</w:t>
            </w:r>
          </w:p>
          <w:p>
            <w:pPr>
              <w:spacing w:line="520" w:lineRule="exact"/>
              <w:ind w:firstLine="480" w:firstLineChars="200"/>
              <w:rPr>
                <w:rFonts w:hint="eastAsia"/>
                <w:sz w:val="24"/>
                <w:highlight w:val="none"/>
              </w:rPr>
            </w:pPr>
            <w:r>
              <w:rPr>
                <w:rFonts w:hint="eastAsia"/>
                <w:sz w:val="24"/>
                <w:highlight w:val="none"/>
              </w:rPr>
              <w:fldChar w:fldCharType="begin"/>
            </w:r>
            <w:r>
              <w:rPr>
                <w:rFonts w:hint="eastAsia"/>
                <w:sz w:val="24"/>
                <w:highlight w:val="none"/>
              </w:rPr>
              <w:instrText xml:space="preserve"> = 1 \* GB3 \* MERGEFORMAT </w:instrText>
            </w:r>
            <w:r>
              <w:rPr>
                <w:rFonts w:hint="eastAsia"/>
                <w:sz w:val="24"/>
                <w:highlight w:val="none"/>
              </w:rPr>
              <w:fldChar w:fldCharType="separate"/>
            </w:r>
            <w:r>
              <w:rPr>
                <w:rFonts w:hint="eastAsia"/>
                <w:sz w:val="24"/>
                <w:highlight w:val="none"/>
              </w:rPr>
              <w:t>①</w:t>
            </w:r>
            <w:r>
              <w:rPr>
                <w:rFonts w:hint="eastAsia"/>
                <w:sz w:val="24"/>
                <w:highlight w:val="none"/>
              </w:rPr>
              <w:fldChar w:fldCharType="end"/>
            </w:r>
            <w:r>
              <w:rPr>
                <w:rFonts w:hint="eastAsia"/>
                <w:sz w:val="24"/>
                <w:highlight w:val="none"/>
              </w:rPr>
              <w:t>本项目原材料中棕榈油年用量为200吨，厂区内最大存储量为30吨。棕榈油为易燃物质，存在引发火灾的可能性。</w:t>
            </w:r>
          </w:p>
          <w:p>
            <w:pPr>
              <w:spacing w:line="520" w:lineRule="exact"/>
              <w:ind w:firstLine="480" w:firstLineChars="200"/>
              <w:rPr>
                <w:rFonts w:hint="eastAsia"/>
                <w:sz w:val="24"/>
                <w:highlight w:val="none"/>
              </w:rPr>
            </w:pPr>
            <w:r>
              <w:rPr>
                <w:rFonts w:hint="eastAsia"/>
                <w:sz w:val="24"/>
                <w:highlight w:val="none"/>
              </w:rPr>
              <w:fldChar w:fldCharType="begin"/>
            </w:r>
            <w:r>
              <w:rPr>
                <w:rFonts w:hint="eastAsia"/>
                <w:sz w:val="24"/>
                <w:highlight w:val="none"/>
              </w:rPr>
              <w:instrText xml:space="preserve"> = 2 \* GB3 \* MERGEFORMAT </w:instrText>
            </w:r>
            <w:r>
              <w:rPr>
                <w:rFonts w:hint="eastAsia"/>
                <w:sz w:val="24"/>
                <w:highlight w:val="none"/>
              </w:rPr>
              <w:fldChar w:fldCharType="separate"/>
            </w:r>
            <w:r>
              <w:rPr>
                <w:rFonts w:hint="eastAsia"/>
                <w:sz w:val="24"/>
                <w:highlight w:val="none"/>
              </w:rPr>
              <w:t>②</w:t>
            </w:r>
            <w:r>
              <w:rPr>
                <w:rFonts w:hint="eastAsia"/>
                <w:sz w:val="24"/>
                <w:highlight w:val="none"/>
              </w:rPr>
              <w:fldChar w:fldCharType="end"/>
            </w:r>
            <w:r>
              <w:rPr>
                <w:rFonts w:hint="eastAsia"/>
                <w:sz w:val="24"/>
                <w:highlight w:val="none"/>
              </w:rPr>
              <w:t>本项目面粉库最大储存量为20吨，面粉与空气混合达到一定浓度时，遇到火苗、火星、电弧或适当的温度，瞬间燃烧起来，易形成猛烈的爆炸及火灾。因此，本项目的风险类型为爆炸和火灾。</w:t>
            </w:r>
          </w:p>
          <w:p>
            <w:pPr>
              <w:spacing w:line="520" w:lineRule="exact"/>
              <w:ind w:firstLine="480" w:firstLineChars="200"/>
              <w:rPr>
                <w:rFonts w:hint="default" w:ascii="Times New Roman" w:hAnsi="Times New Roman" w:cs="Times New Roman"/>
                <w:b/>
                <w:bCs/>
                <w:szCs w:val="26"/>
                <w:highlight w:val="none"/>
              </w:rPr>
            </w:pPr>
            <w:r>
              <w:rPr>
                <w:rFonts w:hint="eastAsia"/>
                <w:sz w:val="24"/>
                <w:highlight w:val="none"/>
              </w:rPr>
              <w:fldChar w:fldCharType="begin"/>
            </w:r>
            <w:r>
              <w:rPr>
                <w:rFonts w:hint="eastAsia"/>
                <w:sz w:val="24"/>
                <w:highlight w:val="none"/>
              </w:rPr>
              <w:instrText xml:space="preserve"> = 3 \* GB3 \* MERGEFORMAT </w:instrText>
            </w:r>
            <w:r>
              <w:rPr>
                <w:rFonts w:hint="eastAsia"/>
                <w:sz w:val="24"/>
                <w:highlight w:val="none"/>
              </w:rPr>
              <w:fldChar w:fldCharType="separate"/>
            </w:r>
            <w:r>
              <w:rPr>
                <w:rFonts w:hint="eastAsia"/>
                <w:sz w:val="24"/>
                <w:highlight w:val="none"/>
              </w:rPr>
              <w:t>③</w:t>
            </w:r>
            <w:r>
              <w:rPr>
                <w:rFonts w:hint="eastAsia"/>
                <w:sz w:val="24"/>
                <w:highlight w:val="none"/>
              </w:rPr>
              <w:fldChar w:fldCharType="end"/>
            </w:r>
            <w:r>
              <w:rPr>
                <w:rFonts w:hint="eastAsia"/>
                <w:sz w:val="24"/>
                <w:highlight w:val="none"/>
              </w:rPr>
              <w:t>本项目生产中涉及的主要风险物料为液化天然气，贮存及使用过程中均有一定危险性。</w:t>
            </w:r>
          </w:p>
          <w:p>
            <w:pPr>
              <w:adjustRightInd w:val="0"/>
              <w:snapToGrid w:val="0"/>
              <w:spacing w:before="156" w:beforeLines="50" w:line="360" w:lineRule="auto"/>
              <w:ind w:firstLine="2840" w:firstLineChars="1347"/>
              <w:jc w:val="both"/>
              <w:rPr>
                <w:rFonts w:hint="default" w:ascii="Times New Roman" w:hAnsi="Times New Roman" w:cs="Times New Roman"/>
                <w:b/>
                <w:bCs/>
                <w:szCs w:val="26"/>
                <w:highlight w:val="none"/>
              </w:rPr>
            </w:pPr>
          </w:p>
          <w:p>
            <w:pPr>
              <w:adjustRightInd w:val="0"/>
              <w:snapToGrid w:val="0"/>
              <w:spacing w:before="156" w:beforeLines="50" w:line="360" w:lineRule="auto"/>
              <w:ind w:firstLine="2840" w:firstLineChars="1347"/>
              <w:jc w:val="both"/>
              <w:rPr>
                <w:rFonts w:hint="default" w:ascii="Times New Roman" w:hAnsi="Times New Roman" w:cs="Times New Roman"/>
                <w:b/>
                <w:bCs/>
                <w:szCs w:val="26"/>
                <w:highlight w:val="none"/>
              </w:rPr>
            </w:pPr>
          </w:p>
          <w:p>
            <w:pPr>
              <w:adjustRightInd w:val="0"/>
              <w:snapToGrid w:val="0"/>
              <w:spacing w:before="156" w:beforeLines="50" w:line="360" w:lineRule="auto"/>
              <w:ind w:firstLine="2840" w:firstLineChars="1347"/>
              <w:jc w:val="both"/>
              <w:rPr>
                <w:rFonts w:hint="default" w:ascii="Times New Roman" w:hAnsi="Times New Roman" w:cs="Times New Roman"/>
                <w:b/>
                <w:bCs/>
                <w:szCs w:val="26"/>
                <w:highlight w:val="none"/>
              </w:rPr>
            </w:pPr>
            <w:r>
              <w:rPr>
                <w:rFonts w:hint="default" w:ascii="Times New Roman" w:hAnsi="Times New Roman" w:cs="Times New Roman"/>
                <w:b/>
                <w:bCs/>
                <w:szCs w:val="26"/>
                <w:highlight w:val="none"/>
              </w:rPr>
              <w:t>表</w:t>
            </w:r>
            <w:r>
              <w:rPr>
                <w:rFonts w:hint="eastAsia" w:ascii="Times New Roman" w:hAnsi="Times New Roman" w:cs="Times New Roman"/>
                <w:b/>
                <w:bCs/>
                <w:szCs w:val="26"/>
                <w:highlight w:val="none"/>
                <w:lang w:val="en-US" w:eastAsia="zh-CN"/>
              </w:rPr>
              <w:t>46</w:t>
            </w:r>
            <w:r>
              <w:rPr>
                <w:rFonts w:hint="default" w:ascii="Times New Roman" w:hAnsi="Times New Roman" w:cs="Times New Roman"/>
                <w:b/>
                <w:bCs/>
                <w:szCs w:val="26"/>
                <w:highlight w:val="none"/>
              </w:rPr>
              <w:t xml:space="preserve">  重大危险源辨识</w:t>
            </w:r>
          </w:p>
          <w:tbl>
            <w:tblPr>
              <w:tblStyle w:val="28"/>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437"/>
              <w:gridCol w:w="1430"/>
              <w:gridCol w:w="1321"/>
              <w:gridCol w:w="3441"/>
              <w:gridCol w:w="1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165" w:hRule="atLeast"/>
                <w:jc w:val="center"/>
              </w:trPr>
              <w:tc>
                <w:tcPr>
                  <w:tcW w:w="1437" w:type="dxa"/>
                  <w:vMerge w:val="restart"/>
                  <w:vAlign w:val="center"/>
                </w:tcPr>
                <w:p>
                  <w:pPr>
                    <w:spacing w:line="320" w:lineRule="atLeast"/>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名称</w:t>
                  </w:r>
                </w:p>
              </w:tc>
              <w:tc>
                <w:tcPr>
                  <w:tcW w:w="2751" w:type="dxa"/>
                  <w:gridSpan w:val="2"/>
                  <w:vAlign w:val="center"/>
                </w:tcPr>
                <w:p>
                  <w:pPr>
                    <w:spacing w:line="320" w:lineRule="atLeast"/>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拟建项目</w:t>
                  </w:r>
                </w:p>
              </w:tc>
              <w:tc>
                <w:tcPr>
                  <w:tcW w:w="3441" w:type="dxa"/>
                  <w:vMerge w:val="restart"/>
                  <w:vAlign w:val="center"/>
                </w:tcPr>
                <w:p>
                  <w:pPr>
                    <w:spacing w:line="320" w:lineRule="atLeast"/>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《危险化学品重大危险源识别》（GB18218-2009）临界量t</w:t>
                  </w:r>
                </w:p>
              </w:tc>
              <w:tc>
                <w:tcPr>
                  <w:tcW w:w="1411" w:type="dxa"/>
                  <w:vMerge w:val="restart"/>
                  <w:vAlign w:val="center"/>
                </w:tcPr>
                <w:p>
                  <w:pPr>
                    <w:spacing w:line="320" w:lineRule="atLeast"/>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是否属于重大危险源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1437" w:type="dxa"/>
                  <w:vMerge w:val="continue"/>
                  <w:vAlign w:val="center"/>
                </w:tcPr>
                <w:p>
                  <w:pPr>
                    <w:spacing w:line="320" w:lineRule="atLeast"/>
                    <w:jc w:val="center"/>
                    <w:rPr>
                      <w:rFonts w:hint="default" w:ascii="Times New Roman" w:hAnsi="Times New Roman" w:cs="Times New Roman"/>
                      <w:b w:val="0"/>
                      <w:bCs w:val="0"/>
                      <w:sz w:val="21"/>
                      <w:szCs w:val="21"/>
                      <w:highlight w:val="none"/>
                    </w:rPr>
                  </w:pPr>
                </w:p>
              </w:tc>
              <w:tc>
                <w:tcPr>
                  <w:tcW w:w="1430" w:type="dxa"/>
                  <w:vAlign w:val="center"/>
                </w:tcPr>
                <w:p>
                  <w:pPr>
                    <w:spacing w:line="320" w:lineRule="atLeast"/>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生产场所t</w:t>
                  </w:r>
                </w:p>
              </w:tc>
              <w:tc>
                <w:tcPr>
                  <w:tcW w:w="1321" w:type="dxa"/>
                  <w:vAlign w:val="center"/>
                </w:tcPr>
                <w:p>
                  <w:pPr>
                    <w:spacing w:line="320" w:lineRule="atLeast"/>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贮存区t</w:t>
                  </w:r>
                </w:p>
              </w:tc>
              <w:tc>
                <w:tcPr>
                  <w:tcW w:w="3441" w:type="dxa"/>
                  <w:vMerge w:val="continue"/>
                  <w:vAlign w:val="center"/>
                </w:tcPr>
                <w:p>
                  <w:pPr>
                    <w:spacing w:line="320" w:lineRule="atLeast"/>
                    <w:jc w:val="center"/>
                    <w:rPr>
                      <w:rFonts w:hint="default" w:ascii="Times New Roman" w:hAnsi="Times New Roman" w:cs="Times New Roman"/>
                      <w:b w:val="0"/>
                      <w:bCs w:val="0"/>
                      <w:sz w:val="21"/>
                      <w:szCs w:val="21"/>
                      <w:highlight w:val="none"/>
                    </w:rPr>
                  </w:pPr>
                </w:p>
              </w:tc>
              <w:tc>
                <w:tcPr>
                  <w:tcW w:w="1411" w:type="dxa"/>
                  <w:vMerge w:val="continue"/>
                  <w:vAlign w:val="center"/>
                </w:tcPr>
                <w:p>
                  <w:pPr>
                    <w:spacing w:line="320" w:lineRule="atLeast"/>
                    <w:jc w:val="center"/>
                    <w:rPr>
                      <w:rFonts w:hint="default"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38" w:hRule="atLeast"/>
                <w:jc w:val="center"/>
              </w:trPr>
              <w:tc>
                <w:tcPr>
                  <w:tcW w:w="1437" w:type="dxa"/>
                  <w:vAlign w:val="center"/>
                </w:tcPr>
                <w:p>
                  <w:pPr>
                    <w:spacing w:line="320" w:lineRule="atLeast"/>
                    <w:jc w:val="center"/>
                    <w:rPr>
                      <w:rFonts w:hint="eastAsia" w:ascii="Times New Roman" w:hAnsi="Times New Roman" w:eastAsia="宋体" w:cs="Times New Roman"/>
                      <w:b w:val="0"/>
                      <w:bCs w:val="0"/>
                      <w:sz w:val="21"/>
                      <w:szCs w:val="21"/>
                      <w:highlight w:val="none"/>
                      <w:lang w:eastAsia="zh-CN"/>
                    </w:rPr>
                  </w:pPr>
                  <w:r>
                    <w:rPr>
                      <w:rFonts w:hint="eastAsia" w:ascii="Times New Roman" w:hAnsi="Times New Roman" w:cs="Times New Roman"/>
                      <w:b w:val="0"/>
                      <w:bCs w:val="0"/>
                      <w:sz w:val="21"/>
                      <w:szCs w:val="21"/>
                      <w:highlight w:val="none"/>
                      <w:lang w:eastAsia="zh-CN"/>
                    </w:rPr>
                    <w:t>天然气</w:t>
                  </w:r>
                </w:p>
              </w:tc>
              <w:tc>
                <w:tcPr>
                  <w:tcW w:w="1430" w:type="dxa"/>
                  <w:vAlign w:val="center"/>
                </w:tcPr>
                <w:p>
                  <w:pPr>
                    <w:spacing w:line="320" w:lineRule="atLeast"/>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w:t>
                  </w:r>
                </w:p>
              </w:tc>
              <w:tc>
                <w:tcPr>
                  <w:tcW w:w="1321" w:type="dxa"/>
                  <w:vAlign w:val="center"/>
                </w:tcPr>
                <w:p>
                  <w:pPr>
                    <w:spacing w:line="320" w:lineRule="atLeast"/>
                    <w:jc w:val="center"/>
                    <w:rPr>
                      <w:rFonts w:hint="eastAsia" w:ascii="Times New Roman" w:hAnsi="Times New Roman" w:eastAsia="宋体" w:cs="Times New Roman"/>
                      <w:b w:val="0"/>
                      <w:bCs w:val="0"/>
                      <w:sz w:val="21"/>
                      <w:szCs w:val="21"/>
                      <w:highlight w:val="none"/>
                      <w:lang w:eastAsia="zh-CN"/>
                    </w:rPr>
                  </w:pPr>
                  <w:r>
                    <w:rPr>
                      <w:rFonts w:hint="eastAsia" w:ascii="Times New Roman" w:hAnsi="Times New Roman" w:cs="Times New Roman"/>
                      <w:b w:val="0"/>
                      <w:bCs w:val="0"/>
                      <w:sz w:val="21"/>
                      <w:szCs w:val="21"/>
                      <w:highlight w:val="none"/>
                      <w:lang w:val="en-US" w:eastAsia="zh-CN"/>
                    </w:rPr>
                    <w:t>5</w:t>
                  </w:r>
                </w:p>
              </w:tc>
              <w:tc>
                <w:tcPr>
                  <w:tcW w:w="3441" w:type="dxa"/>
                  <w:vAlign w:val="center"/>
                </w:tcPr>
                <w:p>
                  <w:pPr>
                    <w:spacing w:line="320" w:lineRule="atLeast"/>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50</w:t>
                  </w:r>
                </w:p>
              </w:tc>
              <w:tc>
                <w:tcPr>
                  <w:tcW w:w="1411" w:type="dxa"/>
                  <w:vAlign w:val="center"/>
                </w:tcPr>
                <w:p>
                  <w:pPr>
                    <w:spacing w:line="320" w:lineRule="atLeast"/>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否</w:t>
                  </w:r>
                </w:p>
              </w:tc>
            </w:tr>
          </w:tbl>
          <w:p>
            <w:pPr>
              <w:spacing w:line="520" w:lineRule="exact"/>
              <w:ind w:firstLine="480" w:firstLineChars="200"/>
              <w:rPr>
                <w:rFonts w:hint="eastAsia"/>
                <w:highlight w:val="none"/>
              </w:rPr>
            </w:pPr>
            <w:r>
              <w:rPr>
                <w:rFonts w:hint="eastAsia"/>
                <w:sz w:val="24"/>
                <w:highlight w:val="none"/>
                <w:lang w:eastAsia="zh-CN"/>
              </w:rPr>
              <w:t>本项目有天然气储气组</w:t>
            </w:r>
            <w:r>
              <w:rPr>
                <w:rFonts w:hint="eastAsia"/>
                <w:sz w:val="24"/>
                <w:highlight w:val="none"/>
                <w:lang w:val="en-US" w:eastAsia="zh-CN"/>
              </w:rPr>
              <w:t>3个，总容积54m</w:t>
            </w:r>
            <w:r>
              <w:rPr>
                <w:rFonts w:hint="eastAsia"/>
                <w:sz w:val="24"/>
                <w:highlight w:val="none"/>
                <w:vertAlign w:val="superscript"/>
                <w:lang w:val="en-US" w:eastAsia="zh-CN"/>
              </w:rPr>
              <w:t>3</w:t>
            </w:r>
            <w:r>
              <w:rPr>
                <w:rFonts w:hint="eastAsia"/>
                <w:sz w:val="24"/>
                <w:highlight w:val="none"/>
                <w:vertAlign w:val="baseline"/>
                <w:lang w:val="en-US" w:eastAsia="zh-CN"/>
              </w:rPr>
              <w:t>，则本项目最高可贮存天然气5t。</w:t>
            </w:r>
            <w:r>
              <w:rPr>
                <w:rFonts w:hint="default"/>
                <w:sz w:val="24"/>
                <w:highlight w:val="none"/>
              </w:rPr>
              <w:t>本项目涉及危险物质的单元不属于重大危险源，且项目周边为非敏感地区，因此，根据《建设项目环境风险评价技术导则》（HJ/T 169-2004）的判别标准，项目环境风险评价确定为二级。</w:t>
            </w:r>
          </w:p>
          <w:p>
            <w:pPr>
              <w:spacing w:line="520" w:lineRule="exact"/>
              <w:ind w:firstLine="480" w:firstLineChars="200"/>
              <w:rPr>
                <w:rFonts w:hint="eastAsia"/>
                <w:sz w:val="24"/>
                <w:highlight w:val="none"/>
              </w:rPr>
            </w:pPr>
            <w:r>
              <w:rPr>
                <w:rFonts w:hint="eastAsia"/>
                <w:sz w:val="24"/>
                <w:highlight w:val="none"/>
              </w:rPr>
              <w:t>5.2风险影响分析</w:t>
            </w:r>
          </w:p>
          <w:p>
            <w:pPr>
              <w:spacing w:line="520" w:lineRule="exact"/>
              <w:ind w:firstLine="480" w:firstLineChars="200"/>
              <w:rPr>
                <w:rFonts w:hint="eastAsia"/>
                <w:sz w:val="24"/>
                <w:highlight w:val="none"/>
              </w:rPr>
            </w:pPr>
            <w:r>
              <w:rPr>
                <w:rFonts w:hint="eastAsia"/>
                <w:sz w:val="24"/>
                <w:highlight w:val="none"/>
              </w:rPr>
              <w:t>5.2.1棕榈油储罐、原料库风险影响分析</w:t>
            </w:r>
          </w:p>
          <w:p>
            <w:pPr>
              <w:spacing w:line="520" w:lineRule="exact"/>
              <w:ind w:firstLine="480" w:firstLineChars="200"/>
              <w:rPr>
                <w:rFonts w:hint="eastAsia"/>
                <w:sz w:val="24"/>
                <w:highlight w:val="none"/>
              </w:rPr>
            </w:pPr>
            <w:r>
              <w:rPr>
                <w:rFonts w:hint="eastAsia"/>
                <w:sz w:val="24"/>
                <w:highlight w:val="none"/>
              </w:rPr>
              <w:t>本项目的风险源之一来自于棕榈油储罐、原料库，属于一般风险源。风险事故主要</w:t>
            </w:r>
          </w:p>
          <w:p>
            <w:pPr>
              <w:spacing w:line="520" w:lineRule="exact"/>
              <w:rPr>
                <w:rFonts w:hint="eastAsia"/>
                <w:sz w:val="24"/>
                <w:highlight w:val="none"/>
              </w:rPr>
            </w:pPr>
            <w:r>
              <w:rPr>
                <w:rFonts w:hint="eastAsia"/>
                <w:sz w:val="24"/>
                <w:highlight w:val="none"/>
              </w:rPr>
              <w:t>包括物料泄漏、物料泄漏可能引发的火灾爆炸事故以及物料泄露后若引发火灾、爆炸事故，也会对周围大气环境造成一定的影响，造成以上风险事故的主要原因为设备的损伤、操作不当、管理不善等。</w:t>
            </w:r>
          </w:p>
          <w:p>
            <w:pPr>
              <w:pStyle w:val="17"/>
              <w:ind w:left="0" w:leftChars="0" w:firstLine="480"/>
              <w:rPr>
                <w:rFonts w:hint="eastAsia"/>
                <w:highlight w:val="none"/>
              </w:rPr>
            </w:pPr>
            <w:r>
              <w:rPr>
                <w:rFonts w:hint="eastAsia"/>
                <w:highlight w:val="none"/>
              </w:rPr>
              <w:t>5.2.2天然气风险影响分析</w:t>
            </w:r>
          </w:p>
          <w:p>
            <w:pPr>
              <w:pStyle w:val="17"/>
              <w:ind w:left="0" w:leftChars="0" w:firstLine="480"/>
              <w:rPr>
                <w:rFonts w:ascii="宋体" w:hAnsi="宋体"/>
                <w:bCs/>
                <w:highlight w:val="none"/>
              </w:rPr>
            </w:pPr>
            <w:r>
              <w:rPr>
                <w:rFonts w:hint="eastAsia"/>
                <w:highlight w:val="none"/>
              </w:rPr>
              <w:t>天燃气的理化性质及危险性见下表。</w:t>
            </w:r>
          </w:p>
          <w:p>
            <w:pPr>
              <w:pStyle w:val="37"/>
              <w:spacing w:line="360" w:lineRule="auto"/>
              <w:ind w:left="105" w:leftChars="50" w:right="105" w:rightChars="50"/>
              <w:jc w:val="center"/>
              <w:rPr>
                <w:b/>
                <w:sz w:val="21"/>
                <w:szCs w:val="21"/>
                <w:highlight w:val="none"/>
              </w:rPr>
            </w:pPr>
            <w:r>
              <w:rPr>
                <w:b/>
                <w:sz w:val="21"/>
                <w:szCs w:val="21"/>
                <w:highlight w:val="none"/>
              </w:rPr>
              <w:t>表4</w:t>
            </w:r>
            <w:r>
              <w:rPr>
                <w:rFonts w:hint="eastAsia"/>
                <w:b/>
                <w:sz w:val="21"/>
                <w:szCs w:val="21"/>
                <w:highlight w:val="none"/>
                <w:lang w:val="en-US" w:eastAsia="zh-CN"/>
              </w:rPr>
              <w:t>7</w:t>
            </w:r>
            <w:r>
              <w:rPr>
                <w:b/>
                <w:sz w:val="21"/>
                <w:szCs w:val="21"/>
                <w:highlight w:val="none"/>
              </w:rPr>
              <w:t xml:space="preserve">  天然气的理化性质和危险特性</w:t>
            </w:r>
          </w:p>
          <w:tbl>
            <w:tblPr>
              <w:tblStyle w:val="28"/>
              <w:tblW w:w="90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900"/>
              <w:gridCol w:w="2221"/>
              <w:gridCol w:w="33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060" w:type="dxa"/>
                  <w:gridSpan w:val="4"/>
                  <w:vAlign w:val="center"/>
                </w:tcPr>
                <w:p>
                  <w:pPr>
                    <w:autoSpaceDE w:val="0"/>
                    <w:jc w:val="center"/>
                    <w:rPr>
                      <w:szCs w:val="21"/>
                      <w:highlight w:val="none"/>
                    </w:rPr>
                  </w:pPr>
                  <w:r>
                    <w:rPr>
                      <w:rFonts w:hint="eastAsia" w:ascii="宋体" w:hAnsi="宋体" w:cs="宋体"/>
                      <w:szCs w:val="21"/>
                      <w:highlight w:val="none"/>
                    </w:rPr>
                    <w:t>第一部分</w:t>
                  </w:r>
                  <w:r>
                    <w:rPr>
                      <w:szCs w:val="21"/>
                      <w:highlight w:val="none"/>
                    </w:rPr>
                    <w:t xml:space="preserve">  </w:t>
                  </w:r>
                  <w:r>
                    <w:rPr>
                      <w:rFonts w:hint="eastAsia" w:ascii="宋体" w:hAnsi="宋体" w:cs="宋体"/>
                      <w:szCs w:val="21"/>
                      <w:highlight w:val="none"/>
                    </w:rPr>
                    <w:t>危险性概述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危险性类别：</w:t>
                  </w:r>
                </w:p>
              </w:tc>
              <w:tc>
                <w:tcPr>
                  <w:tcW w:w="1900" w:type="dxa"/>
                  <w:vAlign w:val="center"/>
                </w:tcPr>
                <w:p>
                  <w:pPr>
                    <w:autoSpaceDE w:val="0"/>
                    <w:jc w:val="center"/>
                    <w:rPr>
                      <w:szCs w:val="21"/>
                      <w:highlight w:val="none"/>
                    </w:rPr>
                  </w:pPr>
                  <w:r>
                    <w:rPr>
                      <w:szCs w:val="21"/>
                      <w:highlight w:val="none"/>
                    </w:rPr>
                    <w:t>2.1</w:t>
                  </w:r>
                  <w:r>
                    <w:rPr>
                      <w:rFonts w:ascii="宋体" w:hAnsi="宋体"/>
                      <w:szCs w:val="21"/>
                      <w:highlight w:val="none"/>
                    </w:rPr>
                    <w:t>类易燃气体</w:t>
                  </w:r>
                </w:p>
              </w:tc>
              <w:tc>
                <w:tcPr>
                  <w:tcW w:w="2221" w:type="dxa"/>
                  <w:vAlign w:val="center"/>
                </w:tcPr>
                <w:p>
                  <w:pPr>
                    <w:autoSpaceDE w:val="0"/>
                    <w:jc w:val="center"/>
                    <w:rPr>
                      <w:szCs w:val="21"/>
                      <w:highlight w:val="none"/>
                    </w:rPr>
                  </w:pPr>
                  <w:r>
                    <w:rPr>
                      <w:rFonts w:hint="eastAsia" w:ascii="宋体" w:hAnsi="宋体" w:cs="宋体"/>
                      <w:szCs w:val="21"/>
                      <w:highlight w:val="none"/>
                    </w:rPr>
                    <w:t>燃爆危险：</w:t>
                  </w:r>
                </w:p>
              </w:tc>
              <w:tc>
                <w:tcPr>
                  <w:tcW w:w="3381" w:type="dxa"/>
                  <w:vAlign w:val="center"/>
                </w:tcPr>
                <w:p>
                  <w:pPr>
                    <w:widowControl/>
                    <w:jc w:val="left"/>
                    <w:rPr>
                      <w:kern w:val="0"/>
                      <w:szCs w:val="21"/>
                      <w:highlight w:val="none"/>
                    </w:rPr>
                  </w:pPr>
                  <w:r>
                    <w:rPr>
                      <w:rFonts w:hint="eastAsia" w:ascii="宋体" w:hAnsi="宋体" w:cs="宋体"/>
                      <w:szCs w:val="21"/>
                      <w:highlight w:val="none"/>
                    </w:rPr>
                    <w:t>易燃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侵入途径：</w:t>
                  </w:r>
                </w:p>
              </w:tc>
              <w:tc>
                <w:tcPr>
                  <w:tcW w:w="1900" w:type="dxa"/>
                  <w:vAlign w:val="center"/>
                </w:tcPr>
                <w:p>
                  <w:pPr>
                    <w:autoSpaceDE w:val="0"/>
                    <w:jc w:val="center"/>
                    <w:rPr>
                      <w:szCs w:val="21"/>
                      <w:highlight w:val="none"/>
                    </w:rPr>
                  </w:pPr>
                  <w:r>
                    <w:rPr>
                      <w:rFonts w:hint="eastAsia" w:ascii="宋体" w:hAnsi="宋体" w:cs="宋体"/>
                      <w:szCs w:val="21"/>
                      <w:highlight w:val="none"/>
                    </w:rPr>
                    <w:t>吸入</w:t>
                  </w:r>
                </w:p>
              </w:tc>
              <w:tc>
                <w:tcPr>
                  <w:tcW w:w="2221" w:type="dxa"/>
                  <w:vAlign w:val="center"/>
                </w:tcPr>
                <w:p>
                  <w:pPr>
                    <w:autoSpaceDE w:val="0"/>
                    <w:jc w:val="center"/>
                    <w:rPr>
                      <w:szCs w:val="21"/>
                      <w:highlight w:val="none"/>
                    </w:rPr>
                  </w:pPr>
                  <w:r>
                    <w:rPr>
                      <w:rFonts w:hint="eastAsia" w:ascii="宋体" w:hAnsi="宋体" w:cs="宋体"/>
                      <w:szCs w:val="21"/>
                      <w:highlight w:val="none"/>
                    </w:rPr>
                    <w:t>有害燃烧产物：</w:t>
                  </w:r>
                </w:p>
              </w:tc>
              <w:tc>
                <w:tcPr>
                  <w:tcW w:w="3381" w:type="dxa"/>
                  <w:vAlign w:val="center"/>
                </w:tcPr>
                <w:p>
                  <w:pPr>
                    <w:widowControl/>
                    <w:jc w:val="left"/>
                    <w:rPr>
                      <w:kern w:val="0"/>
                      <w:szCs w:val="21"/>
                      <w:highlight w:val="none"/>
                    </w:rPr>
                  </w:pPr>
                  <w:r>
                    <w:rPr>
                      <w:rFonts w:hint="eastAsia" w:ascii="宋体" w:hAnsi="宋体" w:cs="宋体"/>
                      <w:szCs w:val="21"/>
                      <w:highlight w:val="none"/>
                    </w:rPr>
                    <w:t>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健康危害：</w:t>
                  </w:r>
                </w:p>
              </w:tc>
              <w:tc>
                <w:tcPr>
                  <w:tcW w:w="7502" w:type="dxa"/>
                  <w:gridSpan w:val="3"/>
                  <w:vAlign w:val="center"/>
                </w:tcPr>
                <w:p>
                  <w:pPr>
                    <w:jc w:val="center"/>
                    <w:rPr>
                      <w:szCs w:val="21"/>
                      <w:highlight w:val="none"/>
                    </w:rPr>
                  </w:pPr>
                  <w:r>
                    <w:rPr>
                      <w:rFonts w:hint="eastAsia"/>
                      <w:szCs w:val="21"/>
                      <w:highlight w:val="none"/>
                    </w:rPr>
                    <w:t>本品对人基本无毒，但浓度过高时，使空气中氧含量明显降低，使人窒息。当空气中甲烷达到</w:t>
                  </w:r>
                  <w:r>
                    <w:rPr>
                      <w:szCs w:val="21"/>
                      <w:highlight w:val="none"/>
                    </w:rPr>
                    <w:t>25%</w:t>
                  </w:r>
                  <w:r>
                    <w:rPr>
                      <w:rFonts w:hint="eastAsia" w:ascii="宋体" w:hAnsi="宋体" w:cs="宋体"/>
                      <w:szCs w:val="21"/>
                      <w:highlight w:val="none"/>
                    </w:rPr>
                    <w:t>～</w:t>
                  </w:r>
                  <w:r>
                    <w:rPr>
                      <w:szCs w:val="21"/>
                      <w:highlight w:val="none"/>
                    </w:rPr>
                    <w:t>30%</w:t>
                  </w:r>
                  <w:r>
                    <w:rPr>
                      <w:rFonts w:hint="eastAsia" w:ascii="宋体" w:hAnsi="宋体" w:cs="宋体"/>
                      <w:szCs w:val="21"/>
                      <w:highlight w:val="none"/>
                    </w:rPr>
                    <w:t>时，可引起头痛、头晕、乏力、注意力不集中、呼吸和心跳加速、供给失调。若不及时脱离，可致窒息死亡。皮肤接触本品，可致冻伤。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环境危害：</w:t>
                  </w:r>
                </w:p>
              </w:tc>
              <w:tc>
                <w:tcPr>
                  <w:tcW w:w="7502" w:type="dxa"/>
                  <w:gridSpan w:val="3"/>
                  <w:vAlign w:val="center"/>
                </w:tcPr>
                <w:p>
                  <w:pPr>
                    <w:autoSpaceDE w:val="0"/>
                    <w:jc w:val="center"/>
                    <w:rPr>
                      <w:szCs w:val="21"/>
                      <w:highlight w:val="none"/>
                    </w:rPr>
                  </w:pPr>
                  <w:r>
                    <w:rPr>
                      <w:rFonts w:hint="eastAsia" w:ascii="宋体" w:hAnsi="宋体" w:cs="宋体"/>
                      <w:szCs w:val="21"/>
                      <w:highlight w:val="none"/>
                    </w:rPr>
                    <w:t>该物质对环境可能有危害，对鱼类和水体要给与特别注意。还应特别注意对地表水、土壤、大气和饮用水的污染。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rPr>
                      <w:szCs w:val="21"/>
                      <w:highlight w:val="none"/>
                    </w:rPr>
                  </w:pPr>
                  <w:r>
                    <w:rPr>
                      <w:rFonts w:hint="eastAsia" w:ascii="宋体" w:hAnsi="宋体" w:cs="宋体"/>
                      <w:szCs w:val="21"/>
                      <w:highlight w:val="none"/>
                    </w:rPr>
                    <w:t>最高容许浓度：</w:t>
                  </w:r>
                </w:p>
              </w:tc>
              <w:tc>
                <w:tcPr>
                  <w:tcW w:w="7502" w:type="dxa"/>
                  <w:gridSpan w:val="3"/>
                  <w:vAlign w:val="center"/>
                </w:tcPr>
                <w:p>
                  <w:pPr>
                    <w:autoSpaceDE w:val="0"/>
                    <w:jc w:val="center"/>
                    <w:rPr>
                      <w:szCs w:val="21"/>
                      <w:highlight w:val="none"/>
                    </w:rPr>
                  </w:pPr>
                  <w:r>
                    <w:rPr>
                      <w:szCs w:val="21"/>
                      <w:highlight w:val="none"/>
                    </w:rPr>
                    <w:t>250mg/m³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060" w:type="dxa"/>
                  <w:gridSpan w:val="4"/>
                  <w:vAlign w:val="center"/>
                </w:tcPr>
                <w:p>
                  <w:pPr>
                    <w:autoSpaceDE w:val="0"/>
                    <w:jc w:val="center"/>
                    <w:rPr>
                      <w:szCs w:val="21"/>
                      <w:highlight w:val="none"/>
                    </w:rPr>
                  </w:pPr>
                  <w:r>
                    <w:rPr>
                      <w:rFonts w:hint="eastAsia" w:ascii="宋体" w:hAnsi="宋体" w:cs="宋体"/>
                      <w:szCs w:val="21"/>
                      <w:highlight w:val="none"/>
                    </w:rPr>
                    <w:t>第二部分</w:t>
                  </w:r>
                  <w:r>
                    <w:rPr>
                      <w:szCs w:val="21"/>
                      <w:highlight w:val="none"/>
                    </w:rPr>
                    <w:t xml:space="preserve">  </w:t>
                  </w:r>
                  <w:r>
                    <w:rPr>
                      <w:rFonts w:hint="eastAsia" w:ascii="宋体" w:hAnsi="宋体" w:cs="宋体"/>
                      <w:szCs w:val="21"/>
                      <w:highlight w:val="none"/>
                    </w:rPr>
                    <w:t>理化特性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外观及形状：</w:t>
                  </w:r>
                </w:p>
              </w:tc>
              <w:tc>
                <w:tcPr>
                  <w:tcW w:w="7502" w:type="dxa"/>
                  <w:gridSpan w:val="3"/>
                  <w:vAlign w:val="center"/>
                </w:tcPr>
                <w:p>
                  <w:pPr>
                    <w:autoSpaceDE w:val="0"/>
                    <w:jc w:val="center"/>
                    <w:rPr>
                      <w:szCs w:val="21"/>
                      <w:highlight w:val="none"/>
                    </w:rPr>
                  </w:pPr>
                  <w:r>
                    <w:rPr>
                      <w:rFonts w:hint="eastAsia" w:ascii="宋体" w:hAnsi="宋体" w:cs="宋体"/>
                      <w:szCs w:val="21"/>
                      <w:highlight w:val="none"/>
                    </w:rPr>
                    <w:t>无色无臭气体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熔点（</w:t>
                  </w:r>
                  <w:r>
                    <w:rPr>
                      <w:rFonts w:hAnsi="宋体"/>
                      <w:szCs w:val="21"/>
                      <w:highlight w:val="none"/>
                    </w:rPr>
                    <w:t>℃</w:t>
                  </w:r>
                  <w:r>
                    <w:rPr>
                      <w:rFonts w:ascii="宋体" w:hAnsi="宋体"/>
                      <w:szCs w:val="21"/>
                      <w:highlight w:val="none"/>
                    </w:rPr>
                    <w:t>）</w:t>
                  </w:r>
                </w:p>
              </w:tc>
              <w:tc>
                <w:tcPr>
                  <w:tcW w:w="1900" w:type="dxa"/>
                  <w:vAlign w:val="center"/>
                </w:tcPr>
                <w:p>
                  <w:pPr>
                    <w:autoSpaceDE w:val="0"/>
                    <w:jc w:val="center"/>
                    <w:rPr>
                      <w:szCs w:val="21"/>
                      <w:highlight w:val="none"/>
                    </w:rPr>
                  </w:pPr>
                  <w:r>
                    <w:rPr>
                      <w:szCs w:val="21"/>
                      <w:highlight w:val="none"/>
                    </w:rPr>
                    <w:t>-182.5</w:t>
                  </w:r>
                </w:p>
              </w:tc>
              <w:tc>
                <w:tcPr>
                  <w:tcW w:w="2221" w:type="dxa"/>
                  <w:vAlign w:val="center"/>
                </w:tcPr>
                <w:p>
                  <w:pPr>
                    <w:autoSpaceDE w:val="0"/>
                    <w:jc w:val="center"/>
                    <w:rPr>
                      <w:szCs w:val="21"/>
                      <w:highlight w:val="none"/>
                    </w:rPr>
                  </w:pPr>
                  <w:r>
                    <w:rPr>
                      <w:rFonts w:hint="eastAsia" w:ascii="宋体" w:hAnsi="宋体" w:cs="宋体"/>
                      <w:szCs w:val="21"/>
                      <w:highlight w:val="none"/>
                    </w:rPr>
                    <w:t>相对密度（水</w:t>
                  </w:r>
                  <w:r>
                    <w:rPr>
                      <w:szCs w:val="21"/>
                      <w:highlight w:val="none"/>
                    </w:rPr>
                    <w:t>=1</w:t>
                  </w:r>
                  <w:r>
                    <w:rPr>
                      <w:rFonts w:ascii="宋体" w:hAnsi="宋体"/>
                      <w:szCs w:val="21"/>
                      <w:highlight w:val="none"/>
                    </w:rPr>
                    <w:t>）</w:t>
                  </w:r>
                </w:p>
              </w:tc>
              <w:tc>
                <w:tcPr>
                  <w:tcW w:w="3381" w:type="dxa"/>
                  <w:vAlign w:val="center"/>
                </w:tcPr>
                <w:p>
                  <w:pPr>
                    <w:widowControl/>
                    <w:jc w:val="center"/>
                    <w:rPr>
                      <w:kern w:val="0"/>
                      <w:szCs w:val="21"/>
                      <w:highlight w:val="none"/>
                    </w:rPr>
                  </w:pPr>
                  <w:r>
                    <w:rPr>
                      <w:szCs w:val="21"/>
                      <w:highlight w:val="none"/>
                    </w:rPr>
                    <w:t>0.42</w:t>
                  </w:r>
                  <w:r>
                    <w:rPr>
                      <w:rFonts w:ascii="宋体" w:hAnsi="宋体"/>
                      <w:szCs w:val="21"/>
                      <w:highlight w:val="none"/>
                    </w:rPr>
                    <w:t>～</w:t>
                  </w:r>
                  <w:r>
                    <w:rPr>
                      <w:szCs w:val="21"/>
                      <w:highlight w:val="none"/>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闪点（</w:t>
                  </w:r>
                  <w:r>
                    <w:rPr>
                      <w:rFonts w:hAnsi="宋体"/>
                      <w:szCs w:val="21"/>
                      <w:highlight w:val="none"/>
                    </w:rPr>
                    <w:t>℃</w:t>
                  </w:r>
                  <w:r>
                    <w:rPr>
                      <w:rFonts w:ascii="宋体" w:hAnsi="宋体"/>
                      <w:szCs w:val="21"/>
                      <w:highlight w:val="none"/>
                    </w:rPr>
                    <w:t>）</w:t>
                  </w:r>
                </w:p>
              </w:tc>
              <w:tc>
                <w:tcPr>
                  <w:tcW w:w="1900" w:type="dxa"/>
                  <w:vAlign w:val="center"/>
                </w:tcPr>
                <w:p>
                  <w:pPr>
                    <w:autoSpaceDE w:val="0"/>
                    <w:jc w:val="center"/>
                    <w:rPr>
                      <w:szCs w:val="21"/>
                      <w:highlight w:val="none"/>
                    </w:rPr>
                  </w:pPr>
                  <w:r>
                    <w:rPr>
                      <w:szCs w:val="21"/>
                      <w:highlight w:val="none"/>
                    </w:rPr>
                    <w:t>-188</w:t>
                  </w:r>
                </w:p>
              </w:tc>
              <w:tc>
                <w:tcPr>
                  <w:tcW w:w="2221" w:type="dxa"/>
                  <w:vAlign w:val="center"/>
                </w:tcPr>
                <w:p>
                  <w:pPr>
                    <w:autoSpaceDE w:val="0"/>
                    <w:jc w:val="center"/>
                    <w:rPr>
                      <w:szCs w:val="21"/>
                      <w:highlight w:val="none"/>
                    </w:rPr>
                  </w:pPr>
                  <w:r>
                    <w:rPr>
                      <w:rFonts w:hint="eastAsia" w:ascii="宋体" w:hAnsi="宋体" w:cs="宋体"/>
                      <w:szCs w:val="21"/>
                      <w:highlight w:val="none"/>
                    </w:rPr>
                    <w:t>相对密度（空气</w:t>
                  </w:r>
                  <w:r>
                    <w:rPr>
                      <w:szCs w:val="21"/>
                      <w:highlight w:val="none"/>
                    </w:rPr>
                    <w:t>=1</w:t>
                  </w:r>
                  <w:r>
                    <w:rPr>
                      <w:rFonts w:ascii="宋体" w:hAnsi="宋体"/>
                      <w:szCs w:val="21"/>
                      <w:highlight w:val="none"/>
                    </w:rPr>
                    <w:t>）</w:t>
                  </w:r>
                </w:p>
              </w:tc>
              <w:tc>
                <w:tcPr>
                  <w:tcW w:w="3381" w:type="dxa"/>
                  <w:vAlign w:val="center"/>
                </w:tcPr>
                <w:p>
                  <w:pPr>
                    <w:widowControl/>
                    <w:jc w:val="center"/>
                    <w:rPr>
                      <w:kern w:val="0"/>
                      <w:szCs w:val="21"/>
                      <w:highlight w:val="none"/>
                    </w:rPr>
                  </w:pPr>
                  <w:r>
                    <w:rPr>
                      <w:szCs w:val="21"/>
                      <w:highlight w:val="none"/>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引燃温度（</w:t>
                  </w:r>
                  <w:r>
                    <w:rPr>
                      <w:rFonts w:hAnsi="宋体"/>
                      <w:szCs w:val="21"/>
                      <w:highlight w:val="none"/>
                    </w:rPr>
                    <w:t>℃</w:t>
                  </w:r>
                  <w:r>
                    <w:rPr>
                      <w:rFonts w:ascii="宋体" w:hAnsi="宋体"/>
                      <w:szCs w:val="21"/>
                      <w:highlight w:val="none"/>
                    </w:rPr>
                    <w:t>）</w:t>
                  </w:r>
                </w:p>
              </w:tc>
              <w:tc>
                <w:tcPr>
                  <w:tcW w:w="1900" w:type="dxa"/>
                  <w:vAlign w:val="center"/>
                </w:tcPr>
                <w:p>
                  <w:pPr>
                    <w:autoSpaceDE w:val="0"/>
                    <w:jc w:val="center"/>
                    <w:rPr>
                      <w:szCs w:val="21"/>
                      <w:highlight w:val="none"/>
                    </w:rPr>
                  </w:pPr>
                  <w:r>
                    <w:rPr>
                      <w:szCs w:val="21"/>
                      <w:highlight w:val="none"/>
                    </w:rPr>
                    <w:t>482</w:t>
                  </w:r>
                </w:p>
              </w:tc>
              <w:tc>
                <w:tcPr>
                  <w:tcW w:w="2221" w:type="dxa"/>
                  <w:vAlign w:val="center"/>
                </w:tcPr>
                <w:p>
                  <w:pPr>
                    <w:autoSpaceDE w:val="0"/>
                    <w:jc w:val="center"/>
                    <w:rPr>
                      <w:szCs w:val="21"/>
                      <w:highlight w:val="none"/>
                    </w:rPr>
                  </w:pPr>
                  <w:r>
                    <w:rPr>
                      <w:rFonts w:hint="eastAsia" w:ascii="宋体" w:hAnsi="宋体" w:cs="宋体"/>
                      <w:szCs w:val="21"/>
                      <w:highlight w:val="none"/>
                    </w:rPr>
                    <w:t>爆炸上限</w:t>
                  </w:r>
                  <w:r>
                    <w:rPr>
                      <w:szCs w:val="21"/>
                      <w:highlight w:val="none"/>
                    </w:rPr>
                    <w:t>%</w:t>
                  </w:r>
                  <w:r>
                    <w:rPr>
                      <w:rFonts w:ascii="宋体" w:hAnsi="宋体"/>
                      <w:szCs w:val="21"/>
                      <w:highlight w:val="none"/>
                    </w:rPr>
                    <w:t>（</w:t>
                  </w:r>
                  <w:r>
                    <w:rPr>
                      <w:szCs w:val="21"/>
                      <w:highlight w:val="none"/>
                    </w:rPr>
                    <w:t>V/V</w:t>
                  </w:r>
                  <w:r>
                    <w:rPr>
                      <w:rFonts w:ascii="宋体" w:hAnsi="宋体"/>
                      <w:szCs w:val="21"/>
                      <w:highlight w:val="none"/>
                    </w:rPr>
                    <w:t>）</w:t>
                  </w:r>
                </w:p>
              </w:tc>
              <w:tc>
                <w:tcPr>
                  <w:tcW w:w="3381" w:type="dxa"/>
                  <w:vAlign w:val="center"/>
                </w:tcPr>
                <w:p>
                  <w:pPr>
                    <w:widowControl/>
                    <w:jc w:val="center"/>
                    <w:rPr>
                      <w:kern w:val="0"/>
                      <w:szCs w:val="21"/>
                      <w:highlight w:val="none"/>
                    </w:rPr>
                  </w:pPr>
                  <w:r>
                    <w:rPr>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沸点（</w:t>
                  </w:r>
                  <w:r>
                    <w:rPr>
                      <w:rFonts w:hAnsi="宋体"/>
                      <w:szCs w:val="21"/>
                      <w:highlight w:val="none"/>
                    </w:rPr>
                    <w:t>℃</w:t>
                  </w:r>
                  <w:r>
                    <w:rPr>
                      <w:rFonts w:ascii="宋体" w:hAnsi="宋体"/>
                      <w:szCs w:val="21"/>
                      <w:highlight w:val="none"/>
                    </w:rPr>
                    <w:t>）</w:t>
                  </w:r>
                </w:p>
              </w:tc>
              <w:tc>
                <w:tcPr>
                  <w:tcW w:w="1900" w:type="dxa"/>
                  <w:vAlign w:val="center"/>
                </w:tcPr>
                <w:p>
                  <w:pPr>
                    <w:autoSpaceDE w:val="0"/>
                    <w:jc w:val="center"/>
                    <w:rPr>
                      <w:szCs w:val="21"/>
                      <w:highlight w:val="none"/>
                    </w:rPr>
                  </w:pPr>
                  <w:r>
                    <w:rPr>
                      <w:szCs w:val="21"/>
                      <w:highlight w:val="none"/>
                    </w:rPr>
                    <w:t>-160</w:t>
                  </w:r>
                </w:p>
              </w:tc>
              <w:tc>
                <w:tcPr>
                  <w:tcW w:w="2221" w:type="dxa"/>
                  <w:vAlign w:val="center"/>
                </w:tcPr>
                <w:p>
                  <w:pPr>
                    <w:autoSpaceDE w:val="0"/>
                    <w:jc w:val="center"/>
                    <w:rPr>
                      <w:szCs w:val="21"/>
                      <w:highlight w:val="none"/>
                    </w:rPr>
                  </w:pPr>
                  <w:r>
                    <w:rPr>
                      <w:rFonts w:hint="eastAsia" w:ascii="宋体" w:hAnsi="宋体" w:cs="宋体"/>
                      <w:szCs w:val="21"/>
                      <w:highlight w:val="none"/>
                    </w:rPr>
                    <w:t>爆炸下限</w:t>
                  </w:r>
                  <w:r>
                    <w:rPr>
                      <w:szCs w:val="21"/>
                      <w:highlight w:val="none"/>
                    </w:rPr>
                    <w:t>%</w:t>
                  </w:r>
                  <w:r>
                    <w:rPr>
                      <w:rFonts w:ascii="宋体" w:hAnsi="宋体"/>
                      <w:szCs w:val="21"/>
                      <w:highlight w:val="none"/>
                    </w:rPr>
                    <w:t>（</w:t>
                  </w:r>
                  <w:r>
                    <w:rPr>
                      <w:szCs w:val="21"/>
                      <w:highlight w:val="none"/>
                    </w:rPr>
                    <w:t>V/V</w:t>
                  </w:r>
                  <w:r>
                    <w:rPr>
                      <w:rFonts w:ascii="宋体" w:hAnsi="宋体"/>
                      <w:szCs w:val="21"/>
                      <w:highlight w:val="none"/>
                    </w:rPr>
                    <w:t>）</w:t>
                  </w:r>
                </w:p>
              </w:tc>
              <w:tc>
                <w:tcPr>
                  <w:tcW w:w="3381" w:type="dxa"/>
                  <w:vAlign w:val="center"/>
                </w:tcPr>
                <w:p>
                  <w:pPr>
                    <w:widowControl/>
                    <w:jc w:val="center"/>
                    <w:rPr>
                      <w:kern w:val="0"/>
                      <w:szCs w:val="21"/>
                      <w:highlight w:val="none"/>
                    </w:rPr>
                  </w:pPr>
                  <w:r>
                    <w:rPr>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溶解性：</w:t>
                  </w:r>
                </w:p>
              </w:tc>
              <w:tc>
                <w:tcPr>
                  <w:tcW w:w="7502" w:type="dxa"/>
                  <w:gridSpan w:val="3"/>
                  <w:vAlign w:val="center"/>
                </w:tcPr>
                <w:p>
                  <w:pPr>
                    <w:autoSpaceDE w:val="0"/>
                    <w:jc w:val="center"/>
                    <w:rPr>
                      <w:szCs w:val="21"/>
                      <w:highlight w:val="none"/>
                    </w:rPr>
                  </w:pPr>
                  <w:r>
                    <w:rPr>
                      <w:rFonts w:hint="eastAsia" w:ascii="宋体" w:hAnsi="宋体" w:cs="宋体"/>
                      <w:szCs w:val="21"/>
                      <w:highlight w:val="none"/>
                    </w:rPr>
                    <w:t>微溶于水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主要用途：</w:t>
                  </w:r>
                </w:p>
              </w:tc>
              <w:tc>
                <w:tcPr>
                  <w:tcW w:w="7502" w:type="dxa"/>
                  <w:gridSpan w:val="3"/>
                  <w:vAlign w:val="center"/>
                </w:tcPr>
                <w:p>
                  <w:pPr>
                    <w:autoSpaceDE w:val="0"/>
                    <w:jc w:val="center"/>
                    <w:rPr>
                      <w:szCs w:val="21"/>
                      <w:highlight w:val="none"/>
                    </w:rPr>
                  </w:pPr>
                  <w:r>
                    <w:rPr>
                      <w:rFonts w:hint="eastAsia" w:ascii="宋体" w:hAnsi="宋体" w:cs="宋体"/>
                      <w:szCs w:val="21"/>
                      <w:highlight w:val="none"/>
                    </w:rPr>
                    <w:t>天然气主要可用于发电，用作化工原料，广泛用于民用及商业燃气灶具、热水器、采暖及制冷，也用于造纸、冶金、采石、陶瓷、玻璃等行业，还可用于代替汽油用于汽车。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060" w:type="dxa"/>
                  <w:gridSpan w:val="4"/>
                  <w:vAlign w:val="center"/>
                </w:tcPr>
                <w:p>
                  <w:pPr>
                    <w:autoSpaceDE w:val="0"/>
                    <w:jc w:val="center"/>
                    <w:rPr>
                      <w:szCs w:val="21"/>
                      <w:highlight w:val="none"/>
                    </w:rPr>
                  </w:pPr>
                  <w:r>
                    <w:rPr>
                      <w:rFonts w:hint="eastAsia" w:ascii="宋体" w:hAnsi="宋体" w:cs="宋体"/>
                      <w:szCs w:val="21"/>
                      <w:highlight w:val="none"/>
                    </w:rPr>
                    <w:t>第三部分</w:t>
                  </w:r>
                  <w:r>
                    <w:rPr>
                      <w:szCs w:val="21"/>
                      <w:highlight w:val="none"/>
                    </w:rPr>
                    <w:t xml:space="preserve">   </w:t>
                  </w:r>
                  <w:r>
                    <w:rPr>
                      <w:rFonts w:hint="eastAsia" w:ascii="宋体" w:hAnsi="宋体" w:cs="宋体"/>
                      <w:szCs w:val="21"/>
                      <w:highlight w:val="none"/>
                    </w:rPr>
                    <w:t>稳定性及化学活性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稳定性</w:t>
                  </w:r>
                </w:p>
              </w:tc>
              <w:tc>
                <w:tcPr>
                  <w:tcW w:w="1900" w:type="dxa"/>
                  <w:vAlign w:val="center"/>
                </w:tcPr>
                <w:p>
                  <w:pPr>
                    <w:autoSpaceDE w:val="0"/>
                    <w:jc w:val="center"/>
                    <w:rPr>
                      <w:szCs w:val="21"/>
                      <w:highlight w:val="none"/>
                    </w:rPr>
                  </w:pPr>
                  <w:r>
                    <w:rPr>
                      <w:rFonts w:hint="eastAsia" w:ascii="宋体" w:hAnsi="宋体" w:cs="宋体"/>
                      <w:szCs w:val="21"/>
                      <w:highlight w:val="none"/>
                    </w:rPr>
                    <w:t>稳定</w:t>
                  </w:r>
                </w:p>
              </w:tc>
              <w:tc>
                <w:tcPr>
                  <w:tcW w:w="2221" w:type="dxa"/>
                  <w:vAlign w:val="center"/>
                </w:tcPr>
                <w:p>
                  <w:pPr>
                    <w:autoSpaceDE w:val="0"/>
                    <w:jc w:val="center"/>
                    <w:rPr>
                      <w:szCs w:val="21"/>
                      <w:highlight w:val="none"/>
                    </w:rPr>
                  </w:pPr>
                  <w:r>
                    <w:rPr>
                      <w:rFonts w:hint="eastAsia" w:ascii="宋体" w:hAnsi="宋体" w:cs="宋体"/>
                      <w:szCs w:val="21"/>
                      <w:highlight w:val="none"/>
                    </w:rPr>
                    <w:t>避免接触的条件</w:t>
                  </w:r>
                </w:p>
              </w:tc>
              <w:tc>
                <w:tcPr>
                  <w:tcW w:w="3381" w:type="dxa"/>
                  <w:vAlign w:val="center"/>
                </w:tcPr>
                <w:p>
                  <w:pPr>
                    <w:widowControl/>
                    <w:jc w:val="center"/>
                    <w:rPr>
                      <w:kern w:val="0"/>
                      <w:szCs w:val="21"/>
                      <w:highlight w:val="none"/>
                    </w:rPr>
                  </w:pPr>
                  <w:r>
                    <w:rPr>
                      <w:rFonts w:hint="eastAsia" w:ascii="宋体" w:hAnsi="宋体" w:cs="宋体"/>
                      <w:szCs w:val="21"/>
                      <w:highlight w:val="none"/>
                    </w:rPr>
                    <w:t>明火、高热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禁配物</w:t>
                  </w:r>
                </w:p>
              </w:tc>
              <w:tc>
                <w:tcPr>
                  <w:tcW w:w="1900" w:type="dxa"/>
                  <w:vAlign w:val="center"/>
                </w:tcPr>
                <w:p>
                  <w:pPr>
                    <w:autoSpaceDE w:val="0"/>
                    <w:jc w:val="center"/>
                    <w:rPr>
                      <w:szCs w:val="21"/>
                      <w:highlight w:val="none"/>
                    </w:rPr>
                  </w:pPr>
                  <w:r>
                    <w:rPr>
                      <w:rFonts w:hint="eastAsia" w:ascii="宋体" w:hAnsi="宋体" w:cs="宋体"/>
                      <w:szCs w:val="21"/>
                      <w:highlight w:val="none"/>
                    </w:rPr>
                    <w:t>强氧化剂、氟、氯</w:t>
                  </w:r>
                </w:p>
              </w:tc>
              <w:tc>
                <w:tcPr>
                  <w:tcW w:w="2221" w:type="dxa"/>
                  <w:vAlign w:val="center"/>
                </w:tcPr>
                <w:p>
                  <w:pPr>
                    <w:autoSpaceDE w:val="0"/>
                    <w:jc w:val="center"/>
                    <w:rPr>
                      <w:szCs w:val="21"/>
                      <w:highlight w:val="none"/>
                    </w:rPr>
                  </w:pPr>
                  <w:r>
                    <w:rPr>
                      <w:rFonts w:hint="eastAsia" w:ascii="宋体" w:hAnsi="宋体" w:cs="宋体"/>
                      <w:szCs w:val="21"/>
                      <w:highlight w:val="none"/>
                    </w:rPr>
                    <w:t>聚合危害</w:t>
                  </w:r>
                </w:p>
              </w:tc>
              <w:tc>
                <w:tcPr>
                  <w:tcW w:w="3381" w:type="dxa"/>
                  <w:vAlign w:val="center"/>
                </w:tcPr>
                <w:p>
                  <w:pPr>
                    <w:widowControl/>
                    <w:jc w:val="center"/>
                    <w:rPr>
                      <w:kern w:val="0"/>
                      <w:szCs w:val="21"/>
                      <w:highlight w:val="none"/>
                    </w:rPr>
                  </w:pPr>
                  <w:r>
                    <w:rPr>
                      <w:rFonts w:hint="eastAsia" w:ascii="宋体" w:hAnsi="宋体" w:cs="宋体"/>
                      <w:szCs w:val="21"/>
                      <w:highlight w:val="none"/>
                    </w:rP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8" w:type="dxa"/>
                  <w:vAlign w:val="center"/>
                </w:tcPr>
                <w:p>
                  <w:pPr>
                    <w:autoSpaceDE w:val="0"/>
                    <w:jc w:val="center"/>
                    <w:rPr>
                      <w:szCs w:val="21"/>
                      <w:highlight w:val="none"/>
                    </w:rPr>
                  </w:pPr>
                  <w:r>
                    <w:rPr>
                      <w:rFonts w:hint="eastAsia" w:ascii="宋体" w:hAnsi="宋体" w:cs="宋体"/>
                      <w:szCs w:val="21"/>
                      <w:highlight w:val="none"/>
                    </w:rPr>
                    <w:t>分解产物</w:t>
                  </w:r>
                </w:p>
              </w:tc>
              <w:tc>
                <w:tcPr>
                  <w:tcW w:w="7502" w:type="dxa"/>
                  <w:gridSpan w:val="3"/>
                  <w:vAlign w:val="center"/>
                </w:tcPr>
                <w:p>
                  <w:pPr>
                    <w:autoSpaceDE w:val="0"/>
                    <w:jc w:val="center"/>
                    <w:rPr>
                      <w:szCs w:val="21"/>
                      <w:highlight w:val="none"/>
                    </w:rPr>
                  </w:pPr>
                  <w:r>
                    <w:rPr>
                      <w:rFonts w:hint="eastAsia" w:ascii="宋体" w:hAnsi="宋体" w:cs="宋体"/>
                      <w:szCs w:val="21"/>
                      <w:highlight w:val="none"/>
                    </w:rPr>
                    <w:t>一氧化碳、二氧化碳</w:t>
                  </w:r>
                </w:p>
              </w:tc>
            </w:tr>
          </w:tbl>
          <w:p>
            <w:pPr>
              <w:spacing w:line="520" w:lineRule="exact"/>
              <w:ind w:firstLine="480" w:firstLineChars="200"/>
              <w:rPr>
                <w:rFonts w:hint="eastAsia"/>
                <w:sz w:val="24"/>
                <w:highlight w:val="none"/>
              </w:rPr>
            </w:pPr>
            <w:r>
              <w:rPr>
                <w:rFonts w:hint="eastAsia"/>
                <w:sz w:val="24"/>
                <w:highlight w:val="none"/>
              </w:rPr>
              <w:t>天然气的主要成分是甲烷，其特性为：①易燃、易爆性；②天然气的密度在0℃，101.352kPa时为0.7174Kg/Nm3，</w:t>
            </w:r>
            <w:r>
              <w:rPr>
                <w:rFonts w:hint="eastAsia"/>
                <w:sz w:val="24"/>
                <w:highlight w:val="none"/>
              </w:rPr>
              <w:fldChar w:fldCharType="begin"/>
            </w:r>
            <w:r>
              <w:rPr>
                <w:rFonts w:hint="eastAsia"/>
                <w:sz w:val="24"/>
                <w:highlight w:val="none"/>
              </w:rPr>
              <w:instrText xml:space="preserve"> HYPERLINK "http://www.so.com/s?q=相对密度&amp;ie=utf-8&amp;src=wenda_link" </w:instrText>
            </w:r>
            <w:r>
              <w:rPr>
                <w:rFonts w:hint="eastAsia"/>
                <w:sz w:val="24"/>
                <w:highlight w:val="none"/>
              </w:rPr>
              <w:fldChar w:fldCharType="separate"/>
            </w:r>
            <w:r>
              <w:rPr>
                <w:rFonts w:hint="eastAsia"/>
                <w:sz w:val="24"/>
                <w:highlight w:val="none"/>
              </w:rPr>
              <w:t>相对密度</w:t>
            </w:r>
            <w:r>
              <w:rPr>
                <w:rFonts w:hint="eastAsia"/>
                <w:sz w:val="24"/>
                <w:highlight w:val="none"/>
              </w:rPr>
              <w:fldChar w:fldCharType="end"/>
            </w:r>
            <w:r>
              <w:rPr>
                <w:rFonts w:hint="eastAsia"/>
                <w:sz w:val="24"/>
                <w:highlight w:val="none"/>
              </w:rPr>
              <w:t>(设空气的密度为1)为0.5548，天然气约比空气轻一半，完全燃烧时，需要大量的空气助燃。③有毒害性和窒息性；④其低热值约为8000-8700千卡/Nm3（33.47-36.40兆焦/Nm3）；⑤腐蚀性低；⑥膨胀系数大； ⑦不易溶于水；⑧不含硫化氢时为无色无臭；⑨燃点（550℃）比较高，不易点燃；⑩天然气在空气中燃烧时的体积界限是5%～15%。</w:t>
            </w:r>
          </w:p>
          <w:p>
            <w:pPr>
              <w:spacing w:line="520" w:lineRule="exact"/>
              <w:ind w:firstLine="480" w:firstLineChars="200"/>
              <w:rPr>
                <w:rFonts w:hint="eastAsia"/>
                <w:sz w:val="24"/>
                <w:highlight w:val="none"/>
              </w:rPr>
            </w:pPr>
            <w:r>
              <w:rPr>
                <w:rFonts w:hint="eastAsia"/>
                <w:sz w:val="24"/>
                <w:highlight w:val="none"/>
              </w:rPr>
              <w:t>甲烷是无颜色、无气味的气体，沸点-161.4℃，比空气轻，它是极难溶于水的可燃性气体。甲烷和空气成适当比例的混合物，遇火花会发生爆炸。化学性质相当稳定，跟强酸、强碱或强氧化剂（如KMnO4）等一般不起反应。在适当条件下会发生氧化、热解及卤代等反应。长期高浓度接触会因缺氧对人体健康造成影响，当空气中的甲烷含量增加到10%以上时，便会出现缺氧状况，前期症状为虚弱眩晕，进而可能失去知觉，如不及时抢救，可能会造成人员缺氧死亡。</w:t>
            </w:r>
          </w:p>
          <w:p>
            <w:pPr>
              <w:spacing w:line="520" w:lineRule="exact"/>
              <w:ind w:firstLine="480" w:firstLineChars="200"/>
              <w:rPr>
                <w:bCs/>
                <w:sz w:val="24"/>
                <w:highlight w:val="none"/>
              </w:rPr>
            </w:pPr>
            <w:r>
              <w:rPr>
                <w:bCs/>
                <w:sz w:val="24"/>
                <w:highlight w:val="none"/>
              </w:rPr>
              <w:t>通过对项目的危险因素进行识别和分析，可以确定本项目的最大可信事故分为两类：一类：储罐泄漏引发的火灾和爆炸；二类：阀门、管道等天然气泄漏引发的火灾和爆炸。具体事故分析如下：</w:t>
            </w:r>
          </w:p>
          <w:p>
            <w:pPr>
              <w:spacing w:line="520" w:lineRule="exact"/>
              <w:ind w:firstLine="480" w:firstLineChars="200"/>
              <w:rPr>
                <w:bCs/>
                <w:sz w:val="24"/>
                <w:highlight w:val="none"/>
              </w:rPr>
            </w:pPr>
            <w:r>
              <w:rPr>
                <w:bCs/>
                <w:sz w:val="24"/>
                <w:highlight w:val="none"/>
              </w:rPr>
              <w:t>（1）储罐事故分析</w:t>
            </w:r>
          </w:p>
          <w:p>
            <w:pPr>
              <w:spacing w:line="520" w:lineRule="exact"/>
              <w:ind w:firstLine="480" w:firstLineChars="200"/>
              <w:rPr>
                <w:bCs/>
                <w:sz w:val="24"/>
                <w:highlight w:val="none"/>
              </w:rPr>
            </w:pPr>
            <w:r>
              <w:rPr>
                <w:bCs/>
                <w:sz w:val="24"/>
                <w:highlight w:val="none"/>
              </w:rPr>
              <w:t>储罐区是事故较常发生的地方。储罐区的事故主要是因泄漏和火灾等。根据国内外储罐事故概率分析，储罐及储存物质发生火灾爆炸等重大事故的概率为8.7×10</w:t>
            </w:r>
            <w:r>
              <w:rPr>
                <w:bCs/>
                <w:sz w:val="24"/>
                <w:highlight w:val="none"/>
                <w:vertAlign w:val="superscript"/>
              </w:rPr>
              <w:t>-5</w:t>
            </w:r>
            <w:r>
              <w:rPr>
                <w:bCs/>
                <w:sz w:val="24"/>
                <w:highlight w:val="none"/>
              </w:rPr>
              <w:t>次/年。</w:t>
            </w:r>
          </w:p>
          <w:p>
            <w:pPr>
              <w:spacing w:line="520" w:lineRule="exact"/>
              <w:ind w:firstLine="480" w:firstLineChars="200"/>
              <w:rPr>
                <w:bCs/>
                <w:sz w:val="24"/>
                <w:highlight w:val="none"/>
              </w:rPr>
            </w:pPr>
            <w:r>
              <w:rPr>
                <w:bCs/>
                <w:sz w:val="24"/>
                <w:highlight w:val="none"/>
              </w:rPr>
              <w:t>评价综合考虑本项目技术水平、管理规范、安全防范措施等，给出拟建项目的的事故发生概率为8.7×10</w:t>
            </w:r>
            <w:r>
              <w:rPr>
                <w:bCs/>
                <w:sz w:val="24"/>
                <w:highlight w:val="none"/>
                <w:vertAlign w:val="superscript"/>
              </w:rPr>
              <w:t>-5</w:t>
            </w:r>
            <w:r>
              <w:rPr>
                <w:bCs/>
                <w:sz w:val="24"/>
                <w:highlight w:val="none"/>
              </w:rPr>
              <w:t>次/年。</w:t>
            </w:r>
          </w:p>
          <w:p>
            <w:pPr>
              <w:numPr>
                <w:ilvl w:val="0"/>
                <w:numId w:val="5"/>
              </w:numPr>
              <w:spacing w:line="520" w:lineRule="exact"/>
              <w:ind w:firstLine="480" w:firstLineChars="200"/>
              <w:rPr>
                <w:bCs/>
                <w:sz w:val="24"/>
                <w:highlight w:val="none"/>
              </w:rPr>
            </w:pPr>
            <w:r>
              <w:rPr>
                <w:bCs/>
                <w:sz w:val="24"/>
                <w:highlight w:val="none"/>
              </w:rPr>
              <w:t>阀门管道等事故率分析</w:t>
            </w:r>
          </w:p>
          <w:p>
            <w:pPr>
              <w:spacing w:line="520" w:lineRule="exact"/>
              <w:ind w:firstLine="480" w:firstLineChars="200"/>
              <w:rPr>
                <w:bCs/>
                <w:sz w:val="24"/>
                <w:highlight w:val="none"/>
              </w:rPr>
            </w:pPr>
            <w:r>
              <w:rPr>
                <w:bCs/>
                <w:sz w:val="24"/>
                <w:highlight w:val="none"/>
              </w:rPr>
              <w:t>由</w:t>
            </w:r>
            <w:r>
              <w:rPr>
                <w:rFonts w:hint="eastAsia"/>
                <w:bCs/>
                <w:sz w:val="24"/>
                <w:highlight w:val="none"/>
              </w:rPr>
              <w:t>下</w:t>
            </w:r>
            <w:r>
              <w:rPr>
                <w:bCs/>
                <w:sz w:val="24"/>
                <w:highlight w:val="none"/>
              </w:rPr>
              <w:t>表事故原因及频率分布来看，由于阀门、管线泄漏造成的特大火灾爆炸事故所占比例很大，占35.1%。此外，在100起特大火灾爆炸事故中，报警及消防不力也是事态扩大的一个重要因素。</w:t>
            </w:r>
          </w:p>
          <w:p>
            <w:pPr>
              <w:spacing w:line="520" w:lineRule="exact"/>
              <w:ind w:firstLine="539"/>
              <w:jc w:val="center"/>
              <w:rPr>
                <w:b/>
                <w:szCs w:val="21"/>
                <w:highlight w:val="none"/>
              </w:rPr>
            </w:pPr>
            <w:r>
              <w:rPr>
                <w:b/>
                <w:szCs w:val="21"/>
                <w:highlight w:val="none"/>
              </w:rPr>
              <w:t>表</w:t>
            </w:r>
            <w:r>
              <w:rPr>
                <w:rFonts w:hint="eastAsia"/>
                <w:b/>
                <w:szCs w:val="21"/>
                <w:highlight w:val="none"/>
              </w:rPr>
              <w:t>4</w:t>
            </w:r>
            <w:r>
              <w:rPr>
                <w:rFonts w:hint="eastAsia"/>
                <w:b/>
                <w:szCs w:val="21"/>
                <w:highlight w:val="none"/>
                <w:lang w:val="en-US" w:eastAsia="zh-CN"/>
              </w:rPr>
              <w:t>8</w:t>
            </w:r>
            <w:r>
              <w:rPr>
                <w:b/>
                <w:szCs w:val="21"/>
                <w:highlight w:val="none"/>
              </w:rPr>
              <w:t xml:space="preserve">  按事故原因分类的事故频率分布表</w:t>
            </w:r>
          </w:p>
          <w:tbl>
            <w:tblPr>
              <w:tblStyle w:val="2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04"/>
              <w:gridCol w:w="2424"/>
              <w:gridCol w:w="1896"/>
              <w:gridCol w:w="1808"/>
              <w:gridCol w:w="18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1104" w:type="dxa"/>
                  <w:vAlign w:val="center"/>
                </w:tcPr>
                <w:p>
                  <w:pPr>
                    <w:jc w:val="center"/>
                    <w:rPr>
                      <w:bCs/>
                      <w:szCs w:val="21"/>
                      <w:highlight w:val="none"/>
                    </w:rPr>
                  </w:pPr>
                  <w:r>
                    <w:rPr>
                      <w:bCs/>
                      <w:szCs w:val="21"/>
                      <w:highlight w:val="none"/>
                    </w:rPr>
                    <w:t>序号</w:t>
                  </w:r>
                </w:p>
              </w:tc>
              <w:tc>
                <w:tcPr>
                  <w:tcW w:w="2424" w:type="dxa"/>
                  <w:vAlign w:val="center"/>
                </w:tcPr>
                <w:p>
                  <w:pPr>
                    <w:jc w:val="center"/>
                    <w:rPr>
                      <w:bCs/>
                      <w:szCs w:val="21"/>
                      <w:highlight w:val="none"/>
                    </w:rPr>
                  </w:pPr>
                  <w:r>
                    <w:rPr>
                      <w:bCs/>
                      <w:szCs w:val="21"/>
                      <w:highlight w:val="none"/>
                    </w:rPr>
                    <w:t>事故原因</w:t>
                  </w:r>
                </w:p>
              </w:tc>
              <w:tc>
                <w:tcPr>
                  <w:tcW w:w="1896" w:type="dxa"/>
                  <w:vAlign w:val="center"/>
                </w:tcPr>
                <w:p>
                  <w:pPr>
                    <w:jc w:val="center"/>
                    <w:rPr>
                      <w:bCs/>
                      <w:szCs w:val="21"/>
                      <w:highlight w:val="none"/>
                    </w:rPr>
                  </w:pPr>
                  <w:r>
                    <w:rPr>
                      <w:bCs/>
                      <w:szCs w:val="21"/>
                      <w:highlight w:val="none"/>
                    </w:rPr>
                    <w:t>事故频率数（件）</w:t>
                  </w:r>
                </w:p>
              </w:tc>
              <w:tc>
                <w:tcPr>
                  <w:tcW w:w="1808" w:type="dxa"/>
                  <w:vAlign w:val="center"/>
                </w:tcPr>
                <w:p>
                  <w:pPr>
                    <w:jc w:val="center"/>
                    <w:rPr>
                      <w:bCs/>
                      <w:szCs w:val="21"/>
                      <w:highlight w:val="none"/>
                    </w:rPr>
                  </w:pPr>
                  <w:r>
                    <w:rPr>
                      <w:bCs/>
                      <w:szCs w:val="21"/>
                      <w:highlight w:val="none"/>
                    </w:rPr>
                    <w:t>事故频率(％)</w:t>
                  </w:r>
                </w:p>
              </w:tc>
              <w:tc>
                <w:tcPr>
                  <w:tcW w:w="1808" w:type="dxa"/>
                  <w:vAlign w:val="center"/>
                </w:tcPr>
                <w:p>
                  <w:pPr>
                    <w:jc w:val="center"/>
                    <w:rPr>
                      <w:bCs/>
                      <w:szCs w:val="21"/>
                      <w:highlight w:val="none"/>
                    </w:rPr>
                  </w:pPr>
                  <w:r>
                    <w:rPr>
                      <w:bCs/>
                      <w:szCs w:val="21"/>
                      <w:highlight w:val="none"/>
                    </w:rPr>
                    <w:t>所占比例顺序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1104" w:type="dxa"/>
                  <w:vAlign w:val="center"/>
                </w:tcPr>
                <w:p>
                  <w:pPr>
                    <w:jc w:val="center"/>
                    <w:rPr>
                      <w:bCs/>
                      <w:szCs w:val="21"/>
                      <w:highlight w:val="none"/>
                    </w:rPr>
                  </w:pPr>
                  <w:r>
                    <w:rPr>
                      <w:bCs/>
                      <w:szCs w:val="21"/>
                      <w:highlight w:val="none"/>
                    </w:rPr>
                    <w:t>1</w:t>
                  </w:r>
                </w:p>
              </w:tc>
              <w:tc>
                <w:tcPr>
                  <w:tcW w:w="2424" w:type="dxa"/>
                  <w:vAlign w:val="center"/>
                </w:tcPr>
                <w:p>
                  <w:pPr>
                    <w:jc w:val="center"/>
                    <w:rPr>
                      <w:bCs/>
                      <w:szCs w:val="21"/>
                      <w:highlight w:val="none"/>
                    </w:rPr>
                  </w:pPr>
                  <w:r>
                    <w:rPr>
                      <w:bCs/>
                      <w:szCs w:val="21"/>
                      <w:highlight w:val="none"/>
                    </w:rPr>
                    <w:t>阀门、管线泄漏</w:t>
                  </w:r>
                </w:p>
              </w:tc>
              <w:tc>
                <w:tcPr>
                  <w:tcW w:w="1896" w:type="dxa"/>
                  <w:vAlign w:val="center"/>
                </w:tcPr>
                <w:p>
                  <w:pPr>
                    <w:jc w:val="center"/>
                    <w:rPr>
                      <w:bCs/>
                      <w:szCs w:val="21"/>
                      <w:highlight w:val="none"/>
                    </w:rPr>
                  </w:pPr>
                  <w:r>
                    <w:rPr>
                      <w:bCs/>
                      <w:szCs w:val="21"/>
                      <w:highlight w:val="none"/>
                    </w:rPr>
                    <w:t>34</w:t>
                  </w:r>
                </w:p>
              </w:tc>
              <w:tc>
                <w:tcPr>
                  <w:tcW w:w="1808" w:type="dxa"/>
                  <w:vAlign w:val="center"/>
                </w:tcPr>
                <w:p>
                  <w:pPr>
                    <w:jc w:val="center"/>
                    <w:rPr>
                      <w:bCs/>
                      <w:szCs w:val="21"/>
                      <w:highlight w:val="none"/>
                    </w:rPr>
                  </w:pPr>
                  <w:r>
                    <w:rPr>
                      <w:bCs/>
                      <w:szCs w:val="21"/>
                      <w:highlight w:val="none"/>
                    </w:rPr>
                    <w:t>35.1</w:t>
                  </w:r>
                </w:p>
              </w:tc>
              <w:tc>
                <w:tcPr>
                  <w:tcW w:w="1808" w:type="dxa"/>
                  <w:vAlign w:val="center"/>
                </w:tcPr>
                <w:p>
                  <w:pPr>
                    <w:jc w:val="center"/>
                    <w:rPr>
                      <w:bCs/>
                      <w:szCs w:val="21"/>
                      <w:highlight w:val="none"/>
                    </w:rPr>
                  </w:pPr>
                  <w:r>
                    <w:rPr>
                      <w:bCs/>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1104" w:type="dxa"/>
                  <w:vAlign w:val="center"/>
                </w:tcPr>
                <w:p>
                  <w:pPr>
                    <w:jc w:val="center"/>
                    <w:rPr>
                      <w:bCs/>
                      <w:szCs w:val="21"/>
                      <w:highlight w:val="none"/>
                    </w:rPr>
                  </w:pPr>
                  <w:r>
                    <w:rPr>
                      <w:bCs/>
                      <w:szCs w:val="21"/>
                      <w:highlight w:val="none"/>
                    </w:rPr>
                    <w:t>2</w:t>
                  </w:r>
                </w:p>
              </w:tc>
              <w:tc>
                <w:tcPr>
                  <w:tcW w:w="2424" w:type="dxa"/>
                  <w:vAlign w:val="center"/>
                </w:tcPr>
                <w:p>
                  <w:pPr>
                    <w:jc w:val="center"/>
                    <w:rPr>
                      <w:bCs/>
                      <w:szCs w:val="21"/>
                      <w:highlight w:val="none"/>
                    </w:rPr>
                  </w:pPr>
                  <w:r>
                    <w:rPr>
                      <w:bCs/>
                      <w:szCs w:val="21"/>
                      <w:highlight w:val="none"/>
                    </w:rPr>
                    <w:t>泵、设备故障</w:t>
                  </w:r>
                </w:p>
              </w:tc>
              <w:tc>
                <w:tcPr>
                  <w:tcW w:w="1896" w:type="dxa"/>
                  <w:vAlign w:val="center"/>
                </w:tcPr>
                <w:p>
                  <w:pPr>
                    <w:jc w:val="center"/>
                    <w:rPr>
                      <w:bCs/>
                      <w:szCs w:val="21"/>
                      <w:highlight w:val="none"/>
                    </w:rPr>
                  </w:pPr>
                  <w:r>
                    <w:rPr>
                      <w:bCs/>
                      <w:szCs w:val="21"/>
                      <w:highlight w:val="none"/>
                    </w:rPr>
                    <w:t>18</w:t>
                  </w:r>
                </w:p>
              </w:tc>
              <w:tc>
                <w:tcPr>
                  <w:tcW w:w="1808" w:type="dxa"/>
                  <w:vAlign w:val="center"/>
                </w:tcPr>
                <w:p>
                  <w:pPr>
                    <w:jc w:val="center"/>
                    <w:rPr>
                      <w:bCs/>
                      <w:szCs w:val="21"/>
                      <w:highlight w:val="none"/>
                    </w:rPr>
                  </w:pPr>
                  <w:r>
                    <w:rPr>
                      <w:bCs/>
                      <w:szCs w:val="21"/>
                      <w:highlight w:val="none"/>
                    </w:rPr>
                    <w:t>18.2</w:t>
                  </w:r>
                </w:p>
              </w:tc>
              <w:tc>
                <w:tcPr>
                  <w:tcW w:w="1808" w:type="dxa"/>
                  <w:vAlign w:val="center"/>
                </w:tcPr>
                <w:p>
                  <w:pPr>
                    <w:jc w:val="center"/>
                    <w:rPr>
                      <w:bCs/>
                      <w:szCs w:val="21"/>
                      <w:highlight w:val="none"/>
                    </w:rPr>
                  </w:pPr>
                  <w:r>
                    <w:rPr>
                      <w:bCs/>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1104" w:type="dxa"/>
                  <w:vAlign w:val="center"/>
                </w:tcPr>
                <w:p>
                  <w:pPr>
                    <w:jc w:val="center"/>
                    <w:rPr>
                      <w:bCs/>
                      <w:szCs w:val="21"/>
                      <w:highlight w:val="none"/>
                    </w:rPr>
                  </w:pPr>
                  <w:r>
                    <w:rPr>
                      <w:bCs/>
                      <w:szCs w:val="21"/>
                      <w:highlight w:val="none"/>
                    </w:rPr>
                    <w:t>3</w:t>
                  </w:r>
                </w:p>
              </w:tc>
              <w:tc>
                <w:tcPr>
                  <w:tcW w:w="2424" w:type="dxa"/>
                  <w:vAlign w:val="center"/>
                </w:tcPr>
                <w:p>
                  <w:pPr>
                    <w:jc w:val="center"/>
                    <w:rPr>
                      <w:bCs/>
                      <w:szCs w:val="21"/>
                      <w:highlight w:val="none"/>
                    </w:rPr>
                  </w:pPr>
                  <w:r>
                    <w:rPr>
                      <w:bCs/>
                      <w:szCs w:val="21"/>
                      <w:highlight w:val="none"/>
                    </w:rPr>
                    <w:t>操作失误</w:t>
                  </w:r>
                </w:p>
              </w:tc>
              <w:tc>
                <w:tcPr>
                  <w:tcW w:w="1896" w:type="dxa"/>
                  <w:vAlign w:val="center"/>
                </w:tcPr>
                <w:p>
                  <w:pPr>
                    <w:jc w:val="center"/>
                    <w:rPr>
                      <w:bCs/>
                      <w:szCs w:val="21"/>
                      <w:highlight w:val="none"/>
                    </w:rPr>
                  </w:pPr>
                  <w:r>
                    <w:rPr>
                      <w:bCs/>
                      <w:szCs w:val="21"/>
                      <w:highlight w:val="none"/>
                    </w:rPr>
                    <w:t>15</w:t>
                  </w:r>
                </w:p>
              </w:tc>
              <w:tc>
                <w:tcPr>
                  <w:tcW w:w="1808" w:type="dxa"/>
                  <w:vAlign w:val="center"/>
                </w:tcPr>
                <w:p>
                  <w:pPr>
                    <w:jc w:val="center"/>
                    <w:rPr>
                      <w:bCs/>
                      <w:szCs w:val="21"/>
                      <w:highlight w:val="none"/>
                    </w:rPr>
                  </w:pPr>
                  <w:r>
                    <w:rPr>
                      <w:bCs/>
                      <w:szCs w:val="21"/>
                      <w:highlight w:val="none"/>
                    </w:rPr>
                    <w:t>15.6</w:t>
                  </w:r>
                </w:p>
              </w:tc>
              <w:tc>
                <w:tcPr>
                  <w:tcW w:w="1808" w:type="dxa"/>
                  <w:vAlign w:val="center"/>
                </w:tcPr>
                <w:p>
                  <w:pPr>
                    <w:jc w:val="center"/>
                    <w:rPr>
                      <w:bCs/>
                      <w:szCs w:val="21"/>
                      <w:highlight w:val="none"/>
                    </w:rPr>
                  </w:pPr>
                  <w:r>
                    <w:rPr>
                      <w:bCs/>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1104" w:type="dxa"/>
                  <w:vAlign w:val="center"/>
                </w:tcPr>
                <w:p>
                  <w:pPr>
                    <w:jc w:val="center"/>
                    <w:rPr>
                      <w:bCs/>
                      <w:szCs w:val="21"/>
                      <w:highlight w:val="none"/>
                    </w:rPr>
                  </w:pPr>
                  <w:r>
                    <w:rPr>
                      <w:bCs/>
                      <w:szCs w:val="21"/>
                      <w:highlight w:val="none"/>
                    </w:rPr>
                    <w:t>4</w:t>
                  </w:r>
                </w:p>
              </w:tc>
              <w:tc>
                <w:tcPr>
                  <w:tcW w:w="2424" w:type="dxa"/>
                  <w:vAlign w:val="center"/>
                </w:tcPr>
                <w:p>
                  <w:pPr>
                    <w:jc w:val="center"/>
                    <w:rPr>
                      <w:bCs/>
                      <w:szCs w:val="21"/>
                      <w:highlight w:val="none"/>
                    </w:rPr>
                  </w:pPr>
                  <w:r>
                    <w:rPr>
                      <w:bCs/>
                      <w:szCs w:val="21"/>
                      <w:highlight w:val="none"/>
                    </w:rPr>
                    <w:t>仪表、电气失控</w:t>
                  </w:r>
                </w:p>
              </w:tc>
              <w:tc>
                <w:tcPr>
                  <w:tcW w:w="1896" w:type="dxa"/>
                  <w:vAlign w:val="center"/>
                </w:tcPr>
                <w:p>
                  <w:pPr>
                    <w:jc w:val="center"/>
                    <w:rPr>
                      <w:bCs/>
                      <w:szCs w:val="21"/>
                      <w:highlight w:val="none"/>
                    </w:rPr>
                  </w:pPr>
                  <w:r>
                    <w:rPr>
                      <w:bCs/>
                      <w:szCs w:val="21"/>
                      <w:highlight w:val="none"/>
                    </w:rPr>
                    <w:t>12</w:t>
                  </w:r>
                </w:p>
              </w:tc>
              <w:tc>
                <w:tcPr>
                  <w:tcW w:w="1808" w:type="dxa"/>
                  <w:vAlign w:val="center"/>
                </w:tcPr>
                <w:p>
                  <w:pPr>
                    <w:jc w:val="center"/>
                    <w:rPr>
                      <w:bCs/>
                      <w:szCs w:val="21"/>
                      <w:highlight w:val="none"/>
                    </w:rPr>
                  </w:pPr>
                  <w:r>
                    <w:rPr>
                      <w:bCs/>
                      <w:szCs w:val="21"/>
                      <w:highlight w:val="none"/>
                    </w:rPr>
                    <w:t>12.4</w:t>
                  </w:r>
                </w:p>
              </w:tc>
              <w:tc>
                <w:tcPr>
                  <w:tcW w:w="1808" w:type="dxa"/>
                  <w:vAlign w:val="center"/>
                </w:tcPr>
                <w:p>
                  <w:pPr>
                    <w:jc w:val="center"/>
                    <w:rPr>
                      <w:bCs/>
                      <w:szCs w:val="21"/>
                      <w:highlight w:val="none"/>
                    </w:rPr>
                  </w:pPr>
                  <w:r>
                    <w:rPr>
                      <w:bCs/>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1104" w:type="dxa"/>
                  <w:vAlign w:val="center"/>
                </w:tcPr>
                <w:p>
                  <w:pPr>
                    <w:jc w:val="center"/>
                    <w:rPr>
                      <w:bCs/>
                      <w:szCs w:val="21"/>
                      <w:highlight w:val="none"/>
                    </w:rPr>
                  </w:pPr>
                  <w:r>
                    <w:rPr>
                      <w:bCs/>
                      <w:szCs w:val="21"/>
                      <w:highlight w:val="none"/>
                    </w:rPr>
                    <w:t>5</w:t>
                  </w:r>
                </w:p>
              </w:tc>
              <w:tc>
                <w:tcPr>
                  <w:tcW w:w="2424" w:type="dxa"/>
                  <w:vAlign w:val="center"/>
                </w:tcPr>
                <w:p>
                  <w:pPr>
                    <w:jc w:val="center"/>
                    <w:rPr>
                      <w:bCs/>
                      <w:szCs w:val="21"/>
                      <w:highlight w:val="none"/>
                    </w:rPr>
                  </w:pPr>
                  <w:r>
                    <w:rPr>
                      <w:bCs/>
                      <w:szCs w:val="21"/>
                      <w:highlight w:val="none"/>
                    </w:rPr>
                    <w:t>突沸、反应失控</w:t>
                  </w:r>
                </w:p>
              </w:tc>
              <w:tc>
                <w:tcPr>
                  <w:tcW w:w="1896" w:type="dxa"/>
                  <w:vAlign w:val="center"/>
                </w:tcPr>
                <w:p>
                  <w:pPr>
                    <w:jc w:val="center"/>
                    <w:rPr>
                      <w:bCs/>
                      <w:szCs w:val="21"/>
                      <w:highlight w:val="none"/>
                    </w:rPr>
                  </w:pPr>
                  <w:r>
                    <w:rPr>
                      <w:bCs/>
                      <w:szCs w:val="21"/>
                      <w:highlight w:val="none"/>
                    </w:rPr>
                    <w:t>10</w:t>
                  </w:r>
                </w:p>
              </w:tc>
              <w:tc>
                <w:tcPr>
                  <w:tcW w:w="1808" w:type="dxa"/>
                  <w:vAlign w:val="center"/>
                </w:tcPr>
                <w:p>
                  <w:pPr>
                    <w:jc w:val="center"/>
                    <w:rPr>
                      <w:bCs/>
                      <w:szCs w:val="21"/>
                      <w:highlight w:val="none"/>
                    </w:rPr>
                  </w:pPr>
                  <w:r>
                    <w:rPr>
                      <w:bCs/>
                      <w:szCs w:val="21"/>
                      <w:highlight w:val="none"/>
                    </w:rPr>
                    <w:t>10.4</w:t>
                  </w:r>
                </w:p>
              </w:tc>
              <w:tc>
                <w:tcPr>
                  <w:tcW w:w="1808" w:type="dxa"/>
                  <w:vAlign w:val="center"/>
                </w:tcPr>
                <w:p>
                  <w:pPr>
                    <w:jc w:val="center"/>
                    <w:rPr>
                      <w:bCs/>
                      <w:szCs w:val="21"/>
                      <w:highlight w:val="none"/>
                    </w:rPr>
                  </w:pPr>
                  <w:r>
                    <w:rPr>
                      <w:bCs/>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1104" w:type="dxa"/>
                  <w:vAlign w:val="center"/>
                </w:tcPr>
                <w:p>
                  <w:pPr>
                    <w:jc w:val="center"/>
                    <w:rPr>
                      <w:bCs/>
                      <w:szCs w:val="21"/>
                      <w:highlight w:val="none"/>
                    </w:rPr>
                  </w:pPr>
                  <w:r>
                    <w:rPr>
                      <w:bCs/>
                      <w:szCs w:val="21"/>
                      <w:highlight w:val="none"/>
                    </w:rPr>
                    <w:t>6</w:t>
                  </w:r>
                </w:p>
              </w:tc>
              <w:tc>
                <w:tcPr>
                  <w:tcW w:w="2424" w:type="dxa"/>
                  <w:vAlign w:val="center"/>
                </w:tcPr>
                <w:p>
                  <w:pPr>
                    <w:jc w:val="center"/>
                    <w:rPr>
                      <w:bCs/>
                      <w:szCs w:val="21"/>
                      <w:highlight w:val="none"/>
                    </w:rPr>
                  </w:pPr>
                  <w:r>
                    <w:rPr>
                      <w:bCs/>
                      <w:szCs w:val="21"/>
                      <w:highlight w:val="none"/>
                    </w:rPr>
                    <w:t>雷击等自然灾害</w:t>
                  </w:r>
                </w:p>
              </w:tc>
              <w:tc>
                <w:tcPr>
                  <w:tcW w:w="1896" w:type="dxa"/>
                  <w:vAlign w:val="center"/>
                </w:tcPr>
                <w:p>
                  <w:pPr>
                    <w:jc w:val="center"/>
                    <w:rPr>
                      <w:bCs/>
                      <w:szCs w:val="21"/>
                      <w:highlight w:val="none"/>
                    </w:rPr>
                  </w:pPr>
                  <w:r>
                    <w:rPr>
                      <w:bCs/>
                      <w:szCs w:val="21"/>
                      <w:highlight w:val="none"/>
                    </w:rPr>
                    <w:t>8</w:t>
                  </w:r>
                </w:p>
              </w:tc>
              <w:tc>
                <w:tcPr>
                  <w:tcW w:w="1808" w:type="dxa"/>
                  <w:vAlign w:val="center"/>
                </w:tcPr>
                <w:p>
                  <w:pPr>
                    <w:jc w:val="center"/>
                    <w:rPr>
                      <w:bCs/>
                      <w:szCs w:val="21"/>
                      <w:highlight w:val="none"/>
                    </w:rPr>
                  </w:pPr>
                  <w:r>
                    <w:rPr>
                      <w:bCs/>
                      <w:szCs w:val="21"/>
                      <w:highlight w:val="none"/>
                    </w:rPr>
                    <w:t>8.2</w:t>
                  </w:r>
                </w:p>
              </w:tc>
              <w:tc>
                <w:tcPr>
                  <w:tcW w:w="1808" w:type="dxa"/>
                  <w:vAlign w:val="center"/>
                </w:tcPr>
                <w:p>
                  <w:pPr>
                    <w:jc w:val="center"/>
                    <w:rPr>
                      <w:bCs/>
                      <w:szCs w:val="21"/>
                      <w:highlight w:val="none"/>
                    </w:rPr>
                  </w:pPr>
                  <w:r>
                    <w:rPr>
                      <w:bCs/>
                      <w:szCs w:val="21"/>
                      <w:highlight w:val="none"/>
                    </w:rPr>
                    <w:t>6</w:t>
                  </w:r>
                </w:p>
              </w:tc>
            </w:tr>
          </w:tbl>
          <w:p>
            <w:pPr>
              <w:autoSpaceDE w:val="0"/>
              <w:autoSpaceDN w:val="0"/>
              <w:adjustRightInd w:val="0"/>
              <w:spacing w:line="520" w:lineRule="exact"/>
              <w:ind w:firstLine="480" w:firstLineChars="200"/>
              <w:jc w:val="left"/>
              <w:rPr>
                <w:kern w:val="0"/>
                <w:sz w:val="24"/>
                <w:highlight w:val="none"/>
              </w:rPr>
            </w:pPr>
            <w:r>
              <w:rPr>
                <w:bCs/>
                <w:sz w:val="24"/>
                <w:highlight w:val="none"/>
              </w:rPr>
              <w:t>根据以上分析，罐区泄漏、管线及生产设备等泄漏发生概率最高，因此选择罐区泄漏、生产区阀门管线设备等泄漏等作为最大可信事故。</w:t>
            </w:r>
          </w:p>
          <w:p>
            <w:pPr>
              <w:spacing w:line="360" w:lineRule="auto"/>
              <w:ind w:left="50" w:leftChars="24" w:right="105" w:rightChars="50" w:firstLine="480" w:firstLineChars="200"/>
              <w:rPr>
                <w:sz w:val="24"/>
                <w:highlight w:val="none"/>
              </w:rPr>
            </w:pPr>
            <w:bookmarkStart w:id="8" w:name="_Toc444104384"/>
            <w:r>
              <w:rPr>
                <w:sz w:val="24"/>
                <w:highlight w:val="none"/>
              </w:rPr>
              <w:t>（3）火灾爆炸影响</w:t>
            </w:r>
            <w:bookmarkEnd w:id="8"/>
          </w:p>
          <w:p>
            <w:pPr>
              <w:pStyle w:val="9"/>
              <w:spacing w:line="520" w:lineRule="exact"/>
              <w:ind w:firstLine="482" w:firstLineChars="201"/>
              <w:rPr>
                <w:b/>
                <w:sz w:val="24"/>
                <w:highlight w:val="none"/>
              </w:rPr>
            </w:pPr>
            <w:r>
              <w:rPr>
                <w:sz w:val="24"/>
                <w:highlight w:val="none"/>
              </w:rPr>
              <w:t>天然气为易燃气体，与空气能形成爆炸性混合物，容易发生火灾爆炸。除爆炸冲击波和热辐射伤害之外，会产生水、CO、CO</w:t>
            </w:r>
            <w:r>
              <w:rPr>
                <w:sz w:val="24"/>
                <w:highlight w:val="none"/>
                <w:vertAlign w:val="subscript"/>
              </w:rPr>
              <w:t>2</w:t>
            </w:r>
            <w:r>
              <w:rPr>
                <w:sz w:val="24"/>
                <w:highlight w:val="none"/>
              </w:rPr>
              <w:t>等物质，应落实各项环境风险防范及应急措施，迅速采取灭火措施有效抑制CO等有害物质的排放，并及时疏导下风向人员，减轻环境影响。</w:t>
            </w:r>
          </w:p>
          <w:p>
            <w:pPr>
              <w:spacing w:line="360" w:lineRule="auto"/>
              <w:ind w:left="105" w:leftChars="50" w:right="105" w:rightChars="50" w:firstLine="480" w:firstLineChars="200"/>
              <w:rPr>
                <w:sz w:val="24"/>
                <w:highlight w:val="none"/>
              </w:rPr>
            </w:pPr>
            <w:r>
              <w:rPr>
                <w:sz w:val="24"/>
                <w:highlight w:val="none"/>
              </w:rPr>
              <w:t>（4）泄露影响</w:t>
            </w:r>
          </w:p>
          <w:p>
            <w:pPr>
              <w:spacing w:line="360" w:lineRule="auto"/>
              <w:ind w:left="50" w:leftChars="24" w:right="105" w:rightChars="50" w:firstLine="480" w:firstLineChars="200"/>
              <w:rPr>
                <w:bCs/>
                <w:sz w:val="24"/>
                <w:highlight w:val="none"/>
              </w:rPr>
            </w:pPr>
            <w:r>
              <w:rPr>
                <w:sz w:val="24"/>
                <w:highlight w:val="none"/>
              </w:rPr>
              <w:t>天然气是在压力条件下排出，可用气体流动标准方程计算。</w:t>
            </w:r>
          </w:p>
          <w:p>
            <w:pPr>
              <w:ind w:left="50" w:leftChars="24" w:right="105" w:rightChars="50" w:firstLine="480" w:firstLineChars="200"/>
              <w:rPr>
                <w:sz w:val="24"/>
                <w:highlight w:val="none"/>
              </w:rPr>
            </w:pPr>
            <w:r>
              <w:rPr>
                <w:sz w:val="24"/>
                <w:highlight w:val="none"/>
              </w:rPr>
              <w:t>当气体流速在音速范围(临界流)：</w:t>
            </w:r>
          </w:p>
          <w:p>
            <w:pPr>
              <w:spacing w:line="360" w:lineRule="auto"/>
              <w:ind w:left="50" w:leftChars="24" w:right="105" w:rightChars="50" w:firstLine="480" w:firstLineChars="200"/>
              <w:jc w:val="center"/>
              <w:rPr>
                <w:sz w:val="24"/>
                <w:highlight w:val="none"/>
              </w:rPr>
            </w:pPr>
            <w:r>
              <w:rPr>
                <w:sz w:val="24"/>
                <w:highlight w:val="none"/>
              </w:rPr>
              <w:drawing>
                <wp:inline distT="0" distB="0" distL="114300" distR="114300">
                  <wp:extent cx="946150" cy="473075"/>
                  <wp:effectExtent l="0" t="0" r="6350" b="3175"/>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30"/>
                          <a:stretch>
                            <a:fillRect/>
                          </a:stretch>
                        </pic:blipFill>
                        <pic:spPr>
                          <a:xfrm>
                            <a:off x="0" y="0"/>
                            <a:ext cx="946150" cy="473075"/>
                          </a:xfrm>
                          <a:prstGeom prst="rect">
                            <a:avLst/>
                          </a:prstGeom>
                          <a:noFill/>
                          <a:ln w="9525">
                            <a:noFill/>
                          </a:ln>
                        </pic:spPr>
                      </pic:pic>
                    </a:graphicData>
                  </a:graphic>
                </wp:inline>
              </w:drawing>
            </w:r>
          </w:p>
          <w:p>
            <w:pPr>
              <w:spacing w:line="360" w:lineRule="auto"/>
              <w:ind w:left="50" w:leftChars="24" w:right="105" w:rightChars="50" w:firstLine="480" w:firstLineChars="200"/>
              <w:rPr>
                <w:sz w:val="24"/>
                <w:highlight w:val="none"/>
              </w:rPr>
            </w:pPr>
            <w:r>
              <w:rPr>
                <w:sz w:val="24"/>
                <w:highlight w:val="none"/>
              </w:rPr>
              <w:t>当气体流速在亚音速范围(次临界流)：</w:t>
            </w:r>
          </w:p>
          <w:p>
            <w:pPr>
              <w:spacing w:line="360" w:lineRule="auto"/>
              <w:ind w:left="50" w:leftChars="24" w:right="105" w:rightChars="50" w:firstLine="480" w:firstLineChars="200"/>
              <w:jc w:val="center"/>
              <w:rPr>
                <w:sz w:val="24"/>
                <w:highlight w:val="none"/>
              </w:rPr>
            </w:pPr>
            <w:r>
              <w:rPr>
                <w:sz w:val="24"/>
                <w:highlight w:val="none"/>
              </w:rPr>
              <w:drawing>
                <wp:inline distT="0" distB="0" distL="114300" distR="114300">
                  <wp:extent cx="990600" cy="520700"/>
                  <wp:effectExtent l="0" t="0" r="0" b="13335"/>
                  <wp:docPr id="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pic:cNvPicPr>
                            <a:picLocks noChangeAspect="1"/>
                          </pic:cNvPicPr>
                        </pic:nvPicPr>
                        <pic:blipFill>
                          <a:blip r:embed="rId31"/>
                          <a:stretch>
                            <a:fillRect/>
                          </a:stretch>
                        </pic:blipFill>
                        <pic:spPr>
                          <a:xfrm>
                            <a:off x="0" y="0"/>
                            <a:ext cx="990600" cy="520700"/>
                          </a:xfrm>
                          <a:prstGeom prst="rect">
                            <a:avLst/>
                          </a:prstGeom>
                          <a:noFill/>
                          <a:ln w="9525">
                            <a:noFill/>
                          </a:ln>
                        </pic:spPr>
                      </pic:pic>
                    </a:graphicData>
                  </a:graphic>
                </wp:inline>
              </w:drawing>
            </w:r>
          </w:p>
          <w:p>
            <w:pPr>
              <w:spacing w:line="360" w:lineRule="auto"/>
              <w:ind w:left="50" w:leftChars="24" w:right="105" w:rightChars="50" w:firstLine="480" w:firstLineChars="200"/>
              <w:rPr>
                <w:sz w:val="24"/>
                <w:highlight w:val="none"/>
              </w:rPr>
            </w:pPr>
            <w:r>
              <w:rPr>
                <w:sz w:val="24"/>
                <w:highlight w:val="none"/>
              </w:rPr>
              <w:drawing>
                <wp:anchor distT="0" distB="0" distL="114300" distR="114300" simplePos="0" relativeHeight="251718656" behindDoc="0" locked="0" layoutInCell="0" allowOverlap="1">
                  <wp:simplePos x="0" y="0"/>
                  <wp:positionH relativeFrom="column">
                    <wp:posOffset>0</wp:posOffset>
                  </wp:positionH>
                  <wp:positionV relativeFrom="paragraph">
                    <wp:posOffset>0</wp:posOffset>
                  </wp:positionV>
                  <wp:extent cx="114300" cy="215900"/>
                  <wp:effectExtent l="0" t="0" r="0" b="0"/>
                  <wp:wrapTopAndBottom/>
                  <wp:docPr id="8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4"/>
                          <pic:cNvPicPr>
                            <a:picLocks noChangeAspect="1"/>
                          </pic:cNvPicPr>
                        </pic:nvPicPr>
                        <pic:blipFill>
                          <a:blip r:embed="rId32"/>
                          <a:stretch>
                            <a:fillRect/>
                          </a:stretch>
                        </pic:blipFill>
                        <pic:spPr>
                          <a:xfrm>
                            <a:off x="0" y="0"/>
                            <a:ext cx="114300" cy="215900"/>
                          </a:xfrm>
                          <a:prstGeom prst="rect">
                            <a:avLst/>
                          </a:prstGeom>
                          <a:noFill/>
                          <a:ln w="9525">
                            <a:noFill/>
                          </a:ln>
                        </pic:spPr>
                      </pic:pic>
                    </a:graphicData>
                  </a:graphic>
                </wp:anchor>
              </w:drawing>
            </w:r>
            <w:r>
              <w:rPr>
                <w:sz w:val="24"/>
                <w:highlight w:val="none"/>
              </w:rPr>
              <w:t>式中：</w:t>
            </w:r>
          </w:p>
          <w:p>
            <w:pPr>
              <w:spacing w:line="360" w:lineRule="auto"/>
              <w:ind w:left="50" w:leftChars="24" w:right="105" w:rightChars="50" w:firstLine="480" w:firstLineChars="200"/>
              <w:rPr>
                <w:sz w:val="24"/>
                <w:highlight w:val="none"/>
              </w:rPr>
            </w:pPr>
            <w:r>
              <w:rPr>
                <w:sz w:val="24"/>
                <w:highlight w:val="none"/>
              </w:rPr>
              <w:t>P——容器内介质压力，Pa，调压后的储罐压力取0.8MPa；</w:t>
            </w:r>
          </w:p>
          <w:p>
            <w:pPr>
              <w:spacing w:line="360" w:lineRule="auto"/>
              <w:ind w:left="50" w:leftChars="24" w:right="105" w:rightChars="50" w:firstLine="480" w:firstLineChars="200"/>
              <w:rPr>
                <w:sz w:val="24"/>
                <w:highlight w:val="none"/>
              </w:rPr>
            </w:pPr>
            <w:r>
              <w:rPr>
                <w:sz w:val="24"/>
                <w:highlight w:val="none"/>
              </w:rPr>
              <w:t>P</w:t>
            </w:r>
            <w:r>
              <w:rPr>
                <w:sz w:val="24"/>
                <w:highlight w:val="none"/>
                <w:vertAlign w:val="subscript"/>
              </w:rPr>
              <w:t>0</w:t>
            </w:r>
            <w:r>
              <w:rPr>
                <w:sz w:val="24"/>
                <w:highlight w:val="none"/>
              </w:rPr>
              <w:t>——环境压力，Pa，取值101325Pa；</w:t>
            </w:r>
          </w:p>
          <w:p>
            <w:pPr>
              <w:spacing w:line="360" w:lineRule="auto"/>
              <w:ind w:left="50" w:leftChars="24" w:right="105" w:rightChars="50" w:firstLine="480" w:firstLineChars="200"/>
              <w:rPr>
                <w:sz w:val="24"/>
                <w:highlight w:val="none"/>
              </w:rPr>
            </w:pPr>
            <w:r>
              <w:rPr>
                <w:sz w:val="24"/>
                <w:highlight w:val="none"/>
              </w:rPr>
              <w:t>κ——气体的绝热指数（热容比），即定压热容Cp与定容热容C</w:t>
            </w:r>
            <w:r>
              <w:rPr>
                <w:sz w:val="24"/>
                <w:highlight w:val="none"/>
                <w:vertAlign w:val="subscript"/>
              </w:rPr>
              <w:t>V</w:t>
            </w:r>
            <w:r>
              <w:rPr>
                <w:sz w:val="24"/>
                <w:highlight w:val="none"/>
              </w:rPr>
              <w:t>之比，取值为1.3022。</w:t>
            </w:r>
          </w:p>
          <w:p>
            <w:pPr>
              <w:spacing w:line="360" w:lineRule="auto"/>
              <w:ind w:left="50" w:leftChars="24" w:right="105" w:rightChars="50" w:firstLine="480" w:firstLineChars="200"/>
              <w:rPr>
                <w:sz w:val="24"/>
                <w:highlight w:val="none"/>
              </w:rPr>
            </w:pPr>
            <w:r>
              <w:rPr>
                <w:sz w:val="24"/>
                <w:highlight w:val="none"/>
              </w:rPr>
              <w:t>经计算，天然气泄漏符合临界流的条件。</w:t>
            </w:r>
          </w:p>
          <w:p>
            <w:pPr>
              <w:spacing w:line="360" w:lineRule="auto"/>
              <w:ind w:left="50" w:leftChars="24" w:right="105" w:rightChars="50" w:firstLine="480" w:firstLineChars="200"/>
              <w:rPr>
                <w:sz w:val="24"/>
                <w:highlight w:val="none"/>
              </w:rPr>
            </w:pPr>
            <w:r>
              <w:rPr>
                <w:sz w:val="24"/>
                <w:highlight w:val="none"/>
              </w:rPr>
              <w:t>假定气体的特性是理想气体，气体泄漏速度Q</w:t>
            </w:r>
            <w:r>
              <w:rPr>
                <w:sz w:val="24"/>
                <w:highlight w:val="none"/>
                <w:vertAlign w:val="subscript"/>
              </w:rPr>
              <w:t>G</w:t>
            </w:r>
            <w:r>
              <w:rPr>
                <w:sz w:val="24"/>
                <w:highlight w:val="none"/>
              </w:rPr>
              <w:t>按下式计算：</w:t>
            </w:r>
          </w:p>
          <w:p>
            <w:pPr>
              <w:spacing w:line="360" w:lineRule="auto"/>
              <w:ind w:left="50" w:leftChars="24" w:right="105" w:rightChars="50" w:firstLine="480" w:firstLineChars="200"/>
              <w:jc w:val="center"/>
              <w:rPr>
                <w:sz w:val="24"/>
                <w:highlight w:val="none"/>
              </w:rPr>
            </w:pPr>
            <w:r>
              <w:rPr>
                <w:sz w:val="24"/>
                <w:highlight w:val="none"/>
              </w:rPr>
              <w:drawing>
                <wp:inline distT="0" distB="0" distL="114300" distR="114300">
                  <wp:extent cx="1943100" cy="584200"/>
                  <wp:effectExtent l="0" t="0" r="0" b="5715"/>
                  <wp:docPr id="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
                          <pic:cNvPicPr>
                            <a:picLocks noChangeAspect="1"/>
                          </pic:cNvPicPr>
                        </pic:nvPicPr>
                        <pic:blipFill>
                          <a:blip r:embed="rId33"/>
                          <a:stretch>
                            <a:fillRect/>
                          </a:stretch>
                        </pic:blipFill>
                        <pic:spPr>
                          <a:xfrm>
                            <a:off x="0" y="0"/>
                            <a:ext cx="1943100" cy="584200"/>
                          </a:xfrm>
                          <a:prstGeom prst="rect">
                            <a:avLst/>
                          </a:prstGeom>
                          <a:noFill/>
                          <a:ln w="9525">
                            <a:noFill/>
                          </a:ln>
                        </pic:spPr>
                      </pic:pic>
                    </a:graphicData>
                  </a:graphic>
                </wp:inline>
              </w:drawing>
            </w:r>
          </w:p>
          <w:p>
            <w:pPr>
              <w:spacing w:line="360" w:lineRule="auto"/>
              <w:ind w:left="50" w:leftChars="24" w:right="105" w:rightChars="50" w:firstLine="480" w:firstLineChars="200"/>
              <w:rPr>
                <w:sz w:val="24"/>
                <w:highlight w:val="none"/>
              </w:rPr>
            </w:pPr>
            <w:r>
              <w:rPr>
                <w:sz w:val="24"/>
                <w:highlight w:val="none"/>
              </w:rPr>
              <w:t>式中：</w:t>
            </w:r>
          </w:p>
          <w:p>
            <w:pPr>
              <w:spacing w:line="360" w:lineRule="auto"/>
              <w:ind w:left="50" w:leftChars="24" w:right="105" w:rightChars="50" w:firstLine="480" w:firstLineChars="200"/>
              <w:rPr>
                <w:sz w:val="24"/>
                <w:highlight w:val="none"/>
              </w:rPr>
            </w:pPr>
            <w:r>
              <w:rPr>
                <w:sz w:val="24"/>
                <w:highlight w:val="none"/>
              </w:rPr>
              <w:t>Q</w:t>
            </w:r>
            <w:r>
              <w:rPr>
                <w:sz w:val="24"/>
                <w:highlight w:val="none"/>
                <w:vertAlign w:val="subscript"/>
              </w:rPr>
              <w:t>G</w:t>
            </w:r>
            <w:r>
              <w:rPr>
                <w:sz w:val="24"/>
                <w:highlight w:val="none"/>
              </w:rPr>
              <w:t>——气体泄漏速度，kg/s；</w:t>
            </w:r>
          </w:p>
          <w:p>
            <w:pPr>
              <w:spacing w:line="360" w:lineRule="auto"/>
              <w:ind w:left="50" w:leftChars="24" w:right="105" w:rightChars="50" w:firstLine="480" w:firstLineChars="200"/>
              <w:rPr>
                <w:sz w:val="24"/>
                <w:highlight w:val="none"/>
              </w:rPr>
            </w:pPr>
            <w:r>
              <w:rPr>
                <w:sz w:val="24"/>
                <w:highlight w:val="none"/>
              </w:rPr>
              <w:t>P——容器压力，Pa；取值为0.8×10</w:t>
            </w:r>
            <w:r>
              <w:rPr>
                <w:sz w:val="24"/>
                <w:highlight w:val="none"/>
                <w:vertAlign w:val="superscript"/>
              </w:rPr>
              <w:t>6</w:t>
            </w:r>
            <w:r>
              <w:rPr>
                <w:sz w:val="24"/>
                <w:highlight w:val="none"/>
              </w:rPr>
              <w:t>Pa；</w:t>
            </w:r>
          </w:p>
          <w:p>
            <w:pPr>
              <w:spacing w:line="360" w:lineRule="auto"/>
              <w:ind w:left="50" w:leftChars="24" w:right="105" w:rightChars="50" w:firstLine="480" w:firstLineChars="200"/>
              <w:rPr>
                <w:sz w:val="24"/>
                <w:highlight w:val="none"/>
              </w:rPr>
            </w:pPr>
            <w:r>
              <w:rPr>
                <w:sz w:val="24"/>
                <w:highlight w:val="none"/>
              </w:rPr>
              <w:t>C</w:t>
            </w:r>
            <w:r>
              <w:rPr>
                <w:sz w:val="24"/>
                <w:highlight w:val="none"/>
                <w:vertAlign w:val="subscript"/>
              </w:rPr>
              <w:t>d</w:t>
            </w:r>
            <w:r>
              <w:rPr>
                <w:sz w:val="24"/>
                <w:highlight w:val="none"/>
              </w:rPr>
              <w:t>——气体泄漏系数；取值1.0；</w:t>
            </w:r>
          </w:p>
          <w:p>
            <w:pPr>
              <w:spacing w:line="360" w:lineRule="auto"/>
              <w:ind w:left="50" w:leftChars="24" w:right="105" w:rightChars="50" w:firstLine="480" w:firstLineChars="200"/>
              <w:rPr>
                <w:sz w:val="24"/>
                <w:highlight w:val="none"/>
              </w:rPr>
            </w:pPr>
            <w:r>
              <w:rPr>
                <w:sz w:val="24"/>
                <w:highlight w:val="none"/>
              </w:rPr>
              <w:t>当裂口形状位圆形时取1.00，三角形时取0.95，长方形时取0.90；</w:t>
            </w:r>
          </w:p>
          <w:p>
            <w:pPr>
              <w:spacing w:line="360" w:lineRule="auto"/>
              <w:ind w:left="50" w:leftChars="24" w:right="105" w:rightChars="50" w:firstLine="480" w:firstLineChars="200"/>
              <w:rPr>
                <w:sz w:val="24"/>
                <w:highlight w:val="none"/>
              </w:rPr>
            </w:pPr>
            <w:r>
              <w:rPr>
                <w:sz w:val="24"/>
                <w:highlight w:val="none"/>
              </w:rPr>
              <w:t>A——裂口面积，m</w:t>
            </w:r>
            <w:r>
              <w:rPr>
                <w:sz w:val="24"/>
                <w:highlight w:val="none"/>
                <w:vertAlign w:val="superscript"/>
              </w:rPr>
              <w:t>2</w:t>
            </w:r>
            <w:r>
              <w:rPr>
                <w:sz w:val="24"/>
                <w:highlight w:val="none"/>
              </w:rPr>
              <w:t>，按裂口直径25mm计算，则A为0.00049m</w:t>
            </w:r>
            <w:r>
              <w:rPr>
                <w:sz w:val="24"/>
                <w:highlight w:val="none"/>
                <w:vertAlign w:val="superscript"/>
              </w:rPr>
              <w:t>2</w:t>
            </w:r>
            <w:r>
              <w:rPr>
                <w:sz w:val="24"/>
                <w:highlight w:val="none"/>
              </w:rPr>
              <w:t>；</w:t>
            </w:r>
          </w:p>
          <w:p>
            <w:pPr>
              <w:spacing w:line="360" w:lineRule="auto"/>
              <w:ind w:left="50" w:leftChars="24" w:right="105" w:rightChars="50" w:firstLine="480" w:firstLineChars="200"/>
              <w:rPr>
                <w:sz w:val="24"/>
                <w:highlight w:val="none"/>
              </w:rPr>
            </w:pPr>
            <w:r>
              <w:rPr>
                <w:sz w:val="24"/>
                <w:highlight w:val="none"/>
              </w:rPr>
              <w:t>M——分子量；取值16；</w:t>
            </w:r>
          </w:p>
          <w:p>
            <w:pPr>
              <w:spacing w:line="360" w:lineRule="auto"/>
              <w:ind w:left="50" w:leftChars="24" w:right="105" w:rightChars="50" w:firstLine="480" w:firstLineChars="200"/>
              <w:rPr>
                <w:sz w:val="24"/>
                <w:highlight w:val="none"/>
              </w:rPr>
            </w:pPr>
            <w:r>
              <w:rPr>
                <w:sz w:val="24"/>
                <w:highlight w:val="none"/>
              </w:rPr>
              <w:t>R——气体常数，J/(kg·k)；取值为519.6；</w:t>
            </w:r>
          </w:p>
          <w:p>
            <w:pPr>
              <w:spacing w:line="360" w:lineRule="auto"/>
              <w:ind w:left="50" w:leftChars="24" w:right="105" w:rightChars="50" w:firstLine="480" w:firstLineChars="200"/>
              <w:rPr>
                <w:sz w:val="24"/>
                <w:highlight w:val="none"/>
              </w:rPr>
            </w:pPr>
            <w:r>
              <w:rPr>
                <w:sz w:val="24"/>
                <w:highlight w:val="none"/>
              </w:rPr>
              <w:t>T</w:t>
            </w:r>
            <w:r>
              <w:rPr>
                <w:sz w:val="24"/>
                <w:highlight w:val="none"/>
                <w:vertAlign w:val="subscript"/>
              </w:rPr>
              <w:t>G</w:t>
            </w:r>
            <w:r>
              <w:rPr>
                <w:sz w:val="24"/>
                <w:highlight w:val="none"/>
              </w:rPr>
              <w:t>——气体温度，K；取值为293；</w:t>
            </w:r>
          </w:p>
          <w:p>
            <w:pPr>
              <w:spacing w:line="360" w:lineRule="auto"/>
              <w:ind w:left="50" w:leftChars="24" w:right="105" w:rightChars="50" w:firstLine="480" w:firstLineChars="200"/>
              <w:rPr>
                <w:sz w:val="24"/>
                <w:highlight w:val="none"/>
              </w:rPr>
            </w:pPr>
            <w:r>
              <w:rPr>
                <w:sz w:val="24"/>
                <w:highlight w:val="none"/>
              </w:rPr>
              <w:t>Y ——流出系数，对于临界流Y=1.0。</w:t>
            </w:r>
          </w:p>
          <w:p>
            <w:pPr>
              <w:spacing w:line="360" w:lineRule="auto"/>
              <w:ind w:left="50" w:leftChars="24" w:right="105" w:rightChars="50" w:firstLine="480" w:firstLineChars="200"/>
              <w:rPr>
                <w:sz w:val="24"/>
                <w:highlight w:val="none"/>
              </w:rPr>
            </w:pPr>
            <w:r>
              <w:rPr>
                <w:sz w:val="24"/>
                <w:highlight w:val="none"/>
              </w:rPr>
              <w:t>经计算，气体泄漏速率Q</w:t>
            </w:r>
            <w:r>
              <w:rPr>
                <w:sz w:val="24"/>
                <w:highlight w:val="none"/>
                <w:vertAlign w:val="subscript"/>
              </w:rPr>
              <w:t>G</w:t>
            </w:r>
            <w:r>
              <w:rPr>
                <w:sz w:val="24"/>
                <w:highlight w:val="none"/>
              </w:rPr>
              <w:t>=2.68kg/s。</w:t>
            </w:r>
          </w:p>
          <w:p>
            <w:pPr>
              <w:pStyle w:val="43"/>
              <w:ind w:left="525" w:leftChars="250" w:right="105" w:rightChars="50" w:firstLine="0" w:firstLineChars="0"/>
              <w:rPr>
                <w:rFonts w:ascii="Times New Roman" w:hAnsi="Times New Roman" w:cs="Times New Roman"/>
                <w:bCs/>
                <w:sz w:val="24"/>
                <w:highlight w:val="none"/>
              </w:rPr>
            </w:pPr>
            <w:r>
              <w:rPr>
                <w:rFonts w:ascii="Times New Roman" w:hAnsi="Times New Roman" w:cs="Times New Roman"/>
                <w:bCs/>
                <w:sz w:val="24"/>
                <w:highlight w:val="none"/>
              </w:rPr>
              <w:t>假设泄漏15min后采取措施堵住泄漏点，则泄漏的</w:t>
            </w:r>
            <w:r>
              <w:rPr>
                <w:rFonts w:hint="eastAsia" w:ascii="Times New Roman" w:hAnsi="Times New Roman" w:cs="Times New Roman"/>
                <w:bCs/>
                <w:sz w:val="24"/>
                <w:highlight w:val="none"/>
              </w:rPr>
              <w:t>天然气</w:t>
            </w:r>
            <w:r>
              <w:rPr>
                <w:rFonts w:ascii="Times New Roman" w:hAnsi="Times New Roman" w:cs="Times New Roman"/>
                <w:bCs/>
                <w:sz w:val="24"/>
                <w:highlight w:val="none"/>
              </w:rPr>
              <w:t>的量为：</w:t>
            </w:r>
          </w:p>
          <w:p>
            <w:pPr>
              <w:pStyle w:val="43"/>
              <w:ind w:left="525" w:leftChars="250" w:right="105" w:rightChars="50" w:firstLine="0" w:firstLineChars="0"/>
              <w:rPr>
                <w:rFonts w:ascii="Times New Roman" w:hAnsi="Times New Roman" w:cs="Times New Roman"/>
                <w:sz w:val="24"/>
                <w:highlight w:val="none"/>
              </w:rPr>
            </w:pPr>
            <w:r>
              <w:rPr>
                <w:rFonts w:ascii="Times New Roman" w:hAnsi="Times New Roman" w:cs="Times New Roman"/>
                <w:bCs/>
                <w:sz w:val="24"/>
                <w:highlight w:val="none"/>
              </w:rPr>
              <w:t>2.68×60×15=2414kg。</w:t>
            </w:r>
          </w:p>
          <w:p>
            <w:pPr>
              <w:spacing w:line="520" w:lineRule="exact"/>
              <w:ind w:firstLine="480" w:firstLineChars="200"/>
              <w:rPr>
                <w:rFonts w:hint="eastAsia"/>
                <w:sz w:val="24"/>
                <w:highlight w:val="none"/>
              </w:rPr>
            </w:pPr>
            <w:r>
              <w:rPr>
                <w:rFonts w:hint="eastAsia"/>
                <w:sz w:val="24"/>
                <w:highlight w:val="none"/>
              </w:rPr>
              <w:t>5.3风险防范措施</w:t>
            </w:r>
          </w:p>
          <w:p>
            <w:pPr>
              <w:spacing w:line="520" w:lineRule="exact"/>
              <w:ind w:firstLine="480" w:firstLineChars="200"/>
              <w:rPr>
                <w:rFonts w:hint="eastAsia"/>
                <w:sz w:val="24"/>
                <w:highlight w:val="none"/>
              </w:rPr>
            </w:pPr>
            <w:r>
              <w:rPr>
                <w:rFonts w:hint="eastAsia"/>
                <w:sz w:val="24"/>
                <w:highlight w:val="none"/>
              </w:rPr>
              <w:t>(1)对设备进行定期检修和预防性维修，以及时排除事故隐患。</w:t>
            </w:r>
          </w:p>
          <w:p>
            <w:pPr>
              <w:spacing w:line="520" w:lineRule="exact"/>
              <w:ind w:firstLine="480" w:firstLineChars="200"/>
              <w:rPr>
                <w:rFonts w:hint="eastAsia"/>
                <w:sz w:val="24"/>
                <w:highlight w:val="none"/>
              </w:rPr>
            </w:pPr>
            <w:r>
              <w:rPr>
                <w:rFonts w:hint="eastAsia"/>
                <w:sz w:val="24"/>
                <w:highlight w:val="none"/>
              </w:rPr>
              <w:t>(2)应配备足够的消防设施，落实安全管理责任。</w:t>
            </w:r>
          </w:p>
          <w:p>
            <w:pPr>
              <w:spacing w:line="520" w:lineRule="exact"/>
              <w:ind w:firstLine="480" w:firstLineChars="200"/>
              <w:rPr>
                <w:rFonts w:hint="eastAsia"/>
                <w:sz w:val="24"/>
                <w:highlight w:val="none"/>
              </w:rPr>
            </w:pPr>
            <w:r>
              <w:rPr>
                <w:rFonts w:hint="eastAsia"/>
                <w:sz w:val="24"/>
                <w:highlight w:val="none"/>
              </w:rPr>
              <w:t>(3) 加强职工安全、环保教育，增强操作工人的责任心，防止和减少因人为因素造成的事故。</w:t>
            </w:r>
          </w:p>
          <w:p>
            <w:pPr>
              <w:spacing w:line="520" w:lineRule="exact"/>
              <w:ind w:firstLine="480" w:firstLineChars="200"/>
              <w:rPr>
                <w:rFonts w:hint="eastAsia"/>
                <w:sz w:val="24"/>
                <w:highlight w:val="none"/>
              </w:rPr>
            </w:pPr>
            <w:r>
              <w:rPr>
                <w:rFonts w:hint="eastAsia"/>
                <w:sz w:val="24"/>
                <w:highlight w:val="none"/>
              </w:rPr>
              <w:t>(4)储罐周边及生产车间内设干粉灭火器及其他的移动消防设备；爆炸危险区域内的设备选用隔爆型，并可靠接地。爆炸危险区内的照明采用隔爆型灯具；控制室等重要场所设应急照明系统。</w:t>
            </w:r>
          </w:p>
          <w:p>
            <w:pPr>
              <w:spacing w:line="520" w:lineRule="exact"/>
              <w:ind w:firstLine="480" w:firstLineChars="200"/>
              <w:rPr>
                <w:rFonts w:hint="eastAsia"/>
                <w:sz w:val="24"/>
                <w:highlight w:val="none"/>
              </w:rPr>
            </w:pPr>
            <w:r>
              <w:rPr>
                <w:rFonts w:hint="eastAsia"/>
                <w:sz w:val="24"/>
                <w:highlight w:val="none"/>
              </w:rPr>
              <w:t>（5）面粉库杜绝各种明火，设置醒日的禁止烟火等标示，周围电气设备必须是粉</w:t>
            </w:r>
          </w:p>
          <w:p>
            <w:pPr>
              <w:spacing w:line="520" w:lineRule="exact"/>
              <w:rPr>
                <w:rFonts w:hint="eastAsia"/>
                <w:sz w:val="24"/>
                <w:highlight w:val="none"/>
              </w:rPr>
            </w:pPr>
            <w:r>
              <w:rPr>
                <w:rFonts w:hint="eastAsia"/>
                <w:sz w:val="24"/>
                <w:highlight w:val="none"/>
              </w:rPr>
              <w:t>尘防爆型的，设置足够的灭火器。</w:t>
            </w:r>
          </w:p>
          <w:p>
            <w:pPr>
              <w:spacing w:line="520" w:lineRule="exact"/>
              <w:ind w:firstLine="720" w:firstLineChars="300"/>
              <w:rPr>
                <w:rFonts w:hint="eastAsia"/>
                <w:sz w:val="24"/>
                <w:highlight w:val="none"/>
              </w:rPr>
            </w:pPr>
            <w:r>
              <w:rPr>
                <w:rFonts w:hint="eastAsia"/>
                <w:sz w:val="24"/>
                <w:highlight w:val="none"/>
              </w:rPr>
              <w:t>6、事故应急预案</w:t>
            </w:r>
          </w:p>
          <w:p>
            <w:pPr>
              <w:spacing w:line="520" w:lineRule="exact"/>
              <w:ind w:firstLine="480" w:firstLineChars="200"/>
              <w:rPr>
                <w:rFonts w:hint="eastAsia"/>
                <w:sz w:val="24"/>
                <w:highlight w:val="none"/>
              </w:rPr>
            </w:pPr>
            <w:r>
              <w:rPr>
                <w:rFonts w:hint="eastAsia"/>
                <w:sz w:val="24"/>
                <w:highlight w:val="none"/>
              </w:rPr>
              <w:t>根据《企业事业单位突发环境事件应急预案备案管理办法（试行）》（环发[2015]4号）的通知，建设单位应制定环境应急预案：</w:t>
            </w:r>
          </w:p>
          <w:p>
            <w:pPr>
              <w:spacing w:line="520" w:lineRule="exact"/>
              <w:ind w:firstLine="480" w:firstLineChars="200"/>
              <w:rPr>
                <w:rFonts w:hint="eastAsia"/>
                <w:sz w:val="24"/>
                <w:highlight w:val="none"/>
              </w:rPr>
            </w:pPr>
            <w:r>
              <w:rPr>
                <w:rFonts w:hint="eastAsia"/>
                <w:sz w:val="24"/>
                <w:highlight w:val="none"/>
              </w:rPr>
              <w:t xml:space="preserve"> (1)成立环境应急预案编制组，明确编制组组长和成员组成、工作任务、编制计划和计费预算等。</w:t>
            </w:r>
          </w:p>
          <w:p>
            <w:pPr>
              <w:spacing w:line="520" w:lineRule="exact"/>
              <w:ind w:firstLine="480" w:firstLineChars="200"/>
              <w:rPr>
                <w:rFonts w:hint="eastAsia"/>
                <w:sz w:val="24"/>
                <w:highlight w:val="none"/>
              </w:rPr>
            </w:pPr>
            <w:r>
              <w:rPr>
                <w:rFonts w:hint="eastAsia"/>
                <w:sz w:val="24"/>
                <w:highlight w:val="none"/>
              </w:rPr>
              <w:t>(2)开展环境风险评估和应急资源调查。环境风险评估包括但不限于：分析各类事故衍化规律、自然灾害影响程度，识别环境危害因素，分析与周边可能受影响的居民、单位、区域环境的关系，构建突发环境事件及其后果情景，确定环境风险等级。应急资源调查包括但不限于：调查企业第一时间可调用的环境应急队伍、装备、物资、场所等</w:t>
            </w:r>
          </w:p>
          <w:p>
            <w:pPr>
              <w:spacing w:line="520" w:lineRule="exact"/>
              <w:rPr>
                <w:rFonts w:hint="eastAsia"/>
                <w:sz w:val="24"/>
                <w:highlight w:val="none"/>
              </w:rPr>
            </w:pPr>
            <w:r>
              <w:rPr>
                <w:rFonts w:hint="eastAsia"/>
                <w:sz w:val="24"/>
                <w:highlight w:val="none"/>
              </w:rPr>
              <w:t>应急资源状况和可请求援助或协议援助的应急资源状况。</w:t>
            </w:r>
          </w:p>
          <w:p>
            <w:pPr>
              <w:spacing w:line="520" w:lineRule="exact"/>
              <w:ind w:firstLine="480" w:firstLineChars="200"/>
              <w:rPr>
                <w:rFonts w:hint="eastAsia"/>
                <w:sz w:val="24"/>
                <w:highlight w:val="none"/>
              </w:rPr>
            </w:pPr>
            <w:r>
              <w:rPr>
                <w:rFonts w:hint="eastAsia"/>
                <w:sz w:val="24"/>
                <w:highlight w:val="none"/>
              </w:rPr>
              <w:t xml:space="preserve"> (3)编制风险应急预案。按照本办法第九条要求，合理选择类别，确定内容，重点说明可能的突发环境事件情景下需要采取的处置措施、向可能受影响的居民和单位通报的内容与方式、向环境保护部门和有关部门报告的内容与方式、以及与政府预案的衔接方式，形式环境乎急预案。编制过程中，应征求员工和可能受到影响的居民和单位代表的意见。</w:t>
            </w:r>
          </w:p>
          <w:p>
            <w:pPr>
              <w:spacing w:line="520" w:lineRule="exact"/>
              <w:ind w:firstLine="480" w:firstLineChars="200"/>
              <w:rPr>
                <w:rFonts w:hint="eastAsia"/>
                <w:sz w:val="24"/>
                <w:highlight w:val="none"/>
              </w:rPr>
            </w:pPr>
            <w:r>
              <w:rPr>
                <w:rFonts w:hint="eastAsia"/>
                <w:sz w:val="24"/>
                <w:highlight w:val="none"/>
              </w:rPr>
              <w:t>(4)评审和演练环境应急预案。企业组织专家和可能受影响的居民、单位代表对</w:t>
            </w:r>
          </w:p>
          <w:p>
            <w:pPr>
              <w:spacing w:line="520" w:lineRule="exact"/>
              <w:rPr>
                <w:rFonts w:hint="eastAsia"/>
                <w:sz w:val="24"/>
                <w:highlight w:val="none"/>
              </w:rPr>
            </w:pPr>
            <w:r>
              <w:rPr>
                <w:rFonts w:hint="eastAsia"/>
                <w:sz w:val="24"/>
                <w:highlight w:val="none"/>
              </w:rPr>
              <w:t>环境应急预案进行评审；开展演练进行检验。评审专家一般应包括环境应急预案涉及的</w:t>
            </w:r>
          </w:p>
          <w:p>
            <w:pPr>
              <w:spacing w:line="520" w:lineRule="exact"/>
              <w:rPr>
                <w:rFonts w:hint="eastAsia"/>
                <w:sz w:val="24"/>
                <w:highlight w:val="none"/>
              </w:rPr>
            </w:pPr>
            <w:r>
              <w:rPr>
                <w:rFonts w:hint="eastAsia"/>
                <w:sz w:val="24"/>
                <w:highlight w:val="none"/>
              </w:rPr>
              <w:t>相关政府管理部门人员、相关行业协议代表、具有相关领域经验的人员等。</w:t>
            </w:r>
          </w:p>
          <w:p>
            <w:pPr>
              <w:spacing w:line="520" w:lineRule="exact"/>
              <w:ind w:firstLine="480" w:firstLineChars="200"/>
              <w:rPr>
                <w:rFonts w:hint="eastAsia"/>
                <w:sz w:val="24"/>
                <w:highlight w:val="none"/>
              </w:rPr>
            </w:pPr>
            <w:r>
              <w:rPr>
                <w:rFonts w:hint="eastAsia"/>
                <w:sz w:val="24"/>
                <w:highlight w:val="none"/>
              </w:rPr>
              <w:t>(5)签署发布环境应急预案。环境应急预案经企业有关会议审议，由企业主要负</w:t>
            </w:r>
          </w:p>
          <w:p>
            <w:pPr>
              <w:spacing w:line="520" w:lineRule="exact"/>
              <w:rPr>
                <w:rFonts w:hint="eastAsia"/>
                <w:sz w:val="24"/>
                <w:highlight w:val="none"/>
              </w:rPr>
            </w:pPr>
            <w:r>
              <w:rPr>
                <w:rFonts w:hint="eastAsia"/>
                <w:sz w:val="24"/>
                <w:highlight w:val="none"/>
              </w:rPr>
              <w:t>责人签署发布。建议根据下表的有关内容和要求编制应急预案。</w:t>
            </w:r>
          </w:p>
          <w:p>
            <w:pPr>
              <w:spacing w:line="560" w:lineRule="exact"/>
              <w:ind w:firstLine="482" w:firstLineChars="200"/>
              <w:rPr>
                <w:b/>
                <w:bCs/>
                <w:sz w:val="24"/>
                <w:highlight w:val="none"/>
              </w:rPr>
            </w:pPr>
            <w:r>
              <w:rPr>
                <w:rFonts w:hint="eastAsia"/>
                <w:b/>
                <w:bCs/>
                <w:sz w:val="24"/>
                <w:highlight w:val="none"/>
              </w:rPr>
              <w:t>6</w:t>
            </w:r>
            <w:r>
              <w:rPr>
                <w:b/>
                <w:bCs/>
                <w:sz w:val="24"/>
                <w:highlight w:val="none"/>
              </w:rPr>
              <w:t>、</w:t>
            </w:r>
            <w:bookmarkEnd w:id="7"/>
            <w:r>
              <w:rPr>
                <w:rFonts w:hint="eastAsia"/>
                <w:b/>
                <w:bCs/>
                <w:sz w:val="24"/>
                <w:highlight w:val="none"/>
              </w:rPr>
              <w:t>产业政策相符性分析</w:t>
            </w:r>
          </w:p>
          <w:p>
            <w:pPr>
              <w:spacing w:line="560" w:lineRule="exact"/>
              <w:ind w:firstLine="482" w:firstLineChars="200"/>
              <w:rPr>
                <w:b/>
                <w:bCs/>
                <w:kern w:val="0"/>
                <w:sz w:val="24"/>
                <w:highlight w:val="none"/>
                <w:lang w:val="zh-CN"/>
              </w:rPr>
            </w:pPr>
            <w:r>
              <w:rPr>
                <w:rFonts w:hint="eastAsia"/>
                <w:b/>
                <w:bCs/>
                <w:kern w:val="0"/>
                <w:sz w:val="24"/>
                <w:highlight w:val="none"/>
              </w:rPr>
              <w:t>6</w:t>
            </w:r>
            <w:r>
              <w:rPr>
                <w:b/>
                <w:bCs/>
                <w:kern w:val="0"/>
                <w:sz w:val="24"/>
                <w:highlight w:val="none"/>
                <w:lang w:val="zh-CN"/>
              </w:rPr>
              <w:t>.1</w:t>
            </w:r>
            <w:r>
              <w:rPr>
                <w:rFonts w:hAnsi="宋体"/>
                <w:b/>
                <w:bCs/>
                <w:sz w:val="24"/>
                <w:highlight w:val="none"/>
              </w:rPr>
              <w:t>项目选址可行性分析</w:t>
            </w:r>
          </w:p>
          <w:p>
            <w:pPr>
              <w:spacing w:line="520" w:lineRule="exact"/>
              <w:ind w:right="105" w:rightChars="50" w:firstLine="480" w:firstLineChars="200"/>
              <w:rPr>
                <w:sz w:val="24"/>
                <w:highlight w:val="none"/>
                <w:lang w:val="zh-CN"/>
              </w:rPr>
            </w:pPr>
            <w:r>
              <w:rPr>
                <w:rFonts w:hint="eastAsia"/>
                <w:sz w:val="24"/>
                <w:highlight w:val="none"/>
                <w:lang w:val="zh-CN"/>
              </w:rPr>
              <w:t>本项目位于滑县慈周寨镇慈一村，</w:t>
            </w:r>
            <w:r>
              <w:rPr>
                <w:rFonts w:hint="eastAsia"/>
                <w:sz w:val="24"/>
                <w:highlight w:val="none"/>
                <w:lang w:val="en-US" w:eastAsia="zh-CN"/>
              </w:rPr>
              <w:t>项目北侧为粮油实业和汇松食品厂，有食品行业，</w:t>
            </w:r>
            <w:r>
              <w:rPr>
                <w:rFonts w:hint="eastAsia"/>
                <w:sz w:val="24"/>
                <w:highlight w:val="none"/>
                <w:lang w:val="zh-CN"/>
              </w:rPr>
              <w:t>项目用地</w:t>
            </w:r>
            <w:r>
              <w:rPr>
                <w:sz w:val="24"/>
                <w:highlight w:val="none"/>
                <w:lang w:val="zh-CN"/>
              </w:rPr>
              <w:t>已经</w:t>
            </w:r>
            <w:r>
              <w:rPr>
                <w:rFonts w:hint="eastAsia"/>
                <w:sz w:val="24"/>
                <w:highlight w:val="none"/>
                <w:lang w:val="zh-CN"/>
              </w:rPr>
              <w:t>滑县慈周寨镇人民政府同意</w:t>
            </w:r>
            <w:r>
              <w:rPr>
                <w:sz w:val="24"/>
                <w:highlight w:val="none"/>
              </w:rPr>
              <w:t>，该项目用地性质为工业用地</w:t>
            </w:r>
            <w:r>
              <w:rPr>
                <w:rFonts w:hint="eastAsia"/>
                <w:sz w:val="24"/>
                <w:highlight w:val="none"/>
              </w:rPr>
              <w:t>符合慈周寨乡镇总体建设规划</w:t>
            </w:r>
            <w:r>
              <w:rPr>
                <w:sz w:val="24"/>
                <w:highlight w:val="none"/>
              </w:rPr>
              <w:t>。</w:t>
            </w:r>
            <w:r>
              <w:rPr>
                <w:rFonts w:hint="eastAsia"/>
                <w:sz w:val="24"/>
                <w:highlight w:val="none"/>
              </w:rPr>
              <w:t>根据滑县慈周寨镇人民政府出具规划证明，</w:t>
            </w:r>
            <w:r>
              <w:rPr>
                <w:sz w:val="24"/>
                <w:highlight w:val="none"/>
              </w:rPr>
              <w:t>项目</w:t>
            </w:r>
            <w:r>
              <w:rPr>
                <w:rFonts w:hint="eastAsia"/>
                <w:sz w:val="24"/>
                <w:highlight w:val="none"/>
              </w:rPr>
              <w:t>选址符合慈周寨乡土地利用总体规划。</w:t>
            </w:r>
          </w:p>
          <w:p>
            <w:pPr>
              <w:spacing w:line="560" w:lineRule="exact"/>
              <w:ind w:firstLine="482" w:firstLineChars="200"/>
              <w:rPr>
                <w:b/>
                <w:bCs/>
                <w:sz w:val="24"/>
                <w:highlight w:val="none"/>
              </w:rPr>
            </w:pPr>
            <w:r>
              <w:rPr>
                <w:rFonts w:hint="eastAsia"/>
                <w:b/>
                <w:bCs/>
                <w:kern w:val="0"/>
                <w:sz w:val="24"/>
                <w:highlight w:val="none"/>
              </w:rPr>
              <w:t>6</w:t>
            </w:r>
            <w:r>
              <w:rPr>
                <w:b/>
                <w:bCs/>
                <w:kern w:val="0"/>
                <w:sz w:val="24"/>
                <w:highlight w:val="none"/>
              </w:rPr>
              <w:t>.2</w:t>
            </w:r>
            <w:r>
              <w:rPr>
                <w:rFonts w:hint="eastAsia"/>
                <w:b/>
                <w:bCs/>
                <w:sz w:val="24"/>
                <w:highlight w:val="none"/>
              </w:rPr>
              <w:t>与《产业结构调整指导目录（</w:t>
            </w:r>
            <w:r>
              <w:rPr>
                <w:b/>
                <w:bCs/>
                <w:sz w:val="24"/>
                <w:highlight w:val="none"/>
              </w:rPr>
              <w:t>2011</w:t>
            </w:r>
            <w:r>
              <w:rPr>
                <w:rFonts w:hint="eastAsia" w:ascii="宋体" w:hAnsi="宋体"/>
                <w:b/>
                <w:bCs/>
                <w:sz w:val="24"/>
                <w:highlight w:val="none"/>
              </w:rPr>
              <w:t>年本）》</w:t>
            </w:r>
            <w:r>
              <w:rPr>
                <w:rFonts w:hint="eastAsia"/>
                <w:b/>
                <w:bCs/>
                <w:sz w:val="24"/>
                <w:highlight w:val="none"/>
              </w:rPr>
              <w:t>（</w:t>
            </w:r>
            <w:r>
              <w:rPr>
                <w:b/>
                <w:bCs/>
                <w:sz w:val="24"/>
                <w:highlight w:val="none"/>
              </w:rPr>
              <w:t>2013</w:t>
            </w:r>
            <w:r>
              <w:rPr>
                <w:rFonts w:hint="eastAsia" w:ascii="宋体" w:hAnsi="宋体"/>
                <w:b/>
                <w:bCs/>
                <w:sz w:val="24"/>
                <w:highlight w:val="none"/>
              </w:rPr>
              <w:t>年修正）</w:t>
            </w:r>
            <w:r>
              <w:rPr>
                <w:rFonts w:hint="eastAsia"/>
                <w:b/>
                <w:bCs/>
                <w:sz w:val="24"/>
                <w:highlight w:val="none"/>
              </w:rPr>
              <w:t>相符性</w:t>
            </w:r>
          </w:p>
          <w:p>
            <w:pPr>
              <w:spacing w:line="520" w:lineRule="exact"/>
              <w:ind w:right="105" w:rightChars="50" w:firstLine="480" w:firstLineChars="200"/>
              <w:rPr>
                <w:sz w:val="24"/>
                <w:highlight w:val="none"/>
              </w:rPr>
            </w:pPr>
            <w:r>
              <w:rPr>
                <w:rFonts w:hint="eastAsia"/>
                <w:sz w:val="24"/>
                <w:highlight w:val="none"/>
              </w:rPr>
              <w:t>本项目年生产3000吨膨化食品建设项目，已经在滑县发展和改革委员会备案（项目代码：</w:t>
            </w:r>
            <w:r>
              <w:rPr>
                <w:sz w:val="24"/>
                <w:highlight w:val="none"/>
              </w:rPr>
              <w:t>2018-410</w:t>
            </w:r>
            <w:r>
              <w:rPr>
                <w:rFonts w:hint="eastAsia"/>
                <w:sz w:val="24"/>
                <w:highlight w:val="none"/>
              </w:rPr>
              <w:t>526</w:t>
            </w:r>
            <w:r>
              <w:rPr>
                <w:sz w:val="24"/>
                <w:highlight w:val="none"/>
              </w:rPr>
              <w:t>-</w:t>
            </w:r>
            <w:r>
              <w:rPr>
                <w:rFonts w:hint="eastAsia"/>
                <w:sz w:val="24"/>
                <w:highlight w:val="none"/>
              </w:rPr>
              <w:t>14</w:t>
            </w:r>
            <w:r>
              <w:rPr>
                <w:sz w:val="24"/>
                <w:highlight w:val="none"/>
              </w:rPr>
              <w:t>-03-</w:t>
            </w:r>
            <w:r>
              <w:rPr>
                <w:rFonts w:hint="eastAsia"/>
                <w:sz w:val="24"/>
                <w:highlight w:val="none"/>
              </w:rPr>
              <w:t>044282），经对照《产业结构调整指导目录（</w:t>
            </w:r>
            <w:r>
              <w:rPr>
                <w:sz w:val="24"/>
                <w:highlight w:val="none"/>
              </w:rPr>
              <w:t>2011</w:t>
            </w:r>
            <w:r>
              <w:rPr>
                <w:rFonts w:hint="eastAsia"/>
                <w:sz w:val="24"/>
                <w:highlight w:val="none"/>
              </w:rPr>
              <w:t>年本）》（</w:t>
            </w:r>
            <w:r>
              <w:rPr>
                <w:sz w:val="24"/>
                <w:highlight w:val="none"/>
              </w:rPr>
              <w:t>2013</w:t>
            </w:r>
            <w:r>
              <w:rPr>
                <w:rFonts w:hint="eastAsia"/>
                <w:sz w:val="24"/>
                <w:highlight w:val="none"/>
              </w:rPr>
              <w:t>年修正），该项目不属于限制、淘汰类项目，属于允许类，符合国家产业政策。</w:t>
            </w:r>
          </w:p>
          <w:p>
            <w:pPr>
              <w:spacing w:line="520" w:lineRule="exact"/>
              <w:ind w:firstLine="482" w:firstLineChars="200"/>
              <w:rPr>
                <w:b/>
                <w:bCs/>
                <w:kern w:val="0"/>
                <w:sz w:val="24"/>
                <w:highlight w:val="none"/>
              </w:rPr>
            </w:pPr>
            <w:r>
              <w:rPr>
                <w:rFonts w:hint="eastAsia"/>
                <w:b/>
                <w:bCs/>
                <w:kern w:val="0"/>
                <w:sz w:val="24"/>
                <w:highlight w:val="none"/>
              </w:rPr>
              <w:t>6</w:t>
            </w:r>
            <w:r>
              <w:rPr>
                <w:b/>
                <w:bCs/>
                <w:kern w:val="0"/>
                <w:sz w:val="24"/>
                <w:highlight w:val="none"/>
              </w:rPr>
              <w:t>.3环境符合性分析</w:t>
            </w:r>
          </w:p>
          <w:p>
            <w:pPr>
              <w:autoSpaceDE w:val="0"/>
              <w:spacing w:line="520" w:lineRule="exact"/>
              <w:ind w:firstLine="480" w:firstLineChars="200"/>
              <w:rPr>
                <w:sz w:val="24"/>
                <w:highlight w:val="none"/>
              </w:rPr>
            </w:pPr>
            <w:r>
              <w:rPr>
                <w:sz w:val="24"/>
                <w:highlight w:val="none"/>
              </w:rPr>
              <w:t>本项目位于</w:t>
            </w:r>
            <w:r>
              <w:rPr>
                <w:rFonts w:hint="eastAsia"/>
                <w:sz w:val="24"/>
                <w:highlight w:val="none"/>
              </w:rPr>
              <w:t>滑县慈周寨乡慈一村</w:t>
            </w:r>
            <w:r>
              <w:rPr>
                <w:sz w:val="24"/>
                <w:highlight w:val="none"/>
              </w:rPr>
              <w:t>，</w:t>
            </w:r>
            <w:r>
              <w:rPr>
                <w:kern w:val="0"/>
                <w:sz w:val="24"/>
                <w:highlight w:val="none"/>
              </w:rPr>
              <w:t>距本项目</w:t>
            </w:r>
            <w:r>
              <w:rPr>
                <w:sz w:val="24"/>
                <w:highlight w:val="none"/>
              </w:rPr>
              <w:t>最近的保护目标</w:t>
            </w:r>
            <w:r>
              <w:rPr>
                <w:rFonts w:hint="eastAsia"/>
                <w:sz w:val="24"/>
                <w:highlight w:val="none"/>
              </w:rPr>
              <w:t>为项目西侧437m的慈一村</w:t>
            </w:r>
            <w:r>
              <w:rPr>
                <w:sz w:val="24"/>
                <w:highlight w:val="none"/>
              </w:rPr>
              <w:t>。项目运营期</w:t>
            </w:r>
            <w:r>
              <w:rPr>
                <w:rFonts w:hint="eastAsia"/>
                <w:sz w:val="24"/>
                <w:highlight w:val="none"/>
              </w:rPr>
              <w:t>大气环境</w:t>
            </w:r>
            <w:r>
              <w:rPr>
                <w:sz w:val="24"/>
                <w:highlight w:val="none"/>
              </w:rPr>
              <w:t>影响</w:t>
            </w:r>
            <w:r>
              <w:rPr>
                <w:sz w:val="24"/>
                <w:highlight w:val="none"/>
                <w:lang w:val="fr-FR"/>
              </w:rPr>
              <w:t>主要为</w:t>
            </w:r>
            <w:r>
              <w:rPr>
                <w:rFonts w:hint="eastAsia"/>
                <w:sz w:val="24"/>
                <w:highlight w:val="none"/>
                <w:lang w:val="fr-FR"/>
              </w:rPr>
              <w:t>本项目在搅拌过程会产生粉尘，粉尘</w:t>
            </w:r>
            <w:r>
              <w:rPr>
                <w:rFonts w:hint="eastAsia"/>
                <w:sz w:val="24"/>
                <w:highlight w:val="none"/>
                <w:lang w:val="fr-FR" w:eastAsia="zh-CN"/>
              </w:rPr>
              <w:t>经集气罩收集后</w:t>
            </w:r>
            <w:r>
              <w:rPr>
                <w:rFonts w:hint="eastAsia"/>
                <w:sz w:val="24"/>
                <w:highlight w:val="none"/>
                <w:lang w:val="fr-FR"/>
              </w:rPr>
              <w:t>经</w:t>
            </w:r>
            <w:r>
              <w:rPr>
                <w:rFonts w:hint="eastAsia"/>
                <w:sz w:val="24"/>
                <w:highlight w:val="none"/>
                <w:lang w:eastAsia="zh-CN"/>
              </w:rPr>
              <w:t>袋式除尘器</w:t>
            </w:r>
            <w:r>
              <w:rPr>
                <w:sz w:val="24"/>
                <w:highlight w:val="none"/>
              </w:rPr>
              <w:t>处理后满足《大气污染物综合排放标准》（GB16297-1996）</w:t>
            </w:r>
            <w:r>
              <w:rPr>
                <w:iCs/>
                <w:sz w:val="24"/>
                <w:highlight w:val="none"/>
              </w:rPr>
              <w:t>表2二级排放标准</w:t>
            </w:r>
            <w:r>
              <w:rPr>
                <w:rFonts w:hint="eastAsia"/>
                <w:sz w:val="24"/>
                <w:highlight w:val="none"/>
              </w:rPr>
              <w:t>。</w:t>
            </w:r>
            <w:r>
              <w:rPr>
                <w:rFonts w:hint="eastAsia"/>
                <w:sz w:val="24"/>
                <w:highlight w:val="none"/>
                <w:lang w:val="fr-FR"/>
              </w:rPr>
              <w:t>油炸工段会产生油烟，</w:t>
            </w:r>
            <w:r>
              <w:rPr>
                <w:rFonts w:hint="eastAsia"/>
                <w:sz w:val="24"/>
                <w:highlight w:val="none"/>
              </w:rPr>
              <w:t>在油炸锅上方设置集气罩，经集气罩收集后的油烟废气用一套静电油烟净化装置（油烟去除率90%）进行处理，处理后，炸工段产生的油烟排放浓度可</w:t>
            </w:r>
            <w:r>
              <w:rPr>
                <w:rFonts w:hint="eastAsia"/>
                <w:b w:val="0"/>
                <w:bCs/>
                <w:sz w:val="24"/>
                <w:highlight w:val="none"/>
                <w:u w:val="none"/>
                <w:lang w:eastAsia="zh-CN"/>
              </w:rPr>
              <w:t>满足《餐饮业油烟污染物排放标准》（DB41/1604-2018）要求的1.5mg/m</w:t>
            </w:r>
            <w:r>
              <w:rPr>
                <w:rFonts w:hint="eastAsia"/>
                <w:b w:val="0"/>
                <w:bCs/>
                <w:sz w:val="24"/>
                <w:highlight w:val="none"/>
                <w:u w:val="none"/>
                <w:vertAlign w:val="superscript"/>
                <w:lang w:eastAsia="zh-CN"/>
              </w:rPr>
              <w:t>3</w:t>
            </w:r>
            <w:r>
              <w:rPr>
                <w:rFonts w:hint="eastAsia"/>
                <w:b w:val="0"/>
                <w:bCs/>
                <w:sz w:val="24"/>
                <w:highlight w:val="none"/>
                <w:u w:val="none"/>
                <w:lang w:eastAsia="zh-CN"/>
              </w:rPr>
              <w:t>。</w:t>
            </w:r>
            <w:r>
              <w:rPr>
                <w:sz w:val="24"/>
                <w:highlight w:val="none"/>
              </w:rPr>
              <w:t>项目产生的废水进入</w:t>
            </w:r>
            <w:r>
              <w:rPr>
                <w:rFonts w:hint="eastAsia"/>
                <w:sz w:val="24"/>
                <w:highlight w:val="none"/>
              </w:rPr>
              <w:t>化粪池</w:t>
            </w:r>
            <w:r>
              <w:rPr>
                <w:sz w:val="24"/>
                <w:highlight w:val="none"/>
              </w:rPr>
              <w:t>处理，处理后</w:t>
            </w:r>
            <w:r>
              <w:rPr>
                <w:rFonts w:hint="eastAsia" w:ascii="宋体" w:hAnsi="宋体"/>
                <w:sz w:val="24"/>
                <w:highlight w:val="none"/>
              </w:rPr>
              <w:t>由项目单位定期清运，用于沤制农家肥</w:t>
            </w:r>
            <w:r>
              <w:rPr>
                <w:sz w:val="24"/>
                <w:highlight w:val="none"/>
              </w:rPr>
              <w:t>。项目噪声主要位于车间内，经</w:t>
            </w:r>
            <w:r>
              <w:rPr>
                <w:rFonts w:hint="eastAsia"/>
                <w:sz w:val="24"/>
                <w:highlight w:val="none"/>
              </w:rPr>
              <w:t>选</w:t>
            </w:r>
            <w:r>
              <w:rPr>
                <w:sz w:val="24"/>
                <w:highlight w:val="none"/>
              </w:rPr>
              <w:t>用低噪声设备、主要噪声设备加装减</w:t>
            </w:r>
            <w:r>
              <w:rPr>
                <w:rFonts w:hint="eastAsia"/>
                <w:sz w:val="24"/>
                <w:highlight w:val="none"/>
              </w:rPr>
              <w:t>振</w:t>
            </w:r>
            <w:r>
              <w:rPr>
                <w:sz w:val="24"/>
                <w:highlight w:val="none"/>
              </w:rPr>
              <w:t>垫、</w:t>
            </w:r>
            <w:r>
              <w:rPr>
                <w:rFonts w:hint="eastAsia"/>
                <w:sz w:val="24"/>
                <w:highlight w:val="none"/>
              </w:rPr>
              <w:t>消声器、</w:t>
            </w:r>
            <w:r>
              <w:rPr>
                <w:sz w:val="24"/>
                <w:highlight w:val="none"/>
              </w:rPr>
              <w:t>合理布局并经墙体隔声等措施后，厂界噪声达标排放，对周边环境影响不大。项目运营期产生的固</w:t>
            </w:r>
            <w:r>
              <w:rPr>
                <w:rFonts w:hint="eastAsia"/>
                <w:sz w:val="24"/>
                <w:highlight w:val="none"/>
              </w:rPr>
              <w:t>体</w:t>
            </w:r>
            <w:r>
              <w:rPr>
                <w:sz w:val="24"/>
                <w:highlight w:val="none"/>
              </w:rPr>
              <w:t>废</w:t>
            </w:r>
            <w:r>
              <w:rPr>
                <w:rFonts w:hint="eastAsia"/>
                <w:sz w:val="24"/>
                <w:highlight w:val="none"/>
              </w:rPr>
              <w:t>物</w:t>
            </w:r>
            <w:r>
              <w:rPr>
                <w:sz w:val="24"/>
                <w:highlight w:val="none"/>
              </w:rPr>
              <w:t>均得到妥善处置，固</w:t>
            </w:r>
            <w:r>
              <w:rPr>
                <w:rFonts w:hint="eastAsia"/>
                <w:sz w:val="24"/>
                <w:highlight w:val="none"/>
              </w:rPr>
              <w:t>体</w:t>
            </w:r>
            <w:r>
              <w:rPr>
                <w:sz w:val="24"/>
                <w:highlight w:val="none"/>
              </w:rPr>
              <w:t>废</w:t>
            </w:r>
            <w:r>
              <w:rPr>
                <w:rFonts w:hint="eastAsia"/>
                <w:sz w:val="24"/>
                <w:highlight w:val="none"/>
              </w:rPr>
              <w:t>物</w:t>
            </w:r>
            <w:r>
              <w:rPr>
                <w:sz w:val="24"/>
                <w:highlight w:val="none"/>
              </w:rPr>
              <w:t>去向可行，不会造成二次污染。</w:t>
            </w:r>
          </w:p>
          <w:p>
            <w:pPr>
              <w:spacing w:line="520" w:lineRule="exact"/>
              <w:ind w:firstLine="480" w:firstLineChars="200"/>
              <w:rPr>
                <w:sz w:val="24"/>
                <w:highlight w:val="none"/>
              </w:rPr>
            </w:pPr>
            <w:r>
              <w:rPr>
                <w:sz w:val="24"/>
                <w:highlight w:val="none"/>
              </w:rPr>
              <w:t>根据《食品企业通用卫生规范》（GB14881-2013）中选址相关规定：</w:t>
            </w:r>
          </w:p>
          <w:p>
            <w:pPr>
              <w:spacing w:line="520" w:lineRule="exact"/>
              <w:ind w:firstLine="480" w:firstLineChars="200"/>
              <w:rPr>
                <w:sz w:val="24"/>
                <w:highlight w:val="none"/>
              </w:rPr>
            </w:pPr>
            <w:r>
              <w:rPr>
                <w:sz w:val="24"/>
                <w:highlight w:val="none"/>
              </w:rPr>
              <w:t>1、厂区不应选择对食品有显著污染的区域。如某地对食品安全和食品宜食用性存在明显的不利影响，且无法通过采取措施加以改善，应避免在该地址建厂。</w:t>
            </w:r>
          </w:p>
          <w:p>
            <w:pPr>
              <w:spacing w:line="520" w:lineRule="exact"/>
              <w:ind w:firstLine="480" w:firstLineChars="200"/>
              <w:rPr>
                <w:sz w:val="24"/>
                <w:highlight w:val="none"/>
              </w:rPr>
            </w:pPr>
            <w:r>
              <w:rPr>
                <w:sz w:val="24"/>
                <w:highlight w:val="none"/>
              </w:rPr>
              <w:t>2、厂区不应选择有害废弃物以及粉尘、有害气体、放射性物质和其他扩散性污染源不能有效清除的地址。</w:t>
            </w:r>
          </w:p>
          <w:p>
            <w:pPr>
              <w:spacing w:line="520" w:lineRule="exact"/>
              <w:ind w:firstLine="480" w:firstLineChars="200"/>
              <w:rPr>
                <w:sz w:val="24"/>
                <w:highlight w:val="none"/>
              </w:rPr>
            </w:pPr>
            <w:r>
              <w:rPr>
                <w:sz w:val="24"/>
                <w:highlight w:val="none"/>
              </w:rPr>
              <w:t>3、厂区不宜择易发生洪涝灾害的地区，难以避开时应设计必要的防范措施。</w:t>
            </w:r>
          </w:p>
          <w:p>
            <w:pPr>
              <w:spacing w:line="520" w:lineRule="exact"/>
              <w:ind w:firstLine="480" w:firstLineChars="200"/>
              <w:rPr>
                <w:sz w:val="24"/>
                <w:highlight w:val="none"/>
              </w:rPr>
            </w:pPr>
            <w:r>
              <w:rPr>
                <w:sz w:val="24"/>
                <w:highlight w:val="none"/>
              </w:rPr>
              <w:t>4、厂区周围不宜有虫害大量孳生的潜在场所，难以避开时应设计必要的防范措施。</w:t>
            </w:r>
          </w:p>
          <w:p>
            <w:pPr>
              <w:spacing w:line="520" w:lineRule="exact"/>
              <w:ind w:firstLine="482" w:firstLineChars="200"/>
              <w:rPr>
                <w:b/>
                <w:bCs/>
                <w:sz w:val="24"/>
                <w:highlight w:val="none"/>
              </w:rPr>
            </w:pPr>
            <w:r>
              <w:rPr>
                <w:rFonts w:hint="eastAsia"/>
                <w:b/>
                <w:bCs/>
                <w:sz w:val="24"/>
                <w:highlight w:val="none"/>
              </w:rPr>
              <w:t>6</w:t>
            </w:r>
            <w:r>
              <w:rPr>
                <w:b/>
                <w:bCs/>
                <w:sz w:val="24"/>
                <w:highlight w:val="none"/>
              </w:rPr>
              <w:t>.4平面布局合理性分析</w:t>
            </w:r>
          </w:p>
          <w:p>
            <w:pPr>
              <w:spacing w:line="520" w:lineRule="exact"/>
              <w:ind w:firstLine="460" w:firstLineChars="192"/>
              <w:rPr>
                <w:sz w:val="24"/>
                <w:highlight w:val="none"/>
              </w:rPr>
            </w:pPr>
            <w:r>
              <w:rPr>
                <w:rFonts w:hint="eastAsia"/>
                <w:sz w:val="24"/>
                <w:highlight w:val="none"/>
              </w:rPr>
              <w:t>根据项目</w:t>
            </w:r>
            <w:r>
              <w:rPr>
                <w:sz w:val="24"/>
                <w:highlight w:val="none"/>
              </w:rPr>
              <w:t>平面布置图（见附图</w:t>
            </w:r>
            <w:r>
              <w:rPr>
                <w:rFonts w:hint="eastAsia"/>
                <w:sz w:val="24"/>
                <w:highlight w:val="none"/>
              </w:rPr>
              <w:t>2</w:t>
            </w:r>
            <w:r>
              <w:rPr>
                <w:sz w:val="24"/>
                <w:highlight w:val="none"/>
              </w:rPr>
              <w:t>）可知，本项目将</w:t>
            </w:r>
            <w:r>
              <w:rPr>
                <w:rFonts w:hint="eastAsia"/>
                <w:sz w:val="24"/>
                <w:highlight w:val="none"/>
              </w:rPr>
              <w:t>原材料</w:t>
            </w:r>
            <w:r>
              <w:rPr>
                <w:sz w:val="24"/>
                <w:highlight w:val="none"/>
              </w:rPr>
              <w:t>库布置在</w:t>
            </w:r>
            <w:r>
              <w:rPr>
                <w:rFonts w:hint="eastAsia"/>
                <w:sz w:val="24"/>
                <w:highlight w:val="none"/>
              </w:rPr>
              <w:t>厂房南部</w:t>
            </w:r>
            <w:r>
              <w:rPr>
                <w:sz w:val="24"/>
                <w:highlight w:val="none"/>
              </w:rPr>
              <w:t>，</w:t>
            </w:r>
            <w:r>
              <w:rPr>
                <w:rFonts w:hint="eastAsia"/>
                <w:sz w:val="24"/>
                <w:highlight w:val="none"/>
              </w:rPr>
              <w:t>原材料库与拌面间及各生产车间之间留有物料专用通道，</w:t>
            </w:r>
            <w:r>
              <w:rPr>
                <w:sz w:val="24"/>
                <w:highlight w:val="none"/>
              </w:rPr>
              <w:t>生产工艺流程连贯，减少了物料的搬运过程。产噪设备主要位于</w:t>
            </w:r>
            <w:r>
              <w:rPr>
                <w:rFonts w:hint="eastAsia"/>
                <w:sz w:val="24"/>
                <w:highlight w:val="none"/>
              </w:rPr>
              <w:t>生产</w:t>
            </w:r>
            <w:r>
              <w:rPr>
                <w:sz w:val="24"/>
                <w:highlight w:val="none"/>
              </w:rPr>
              <w:t>车间内，集中在</w:t>
            </w:r>
            <w:r>
              <w:rPr>
                <w:rFonts w:hint="eastAsia"/>
                <w:sz w:val="24"/>
                <w:highlight w:val="none"/>
              </w:rPr>
              <w:t>厂房</w:t>
            </w:r>
            <w:r>
              <w:rPr>
                <w:sz w:val="24"/>
                <w:highlight w:val="none"/>
              </w:rPr>
              <w:t>中</w:t>
            </w:r>
            <w:r>
              <w:rPr>
                <w:rFonts w:hint="eastAsia"/>
                <w:sz w:val="24"/>
                <w:highlight w:val="none"/>
              </w:rPr>
              <w:t>南</w:t>
            </w:r>
            <w:r>
              <w:rPr>
                <w:sz w:val="24"/>
                <w:highlight w:val="none"/>
              </w:rPr>
              <w:t>部，降低噪声影响。同时，办公</w:t>
            </w:r>
            <w:r>
              <w:rPr>
                <w:rFonts w:hint="eastAsia"/>
                <w:sz w:val="24"/>
                <w:highlight w:val="none"/>
              </w:rPr>
              <w:t>室与生产车间有一定距离</w:t>
            </w:r>
            <w:r>
              <w:rPr>
                <w:sz w:val="24"/>
                <w:highlight w:val="none"/>
              </w:rPr>
              <w:t>，生产区和</w:t>
            </w:r>
            <w:r>
              <w:rPr>
                <w:rFonts w:hint="eastAsia"/>
                <w:sz w:val="24"/>
                <w:highlight w:val="none"/>
              </w:rPr>
              <w:t>办公室</w:t>
            </w:r>
            <w:r>
              <w:rPr>
                <w:sz w:val="24"/>
                <w:highlight w:val="none"/>
              </w:rPr>
              <w:t>分开，减小了生产粉尘</w:t>
            </w:r>
            <w:r>
              <w:rPr>
                <w:rFonts w:hint="eastAsia"/>
                <w:sz w:val="24"/>
                <w:highlight w:val="none"/>
              </w:rPr>
              <w:t>和噪声</w:t>
            </w:r>
            <w:r>
              <w:rPr>
                <w:sz w:val="24"/>
                <w:highlight w:val="none"/>
              </w:rPr>
              <w:t>对办公生活的影响。各功能区域分区明显，相互衔接，既避免相互影响，又利于组织生产，因此平面布置是合理的。</w:t>
            </w:r>
          </w:p>
          <w:p>
            <w:pPr>
              <w:spacing w:line="520" w:lineRule="exact"/>
              <w:ind w:firstLine="482" w:firstLineChars="200"/>
              <w:rPr>
                <w:b/>
                <w:bCs/>
                <w:color w:val="000000"/>
                <w:sz w:val="24"/>
                <w:highlight w:val="none"/>
              </w:rPr>
            </w:pPr>
            <w:r>
              <w:rPr>
                <w:rFonts w:hint="eastAsia"/>
                <w:b/>
                <w:bCs/>
                <w:color w:val="000000"/>
                <w:sz w:val="24"/>
                <w:highlight w:val="none"/>
              </w:rPr>
              <w:t>7</w:t>
            </w:r>
            <w:r>
              <w:rPr>
                <w:b/>
                <w:bCs/>
                <w:color w:val="000000"/>
                <w:sz w:val="24"/>
                <w:highlight w:val="none"/>
              </w:rPr>
              <w:t>、环境管理机构职责与验收监测计划</w:t>
            </w:r>
          </w:p>
          <w:p>
            <w:pPr>
              <w:spacing w:line="520" w:lineRule="exact"/>
              <w:ind w:firstLine="482" w:firstLineChars="200"/>
              <w:rPr>
                <w:b/>
                <w:bCs/>
                <w:sz w:val="24"/>
                <w:highlight w:val="none"/>
                <w:lang w:val="zh-CN"/>
              </w:rPr>
            </w:pPr>
            <w:r>
              <w:rPr>
                <w:rFonts w:hint="eastAsia"/>
                <w:b/>
                <w:bCs/>
                <w:sz w:val="24"/>
                <w:highlight w:val="none"/>
              </w:rPr>
              <w:t>7</w:t>
            </w:r>
            <w:r>
              <w:rPr>
                <w:b/>
                <w:bCs/>
                <w:sz w:val="24"/>
                <w:highlight w:val="none"/>
              </w:rPr>
              <w:t>.1</w:t>
            </w:r>
            <w:r>
              <w:rPr>
                <w:b/>
                <w:bCs/>
                <w:sz w:val="24"/>
                <w:highlight w:val="none"/>
                <w:lang w:val="zh-CN"/>
              </w:rPr>
              <w:t>环境管理</w:t>
            </w:r>
          </w:p>
          <w:p>
            <w:pPr>
              <w:autoSpaceDE w:val="0"/>
              <w:autoSpaceDN w:val="0"/>
              <w:adjustRightInd w:val="0"/>
              <w:spacing w:line="520" w:lineRule="exact"/>
              <w:ind w:left="105" w:leftChars="50" w:right="105" w:rightChars="50" w:firstLine="491" w:firstLineChars="205"/>
              <w:rPr>
                <w:bCs/>
                <w:kern w:val="0"/>
                <w:sz w:val="24"/>
                <w:highlight w:val="none"/>
              </w:rPr>
            </w:pPr>
            <w:r>
              <w:rPr>
                <w:bCs/>
                <w:kern w:val="0"/>
                <w:sz w:val="24"/>
                <w:highlight w:val="none"/>
              </w:rPr>
              <w:t>环境管理机构负主要职责：</w:t>
            </w:r>
          </w:p>
          <w:p>
            <w:pPr>
              <w:autoSpaceDE w:val="0"/>
              <w:autoSpaceDN w:val="0"/>
              <w:adjustRightInd w:val="0"/>
              <w:spacing w:line="520" w:lineRule="exact"/>
              <w:ind w:right="105" w:rightChars="50" w:firstLine="480" w:firstLineChars="200"/>
              <w:rPr>
                <w:bCs/>
                <w:kern w:val="0"/>
                <w:sz w:val="24"/>
                <w:highlight w:val="none"/>
              </w:rPr>
            </w:pPr>
            <w:r>
              <w:rPr>
                <w:bCs/>
                <w:kern w:val="0"/>
                <w:sz w:val="24"/>
                <w:highlight w:val="none"/>
              </w:rPr>
              <w:t>（1）编制、提出该项目</w:t>
            </w:r>
            <w:r>
              <w:rPr>
                <w:rFonts w:hint="eastAsia"/>
                <w:bCs/>
                <w:kern w:val="0"/>
                <w:sz w:val="24"/>
                <w:highlight w:val="none"/>
              </w:rPr>
              <w:t>运营期</w:t>
            </w:r>
            <w:r>
              <w:rPr>
                <w:bCs/>
                <w:kern w:val="0"/>
                <w:sz w:val="24"/>
                <w:highlight w:val="none"/>
              </w:rPr>
              <w:t>的长远环境保护规划；</w:t>
            </w:r>
          </w:p>
          <w:p>
            <w:pPr>
              <w:autoSpaceDE w:val="0"/>
              <w:autoSpaceDN w:val="0"/>
              <w:adjustRightInd w:val="0"/>
              <w:spacing w:line="520" w:lineRule="exact"/>
              <w:ind w:left="105" w:leftChars="50" w:right="105" w:rightChars="50" w:firstLine="360" w:firstLineChars="150"/>
              <w:rPr>
                <w:bCs/>
                <w:kern w:val="0"/>
                <w:sz w:val="24"/>
                <w:highlight w:val="none"/>
              </w:rPr>
            </w:pPr>
            <w:r>
              <w:rPr>
                <w:bCs/>
                <w:kern w:val="0"/>
                <w:sz w:val="24"/>
                <w:highlight w:val="none"/>
              </w:rPr>
              <w:t>（2）贯彻落实国家和地方的环境保护法律、法规、政策和标准，直接接受环保主管部门的监督、领导，配合环境保护主管部门做好环保工作；</w:t>
            </w:r>
          </w:p>
          <w:p>
            <w:pPr>
              <w:autoSpaceDE w:val="0"/>
              <w:autoSpaceDN w:val="0"/>
              <w:adjustRightInd w:val="0"/>
              <w:spacing w:line="520" w:lineRule="exact"/>
              <w:ind w:right="105" w:rightChars="50" w:firstLine="480" w:firstLineChars="200"/>
              <w:rPr>
                <w:bCs/>
                <w:kern w:val="0"/>
                <w:sz w:val="24"/>
                <w:highlight w:val="none"/>
              </w:rPr>
            </w:pPr>
            <w:r>
              <w:rPr>
                <w:bCs/>
                <w:kern w:val="0"/>
                <w:sz w:val="24"/>
                <w:highlight w:val="none"/>
              </w:rPr>
              <w:t>（3）落实项目的“三同时”制度；</w:t>
            </w:r>
          </w:p>
          <w:p>
            <w:pPr>
              <w:spacing w:line="520" w:lineRule="exact"/>
              <w:ind w:firstLine="480" w:firstLineChars="200"/>
              <w:rPr>
                <w:highlight w:val="none"/>
              </w:rPr>
            </w:pPr>
            <w:r>
              <w:rPr>
                <w:bCs/>
                <w:kern w:val="0"/>
                <w:sz w:val="24"/>
                <w:highlight w:val="none"/>
              </w:rPr>
              <w:t>（4）监督项目各排污口污染物排放达标情况，确保污染物排放达到国家排放标准。</w:t>
            </w:r>
          </w:p>
          <w:p>
            <w:pPr>
              <w:spacing w:line="520" w:lineRule="exact"/>
              <w:ind w:firstLine="482" w:firstLineChars="200"/>
              <w:rPr>
                <w:b/>
                <w:bCs/>
                <w:sz w:val="24"/>
                <w:highlight w:val="none"/>
              </w:rPr>
            </w:pPr>
            <w:r>
              <w:rPr>
                <w:rFonts w:hint="eastAsia"/>
                <w:b/>
                <w:bCs/>
                <w:sz w:val="24"/>
                <w:highlight w:val="none"/>
              </w:rPr>
              <w:t>7</w:t>
            </w:r>
            <w:r>
              <w:rPr>
                <w:b/>
                <w:bCs/>
                <w:sz w:val="24"/>
                <w:highlight w:val="none"/>
                <w:lang w:val="zh-CN"/>
              </w:rPr>
              <w:t>.</w:t>
            </w:r>
            <w:r>
              <w:rPr>
                <w:rFonts w:hint="eastAsia"/>
                <w:b/>
                <w:bCs/>
                <w:sz w:val="24"/>
                <w:highlight w:val="none"/>
              </w:rPr>
              <w:t>2</w:t>
            </w:r>
            <w:r>
              <w:rPr>
                <w:b/>
                <w:bCs/>
                <w:sz w:val="24"/>
                <w:highlight w:val="none"/>
                <w:lang w:val="zh-CN"/>
              </w:rPr>
              <w:t>环保验收方案</w:t>
            </w:r>
          </w:p>
          <w:p>
            <w:pPr>
              <w:spacing w:line="560" w:lineRule="exact"/>
              <w:ind w:firstLine="480" w:firstLineChars="200"/>
              <w:rPr>
                <w:b/>
                <w:bCs/>
                <w:szCs w:val="21"/>
                <w:highlight w:val="none"/>
              </w:rPr>
            </w:pPr>
            <w:r>
              <w:rPr>
                <w:sz w:val="24"/>
                <w:highlight w:val="none"/>
              </w:rPr>
              <w:t>建设项目的主体工程完工后，其配套建设的环境保护设施必须与主体工程同时投入生产或者运行。建设项目竣工后，建设单位</w:t>
            </w:r>
            <w:r>
              <w:rPr>
                <w:rFonts w:hint="eastAsia"/>
                <w:sz w:val="24"/>
                <w:highlight w:val="none"/>
              </w:rPr>
              <w:t>进行</w:t>
            </w:r>
            <w:r>
              <w:rPr>
                <w:sz w:val="24"/>
                <w:highlight w:val="none"/>
              </w:rPr>
              <w:t>该建设项目竣工环境保护验收。本项目环境保护竣工验收方案详见下表。</w:t>
            </w:r>
          </w:p>
          <w:p>
            <w:pPr>
              <w:pStyle w:val="13"/>
              <w:spacing w:line="360" w:lineRule="auto"/>
              <w:jc w:val="center"/>
              <w:rPr>
                <w:rFonts w:ascii="Times New Roman" w:hAnsi="Times New Roman"/>
                <w:b/>
                <w:bCs/>
                <w:sz w:val="21"/>
                <w:szCs w:val="21"/>
                <w:highlight w:val="none"/>
              </w:rPr>
            </w:pPr>
            <w:r>
              <w:rPr>
                <w:rFonts w:ascii="Times New Roman" w:hAnsi="Times New Roman"/>
                <w:b/>
                <w:bCs/>
                <w:sz w:val="21"/>
                <w:szCs w:val="21"/>
                <w:highlight w:val="none"/>
              </w:rPr>
              <w:t>表</w:t>
            </w:r>
            <w:r>
              <w:rPr>
                <w:rFonts w:hint="eastAsia" w:ascii="Times New Roman" w:hAnsi="Times New Roman"/>
                <w:b/>
                <w:bCs/>
                <w:sz w:val="21"/>
                <w:szCs w:val="21"/>
                <w:highlight w:val="none"/>
              </w:rPr>
              <w:t>4</w:t>
            </w:r>
            <w:r>
              <w:rPr>
                <w:rFonts w:hint="eastAsia" w:ascii="Times New Roman" w:hAnsi="Times New Roman"/>
                <w:b/>
                <w:bCs/>
                <w:sz w:val="21"/>
                <w:szCs w:val="21"/>
                <w:highlight w:val="none"/>
                <w:lang w:val="en-US" w:eastAsia="zh-CN"/>
              </w:rPr>
              <w:t>9</w:t>
            </w:r>
            <w:r>
              <w:rPr>
                <w:rFonts w:ascii="Times New Roman" w:hAnsi="Times New Roman"/>
                <w:b/>
                <w:bCs/>
                <w:sz w:val="21"/>
                <w:szCs w:val="21"/>
                <w:highlight w:val="none"/>
              </w:rPr>
              <w:t xml:space="preserve">  本项目“三同时”验收一览表</w:t>
            </w:r>
          </w:p>
          <w:tbl>
            <w:tblPr>
              <w:tblStyle w:val="28"/>
              <w:tblW w:w="90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275"/>
              <w:gridCol w:w="1267"/>
              <w:gridCol w:w="1268"/>
              <w:gridCol w:w="695"/>
              <w:gridCol w:w="1055"/>
              <w:gridCol w:w="1042"/>
              <w:gridCol w:w="20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8" w:type="dxa"/>
                  <w:tcMar>
                    <w:left w:w="85" w:type="dxa"/>
                    <w:right w:w="85" w:type="dxa"/>
                  </w:tcMar>
                  <w:vAlign w:val="center"/>
                </w:tcPr>
                <w:p>
                  <w:pPr>
                    <w:jc w:val="center"/>
                    <w:rPr>
                      <w:szCs w:val="21"/>
                      <w:highlight w:val="none"/>
                    </w:rPr>
                  </w:pPr>
                  <w:r>
                    <w:rPr>
                      <w:szCs w:val="21"/>
                      <w:highlight w:val="none"/>
                    </w:rPr>
                    <w:t>项目</w:t>
                  </w:r>
                </w:p>
              </w:tc>
              <w:tc>
                <w:tcPr>
                  <w:tcW w:w="1275" w:type="dxa"/>
                  <w:tcMar>
                    <w:left w:w="85" w:type="dxa"/>
                    <w:right w:w="85" w:type="dxa"/>
                  </w:tcMar>
                  <w:vAlign w:val="center"/>
                </w:tcPr>
                <w:p>
                  <w:pPr>
                    <w:jc w:val="center"/>
                    <w:rPr>
                      <w:szCs w:val="21"/>
                      <w:highlight w:val="none"/>
                    </w:rPr>
                  </w:pPr>
                  <w:r>
                    <w:rPr>
                      <w:szCs w:val="21"/>
                      <w:highlight w:val="none"/>
                    </w:rPr>
                    <w:t>污染源</w:t>
                  </w:r>
                </w:p>
              </w:tc>
              <w:tc>
                <w:tcPr>
                  <w:tcW w:w="2535" w:type="dxa"/>
                  <w:gridSpan w:val="2"/>
                  <w:tcMar>
                    <w:left w:w="85" w:type="dxa"/>
                    <w:right w:w="85" w:type="dxa"/>
                  </w:tcMar>
                  <w:vAlign w:val="center"/>
                </w:tcPr>
                <w:p>
                  <w:pPr>
                    <w:jc w:val="center"/>
                    <w:rPr>
                      <w:szCs w:val="21"/>
                      <w:highlight w:val="none"/>
                    </w:rPr>
                  </w:pPr>
                  <w:r>
                    <w:rPr>
                      <w:szCs w:val="21"/>
                      <w:highlight w:val="none"/>
                    </w:rPr>
                    <w:t>治理措施</w:t>
                  </w:r>
                </w:p>
              </w:tc>
              <w:tc>
                <w:tcPr>
                  <w:tcW w:w="695" w:type="dxa"/>
                  <w:tcMar>
                    <w:left w:w="85" w:type="dxa"/>
                    <w:right w:w="85" w:type="dxa"/>
                  </w:tcMar>
                  <w:vAlign w:val="center"/>
                </w:tcPr>
                <w:p>
                  <w:pPr>
                    <w:jc w:val="center"/>
                    <w:rPr>
                      <w:szCs w:val="21"/>
                      <w:highlight w:val="none"/>
                    </w:rPr>
                  </w:pPr>
                  <w:r>
                    <w:rPr>
                      <w:szCs w:val="21"/>
                      <w:highlight w:val="none"/>
                    </w:rPr>
                    <w:t>监测</w:t>
                  </w:r>
                </w:p>
                <w:p>
                  <w:pPr>
                    <w:jc w:val="center"/>
                    <w:rPr>
                      <w:szCs w:val="21"/>
                      <w:highlight w:val="none"/>
                    </w:rPr>
                  </w:pPr>
                  <w:r>
                    <w:rPr>
                      <w:szCs w:val="21"/>
                      <w:highlight w:val="none"/>
                    </w:rPr>
                    <w:t>点位</w:t>
                  </w:r>
                </w:p>
              </w:tc>
              <w:tc>
                <w:tcPr>
                  <w:tcW w:w="1055" w:type="dxa"/>
                  <w:tcMar>
                    <w:left w:w="85" w:type="dxa"/>
                    <w:right w:w="85" w:type="dxa"/>
                  </w:tcMar>
                  <w:vAlign w:val="center"/>
                </w:tcPr>
                <w:p>
                  <w:pPr>
                    <w:jc w:val="center"/>
                    <w:rPr>
                      <w:szCs w:val="21"/>
                      <w:highlight w:val="none"/>
                    </w:rPr>
                  </w:pPr>
                  <w:r>
                    <w:rPr>
                      <w:szCs w:val="21"/>
                      <w:highlight w:val="none"/>
                    </w:rPr>
                    <w:t>验收内容</w:t>
                  </w:r>
                </w:p>
              </w:tc>
              <w:tc>
                <w:tcPr>
                  <w:tcW w:w="1042" w:type="dxa"/>
                  <w:tcMar>
                    <w:left w:w="85" w:type="dxa"/>
                    <w:right w:w="85" w:type="dxa"/>
                  </w:tcMar>
                  <w:vAlign w:val="center"/>
                </w:tcPr>
                <w:p>
                  <w:pPr>
                    <w:jc w:val="center"/>
                    <w:rPr>
                      <w:szCs w:val="21"/>
                      <w:highlight w:val="none"/>
                    </w:rPr>
                  </w:pPr>
                  <w:r>
                    <w:rPr>
                      <w:szCs w:val="21"/>
                      <w:highlight w:val="none"/>
                    </w:rPr>
                    <w:t>监测频次</w:t>
                  </w:r>
                </w:p>
              </w:tc>
              <w:tc>
                <w:tcPr>
                  <w:tcW w:w="2000" w:type="dxa"/>
                  <w:tcMar>
                    <w:left w:w="85" w:type="dxa"/>
                    <w:right w:w="85" w:type="dxa"/>
                  </w:tcMar>
                  <w:vAlign w:val="center"/>
                </w:tcPr>
                <w:p>
                  <w:pPr>
                    <w:jc w:val="center"/>
                    <w:rPr>
                      <w:szCs w:val="21"/>
                      <w:highlight w:val="none"/>
                    </w:rPr>
                  </w:pPr>
                  <w:r>
                    <w:rPr>
                      <w:szCs w:val="21"/>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458" w:type="dxa"/>
                  <w:vMerge w:val="restart"/>
                  <w:tcMar>
                    <w:left w:w="85" w:type="dxa"/>
                    <w:right w:w="85" w:type="dxa"/>
                  </w:tcMar>
                  <w:vAlign w:val="center"/>
                </w:tcPr>
                <w:p>
                  <w:pPr>
                    <w:jc w:val="center"/>
                    <w:rPr>
                      <w:rFonts w:hint="eastAsia"/>
                      <w:szCs w:val="21"/>
                      <w:highlight w:val="none"/>
                    </w:rPr>
                  </w:pPr>
                  <w:r>
                    <w:rPr>
                      <w:rFonts w:hint="eastAsia"/>
                      <w:szCs w:val="21"/>
                      <w:highlight w:val="none"/>
                    </w:rPr>
                    <w:t>废气</w:t>
                  </w:r>
                </w:p>
              </w:tc>
              <w:tc>
                <w:tcPr>
                  <w:tcW w:w="1275" w:type="dxa"/>
                  <w:vMerge w:val="restart"/>
                  <w:tcMar>
                    <w:left w:w="85" w:type="dxa"/>
                    <w:right w:w="85" w:type="dxa"/>
                  </w:tcMar>
                  <w:vAlign w:val="center"/>
                </w:tcPr>
                <w:p>
                  <w:pPr>
                    <w:jc w:val="center"/>
                    <w:rPr>
                      <w:rFonts w:hint="eastAsia"/>
                      <w:szCs w:val="21"/>
                      <w:highlight w:val="none"/>
                    </w:rPr>
                  </w:pPr>
                  <w:r>
                    <w:rPr>
                      <w:rFonts w:hint="eastAsia"/>
                      <w:szCs w:val="21"/>
                      <w:highlight w:val="none"/>
                    </w:rPr>
                    <w:t>生产车间</w:t>
                  </w:r>
                </w:p>
              </w:tc>
              <w:tc>
                <w:tcPr>
                  <w:tcW w:w="1267" w:type="dxa"/>
                  <w:vMerge w:val="restart"/>
                  <w:tcMar>
                    <w:left w:w="85" w:type="dxa"/>
                    <w:right w:w="85" w:type="dxa"/>
                  </w:tcMar>
                  <w:vAlign w:val="center"/>
                </w:tcPr>
                <w:p>
                  <w:pPr>
                    <w:jc w:val="center"/>
                    <w:rPr>
                      <w:rFonts w:hint="eastAsia"/>
                      <w:szCs w:val="21"/>
                      <w:highlight w:val="none"/>
                    </w:rPr>
                  </w:pPr>
                  <w:r>
                    <w:rPr>
                      <w:rFonts w:hint="eastAsia"/>
                      <w:szCs w:val="21"/>
                      <w:highlight w:val="none"/>
                    </w:rPr>
                    <w:t>无组织</w:t>
                  </w:r>
                </w:p>
              </w:tc>
              <w:tc>
                <w:tcPr>
                  <w:tcW w:w="1268" w:type="dxa"/>
                  <w:tcMar>
                    <w:left w:w="85" w:type="dxa"/>
                    <w:right w:w="85" w:type="dxa"/>
                  </w:tcMar>
                  <w:vAlign w:val="center"/>
                </w:tcPr>
                <w:p>
                  <w:pPr>
                    <w:jc w:val="center"/>
                    <w:rPr>
                      <w:rFonts w:hint="eastAsia"/>
                      <w:szCs w:val="21"/>
                      <w:highlight w:val="none"/>
                    </w:rPr>
                  </w:pPr>
                  <w:r>
                    <w:rPr>
                      <w:rFonts w:hint="eastAsia"/>
                      <w:szCs w:val="21"/>
                      <w:highlight w:val="none"/>
                      <w:lang w:val="en-US" w:eastAsia="zh-CN"/>
                    </w:rPr>
                    <w:t>2个</w:t>
                  </w:r>
                  <w:r>
                    <w:rPr>
                      <w:rFonts w:hint="eastAsia"/>
                      <w:szCs w:val="21"/>
                      <w:highlight w:val="none"/>
                    </w:rPr>
                    <w:t>移动式工业吸尘器</w:t>
                  </w:r>
                </w:p>
              </w:tc>
              <w:tc>
                <w:tcPr>
                  <w:tcW w:w="695" w:type="dxa"/>
                  <w:tcMar>
                    <w:left w:w="85" w:type="dxa"/>
                    <w:right w:w="85" w:type="dxa"/>
                  </w:tcMar>
                  <w:vAlign w:val="center"/>
                </w:tcPr>
                <w:p>
                  <w:pPr>
                    <w:jc w:val="center"/>
                    <w:rPr>
                      <w:rFonts w:hint="eastAsia"/>
                      <w:szCs w:val="21"/>
                      <w:highlight w:val="none"/>
                    </w:rPr>
                  </w:pPr>
                  <w:r>
                    <w:rPr>
                      <w:rFonts w:hint="eastAsia"/>
                      <w:szCs w:val="21"/>
                      <w:highlight w:val="none"/>
                    </w:rPr>
                    <w:t>厂界</w:t>
                  </w:r>
                </w:p>
              </w:tc>
              <w:tc>
                <w:tcPr>
                  <w:tcW w:w="1055" w:type="dxa"/>
                  <w:tcMar>
                    <w:left w:w="85" w:type="dxa"/>
                    <w:right w:w="85" w:type="dxa"/>
                  </w:tcMar>
                  <w:vAlign w:val="center"/>
                </w:tcPr>
                <w:p>
                  <w:pPr>
                    <w:jc w:val="center"/>
                    <w:rPr>
                      <w:szCs w:val="21"/>
                      <w:highlight w:val="none"/>
                    </w:rPr>
                  </w:pPr>
                  <w:r>
                    <w:rPr>
                      <w:szCs w:val="21"/>
                      <w:highlight w:val="none"/>
                    </w:rPr>
                    <w:t>粉尘浓度</w:t>
                  </w:r>
                </w:p>
              </w:tc>
              <w:tc>
                <w:tcPr>
                  <w:tcW w:w="1042" w:type="dxa"/>
                  <w:vMerge w:val="restart"/>
                  <w:tcMar>
                    <w:left w:w="85" w:type="dxa"/>
                    <w:right w:w="85" w:type="dxa"/>
                  </w:tcMar>
                  <w:vAlign w:val="center"/>
                </w:tcPr>
                <w:p>
                  <w:pPr>
                    <w:jc w:val="center"/>
                    <w:rPr>
                      <w:szCs w:val="21"/>
                      <w:highlight w:val="none"/>
                    </w:rPr>
                  </w:pPr>
                  <w:r>
                    <w:rPr>
                      <w:szCs w:val="21"/>
                      <w:highlight w:val="none"/>
                    </w:rPr>
                    <w:t>3次/天</w:t>
                  </w:r>
                </w:p>
                <w:p>
                  <w:pPr>
                    <w:jc w:val="center"/>
                    <w:rPr>
                      <w:szCs w:val="21"/>
                      <w:highlight w:val="none"/>
                    </w:rPr>
                  </w:pPr>
                  <w:r>
                    <w:rPr>
                      <w:szCs w:val="21"/>
                      <w:highlight w:val="none"/>
                    </w:rPr>
                    <w:t>2天</w:t>
                  </w:r>
                </w:p>
              </w:tc>
              <w:tc>
                <w:tcPr>
                  <w:tcW w:w="2000" w:type="dxa"/>
                  <w:tcMar>
                    <w:left w:w="85" w:type="dxa"/>
                    <w:right w:w="85" w:type="dxa"/>
                  </w:tcMar>
                  <w:vAlign w:val="center"/>
                </w:tcPr>
                <w:p>
                  <w:pPr>
                    <w:jc w:val="center"/>
                    <w:rPr>
                      <w:szCs w:val="21"/>
                      <w:highlight w:val="none"/>
                    </w:rPr>
                  </w:pPr>
                  <w:r>
                    <w:rPr>
                      <w:szCs w:val="21"/>
                      <w:highlight w:val="none"/>
                    </w:rPr>
                    <w:t>《大气污染物综合排放标准》</w:t>
                  </w:r>
                  <w:r>
                    <w:rPr>
                      <w:rFonts w:hint="eastAsia"/>
                      <w:szCs w:val="21"/>
                      <w:highlight w:val="none"/>
                    </w:rPr>
                    <w:t>（</w:t>
                  </w:r>
                  <w:r>
                    <w:rPr>
                      <w:szCs w:val="21"/>
                      <w:highlight w:val="none"/>
                    </w:rPr>
                    <w:t>GB16297-1996</w:t>
                  </w:r>
                  <w:r>
                    <w:rPr>
                      <w:rFonts w:hint="eastAsia"/>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458" w:type="dxa"/>
                  <w:vMerge w:val="continue"/>
                  <w:tcMar>
                    <w:left w:w="85" w:type="dxa"/>
                    <w:right w:w="85" w:type="dxa"/>
                  </w:tcMar>
                  <w:vAlign w:val="center"/>
                </w:tcPr>
                <w:p>
                  <w:pPr>
                    <w:jc w:val="center"/>
                    <w:rPr>
                      <w:highlight w:val="none"/>
                    </w:rPr>
                  </w:pPr>
                </w:p>
              </w:tc>
              <w:tc>
                <w:tcPr>
                  <w:tcW w:w="1275" w:type="dxa"/>
                  <w:vMerge w:val="continue"/>
                  <w:tcMar>
                    <w:left w:w="85" w:type="dxa"/>
                    <w:right w:w="85" w:type="dxa"/>
                  </w:tcMar>
                  <w:vAlign w:val="center"/>
                </w:tcPr>
                <w:p>
                  <w:pPr>
                    <w:jc w:val="center"/>
                    <w:rPr>
                      <w:highlight w:val="none"/>
                    </w:rPr>
                  </w:pPr>
                </w:p>
              </w:tc>
              <w:tc>
                <w:tcPr>
                  <w:tcW w:w="1267" w:type="dxa"/>
                  <w:vMerge w:val="continue"/>
                  <w:tcMar>
                    <w:left w:w="85" w:type="dxa"/>
                    <w:right w:w="85" w:type="dxa"/>
                  </w:tcMar>
                  <w:vAlign w:val="center"/>
                </w:tcPr>
                <w:p>
                  <w:pPr>
                    <w:jc w:val="center"/>
                    <w:rPr>
                      <w:highlight w:val="none"/>
                    </w:rPr>
                  </w:pPr>
                </w:p>
              </w:tc>
              <w:tc>
                <w:tcPr>
                  <w:tcW w:w="1268" w:type="dxa"/>
                  <w:tcMar>
                    <w:left w:w="85" w:type="dxa"/>
                    <w:right w:w="85" w:type="dxa"/>
                  </w:tcMar>
                  <w:vAlign w:val="center"/>
                </w:tcPr>
                <w:p>
                  <w:pPr>
                    <w:jc w:val="center"/>
                    <w:rPr>
                      <w:rFonts w:hint="eastAsia"/>
                      <w:szCs w:val="21"/>
                      <w:highlight w:val="none"/>
                    </w:rPr>
                  </w:pPr>
                  <w:r>
                    <w:rPr>
                      <w:rFonts w:hint="eastAsia"/>
                      <w:szCs w:val="21"/>
                      <w:highlight w:val="none"/>
                      <w:lang w:val="en-US" w:eastAsia="zh-CN"/>
                    </w:rPr>
                    <w:t>1台</w:t>
                  </w:r>
                  <w:r>
                    <w:rPr>
                      <w:rFonts w:hint="eastAsia"/>
                      <w:szCs w:val="21"/>
                      <w:highlight w:val="none"/>
                    </w:rPr>
                    <w:t>电油烟净化装置</w:t>
                  </w:r>
                </w:p>
              </w:tc>
              <w:tc>
                <w:tcPr>
                  <w:tcW w:w="695" w:type="dxa"/>
                  <w:tcMar>
                    <w:left w:w="85" w:type="dxa"/>
                    <w:right w:w="85" w:type="dxa"/>
                  </w:tcMar>
                  <w:vAlign w:val="center"/>
                </w:tcPr>
                <w:p>
                  <w:pPr>
                    <w:jc w:val="center"/>
                    <w:rPr>
                      <w:rFonts w:hint="eastAsia"/>
                      <w:szCs w:val="21"/>
                      <w:highlight w:val="none"/>
                    </w:rPr>
                  </w:pPr>
                  <w:r>
                    <w:rPr>
                      <w:rFonts w:hint="eastAsia"/>
                      <w:szCs w:val="21"/>
                      <w:highlight w:val="none"/>
                    </w:rPr>
                    <w:t>厂界</w:t>
                  </w:r>
                </w:p>
              </w:tc>
              <w:tc>
                <w:tcPr>
                  <w:tcW w:w="1055" w:type="dxa"/>
                  <w:tcMar>
                    <w:left w:w="85" w:type="dxa"/>
                    <w:right w:w="85" w:type="dxa"/>
                  </w:tcMar>
                  <w:vAlign w:val="center"/>
                </w:tcPr>
                <w:p>
                  <w:pPr>
                    <w:jc w:val="center"/>
                    <w:rPr>
                      <w:rFonts w:hint="eastAsia"/>
                      <w:szCs w:val="21"/>
                      <w:highlight w:val="none"/>
                    </w:rPr>
                  </w:pPr>
                  <w:r>
                    <w:rPr>
                      <w:rFonts w:hint="eastAsia"/>
                      <w:szCs w:val="21"/>
                      <w:highlight w:val="none"/>
                    </w:rPr>
                    <w:t>臭气浓度</w:t>
                  </w:r>
                </w:p>
              </w:tc>
              <w:tc>
                <w:tcPr>
                  <w:tcW w:w="1042" w:type="dxa"/>
                  <w:vMerge w:val="continue"/>
                  <w:tcMar>
                    <w:left w:w="85" w:type="dxa"/>
                    <w:right w:w="85" w:type="dxa"/>
                  </w:tcMar>
                  <w:vAlign w:val="center"/>
                </w:tcPr>
                <w:p>
                  <w:pPr>
                    <w:jc w:val="center"/>
                    <w:rPr>
                      <w:rFonts w:hint="eastAsia"/>
                      <w:szCs w:val="21"/>
                      <w:highlight w:val="none"/>
                    </w:rPr>
                  </w:pPr>
                </w:p>
              </w:tc>
              <w:tc>
                <w:tcPr>
                  <w:tcW w:w="2000" w:type="dxa"/>
                  <w:tcMar>
                    <w:left w:w="85" w:type="dxa"/>
                    <w:right w:w="85" w:type="dxa"/>
                  </w:tcMar>
                  <w:vAlign w:val="center"/>
                </w:tcPr>
                <w:p>
                  <w:pPr>
                    <w:jc w:val="center"/>
                    <w:rPr>
                      <w:rFonts w:hint="eastAsia"/>
                      <w:szCs w:val="21"/>
                      <w:highlight w:val="none"/>
                    </w:rPr>
                  </w:pPr>
                  <w:r>
                    <w:rPr>
                      <w:rFonts w:hint="eastAsia"/>
                      <w:szCs w:val="21"/>
                      <w:highlight w:val="none"/>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458" w:type="dxa"/>
                  <w:vMerge w:val="continue"/>
                  <w:tcMar>
                    <w:left w:w="85" w:type="dxa"/>
                    <w:right w:w="85" w:type="dxa"/>
                  </w:tcMar>
                  <w:vAlign w:val="center"/>
                </w:tcPr>
                <w:p>
                  <w:pPr>
                    <w:jc w:val="center"/>
                    <w:rPr>
                      <w:highlight w:val="none"/>
                    </w:rPr>
                  </w:pPr>
                </w:p>
              </w:tc>
              <w:tc>
                <w:tcPr>
                  <w:tcW w:w="1275" w:type="dxa"/>
                  <w:vMerge w:val="continue"/>
                  <w:tcMar>
                    <w:left w:w="85" w:type="dxa"/>
                    <w:right w:w="85" w:type="dxa"/>
                  </w:tcMar>
                  <w:vAlign w:val="center"/>
                </w:tcPr>
                <w:p>
                  <w:pPr>
                    <w:jc w:val="center"/>
                    <w:rPr>
                      <w:highlight w:val="none"/>
                    </w:rPr>
                  </w:pPr>
                </w:p>
              </w:tc>
              <w:tc>
                <w:tcPr>
                  <w:tcW w:w="1267" w:type="dxa"/>
                  <w:tcMar>
                    <w:left w:w="85" w:type="dxa"/>
                    <w:right w:w="85" w:type="dxa"/>
                  </w:tcMar>
                  <w:vAlign w:val="center"/>
                </w:tcPr>
                <w:p>
                  <w:pPr>
                    <w:ind w:firstLine="210" w:firstLineChars="100"/>
                    <w:rPr>
                      <w:rFonts w:hint="eastAsia"/>
                      <w:szCs w:val="21"/>
                      <w:highlight w:val="none"/>
                    </w:rPr>
                  </w:pPr>
                  <w:r>
                    <w:rPr>
                      <w:rFonts w:hint="eastAsia"/>
                      <w:szCs w:val="21"/>
                      <w:highlight w:val="none"/>
                    </w:rPr>
                    <w:t>有组织</w:t>
                  </w:r>
                </w:p>
              </w:tc>
              <w:tc>
                <w:tcPr>
                  <w:tcW w:w="1268" w:type="dxa"/>
                  <w:tcMar>
                    <w:left w:w="85" w:type="dxa"/>
                    <w:right w:w="85" w:type="dxa"/>
                  </w:tcMar>
                  <w:vAlign w:val="center"/>
                </w:tcPr>
                <w:p>
                  <w:pPr>
                    <w:jc w:val="center"/>
                    <w:rPr>
                      <w:rFonts w:hint="eastAsia"/>
                      <w:szCs w:val="21"/>
                      <w:highlight w:val="none"/>
                    </w:rPr>
                  </w:pPr>
                  <w:r>
                    <w:rPr>
                      <w:rFonts w:hint="eastAsia"/>
                      <w:szCs w:val="21"/>
                      <w:highlight w:val="none"/>
                      <w:lang w:val="en-US" w:eastAsia="zh-CN"/>
                    </w:rPr>
                    <w:t>1个</w:t>
                  </w:r>
                  <w:r>
                    <w:rPr>
                      <w:rFonts w:hint="eastAsia"/>
                      <w:szCs w:val="21"/>
                      <w:highlight w:val="none"/>
                    </w:rPr>
                    <w:t>集气罩+</w:t>
                  </w:r>
                  <w:r>
                    <w:rPr>
                      <w:rFonts w:hint="eastAsia"/>
                      <w:szCs w:val="21"/>
                      <w:highlight w:val="none"/>
                      <w:lang w:val="en-US" w:eastAsia="zh-CN"/>
                    </w:rPr>
                    <w:t>1台</w:t>
                  </w:r>
                  <w:r>
                    <w:rPr>
                      <w:rFonts w:hint="eastAsia"/>
                      <w:szCs w:val="21"/>
                      <w:highlight w:val="none"/>
                    </w:rPr>
                    <w:t>袋式除尘装置+15m排气筒（P1）</w:t>
                  </w:r>
                </w:p>
              </w:tc>
              <w:tc>
                <w:tcPr>
                  <w:tcW w:w="695" w:type="dxa"/>
                  <w:tcMar>
                    <w:left w:w="85" w:type="dxa"/>
                    <w:right w:w="85" w:type="dxa"/>
                  </w:tcMar>
                  <w:vAlign w:val="center"/>
                </w:tcPr>
                <w:p>
                  <w:pPr>
                    <w:jc w:val="center"/>
                    <w:rPr>
                      <w:rFonts w:hint="eastAsia"/>
                      <w:szCs w:val="21"/>
                      <w:highlight w:val="none"/>
                    </w:rPr>
                  </w:pPr>
                  <w:r>
                    <w:rPr>
                      <w:rFonts w:hint="eastAsia"/>
                      <w:szCs w:val="21"/>
                      <w:highlight w:val="none"/>
                    </w:rPr>
                    <w:t>烟道进、出口</w:t>
                  </w:r>
                </w:p>
              </w:tc>
              <w:tc>
                <w:tcPr>
                  <w:tcW w:w="1055" w:type="dxa"/>
                  <w:tcMar>
                    <w:left w:w="85" w:type="dxa"/>
                    <w:right w:w="85" w:type="dxa"/>
                  </w:tcMar>
                  <w:vAlign w:val="center"/>
                </w:tcPr>
                <w:p>
                  <w:pPr>
                    <w:jc w:val="center"/>
                    <w:rPr>
                      <w:rFonts w:hint="eastAsia"/>
                      <w:szCs w:val="21"/>
                      <w:highlight w:val="none"/>
                    </w:rPr>
                  </w:pPr>
                  <w:r>
                    <w:rPr>
                      <w:rFonts w:hint="eastAsia"/>
                      <w:szCs w:val="21"/>
                      <w:highlight w:val="none"/>
                    </w:rPr>
                    <w:t>粉尘</w:t>
                  </w:r>
                  <w:r>
                    <w:rPr>
                      <w:szCs w:val="21"/>
                      <w:highlight w:val="none"/>
                    </w:rPr>
                    <w:t>浓度</w:t>
                  </w:r>
                </w:p>
              </w:tc>
              <w:tc>
                <w:tcPr>
                  <w:tcW w:w="1042" w:type="dxa"/>
                  <w:vMerge w:val="continue"/>
                  <w:tcMar>
                    <w:left w:w="85" w:type="dxa"/>
                    <w:right w:w="85" w:type="dxa"/>
                  </w:tcMar>
                  <w:vAlign w:val="center"/>
                </w:tcPr>
                <w:p>
                  <w:pPr>
                    <w:jc w:val="center"/>
                    <w:rPr>
                      <w:rFonts w:hint="eastAsia"/>
                      <w:szCs w:val="21"/>
                      <w:highlight w:val="none"/>
                    </w:rPr>
                  </w:pPr>
                </w:p>
              </w:tc>
              <w:tc>
                <w:tcPr>
                  <w:tcW w:w="2000" w:type="dxa"/>
                  <w:tcMar>
                    <w:left w:w="85" w:type="dxa"/>
                    <w:right w:w="85" w:type="dxa"/>
                  </w:tcMar>
                  <w:vAlign w:val="center"/>
                </w:tcPr>
                <w:p>
                  <w:pPr>
                    <w:jc w:val="center"/>
                    <w:rPr>
                      <w:rFonts w:hint="eastAsia"/>
                      <w:szCs w:val="21"/>
                      <w:highlight w:val="none"/>
                    </w:rPr>
                  </w:pPr>
                  <w:r>
                    <w:rPr>
                      <w:szCs w:val="21"/>
                      <w:highlight w:val="none"/>
                    </w:rPr>
                    <w:t>《大气污染物综合排放标准》</w:t>
                  </w:r>
                  <w:r>
                    <w:rPr>
                      <w:rFonts w:hint="eastAsia"/>
                      <w:szCs w:val="21"/>
                      <w:highlight w:val="none"/>
                    </w:rPr>
                    <w:t>（</w:t>
                  </w:r>
                  <w:r>
                    <w:rPr>
                      <w:szCs w:val="21"/>
                      <w:highlight w:val="none"/>
                    </w:rPr>
                    <w:t>GB16297-1996</w:t>
                  </w:r>
                  <w:r>
                    <w:rPr>
                      <w:rFonts w:hint="eastAsia"/>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458" w:type="dxa"/>
                  <w:vMerge w:val="continue"/>
                  <w:tcMar>
                    <w:left w:w="85" w:type="dxa"/>
                    <w:right w:w="85" w:type="dxa"/>
                  </w:tcMar>
                  <w:vAlign w:val="center"/>
                </w:tcPr>
                <w:p>
                  <w:pPr>
                    <w:jc w:val="center"/>
                    <w:rPr>
                      <w:highlight w:val="none"/>
                    </w:rPr>
                  </w:pPr>
                </w:p>
              </w:tc>
              <w:tc>
                <w:tcPr>
                  <w:tcW w:w="1275" w:type="dxa"/>
                  <w:vMerge w:val="continue"/>
                  <w:tcMar>
                    <w:left w:w="85" w:type="dxa"/>
                    <w:right w:w="85" w:type="dxa"/>
                  </w:tcMar>
                  <w:vAlign w:val="center"/>
                </w:tcPr>
                <w:p>
                  <w:pPr>
                    <w:jc w:val="center"/>
                    <w:rPr>
                      <w:rFonts w:hint="eastAsia"/>
                      <w:szCs w:val="21"/>
                      <w:highlight w:val="none"/>
                    </w:rPr>
                  </w:pPr>
                </w:p>
              </w:tc>
              <w:tc>
                <w:tcPr>
                  <w:tcW w:w="1267" w:type="dxa"/>
                  <w:tcMar>
                    <w:left w:w="85" w:type="dxa"/>
                    <w:right w:w="85" w:type="dxa"/>
                  </w:tcMar>
                  <w:vAlign w:val="center"/>
                </w:tcPr>
                <w:p>
                  <w:pPr>
                    <w:jc w:val="center"/>
                    <w:rPr>
                      <w:rFonts w:hint="eastAsia"/>
                      <w:szCs w:val="21"/>
                      <w:highlight w:val="none"/>
                    </w:rPr>
                  </w:pPr>
                  <w:r>
                    <w:rPr>
                      <w:rFonts w:hint="eastAsia"/>
                      <w:szCs w:val="21"/>
                      <w:highlight w:val="none"/>
                    </w:rPr>
                    <w:t>油烟</w:t>
                  </w:r>
                </w:p>
              </w:tc>
              <w:tc>
                <w:tcPr>
                  <w:tcW w:w="1268" w:type="dxa"/>
                  <w:tcMar>
                    <w:left w:w="85" w:type="dxa"/>
                    <w:right w:w="85" w:type="dxa"/>
                  </w:tcMar>
                  <w:vAlign w:val="center"/>
                </w:tcPr>
                <w:p>
                  <w:pPr>
                    <w:jc w:val="center"/>
                    <w:rPr>
                      <w:rFonts w:hint="eastAsia"/>
                      <w:szCs w:val="21"/>
                      <w:highlight w:val="none"/>
                    </w:rPr>
                  </w:pPr>
                  <w:r>
                    <w:rPr>
                      <w:rFonts w:hint="eastAsia"/>
                      <w:szCs w:val="21"/>
                      <w:highlight w:val="none"/>
                    </w:rPr>
                    <w:t>集气罩+</w:t>
                  </w:r>
                  <w:r>
                    <w:rPr>
                      <w:rFonts w:hint="eastAsia"/>
                      <w:szCs w:val="21"/>
                      <w:highlight w:val="none"/>
                      <w:lang w:val="en-US" w:eastAsia="zh-CN"/>
                    </w:rPr>
                    <w:t>1台</w:t>
                  </w:r>
                  <w:r>
                    <w:rPr>
                      <w:rFonts w:hint="eastAsia"/>
                      <w:szCs w:val="21"/>
                      <w:highlight w:val="none"/>
                    </w:rPr>
                    <w:t>静电油烟净化装置+15m排气筒（P2）</w:t>
                  </w:r>
                </w:p>
              </w:tc>
              <w:tc>
                <w:tcPr>
                  <w:tcW w:w="695" w:type="dxa"/>
                  <w:tcMar>
                    <w:left w:w="85" w:type="dxa"/>
                    <w:right w:w="85" w:type="dxa"/>
                  </w:tcMar>
                  <w:vAlign w:val="center"/>
                </w:tcPr>
                <w:p>
                  <w:pPr>
                    <w:jc w:val="center"/>
                    <w:rPr>
                      <w:rFonts w:hint="eastAsia"/>
                      <w:szCs w:val="21"/>
                      <w:highlight w:val="none"/>
                    </w:rPr>
                  </w:pPr>
                  <w:r>
                    <w:rPr>
                      <w:rFonts w:hint="eastAsia"/>
                      <w:szCs w:val="21"/>
                      <w:highlight w:val="none"/>
                    </w:rPr>
                    <w:t>烟道进、出口</w:t>
                  </w:r>
                </w:p>
              </w:tc>
              <w:tc>
                <w:tcPr>
                  <w:tcW w:w="1055" w:type="dxa"/>
                  <w:tcMar>
                    <w:left w:w="85" w:type="dxa"/>
                    <w:right w:w="85" w:type="dxa"/>
                  </w:tcMar>
                  <w:vAlign w:val="center"/>
                </w:tcPr>
                <w:p>
                  <w:pPr>
                    <w:jc w:val="center"/>
                    <w:rPr>
                      <w:rFonts w:hint="eastAsia"/>
                      <w:szCs w:val="21"/>
                      <w:highlight w:val="none"/>
                    </w:rPr>
                  </w:pPr>
                  <w:r>
                    <w:rPr>
                      <w:rFonts w:hint="eastAsia"/>
                      <w:szCs w:val="21"/>
                      <w:highlight w:val="none"/>
                    </w:rPr>
                    <w:t>油烟</w:t>
                  </w:r>
                </w:p>
              </w:tc>
              <w:tc>
                <w:tcPr>
                  <w:tcW w:w="1042" w:type="dxa"/>
                  <w:vMerge w:val="continue"/>
                  <w:tcMar>
                    <w:left w:w="85" w:type="dxa"/>
                    <w:right w:w="85" w:type="dxa"/>
                  </w:tcMar>
                  <w:vAlign w:val="center"/>
                </w:tcPr>
                <w:p>
                  <w:pPr>
                    <w:jc w:val="center"/>
                    <w:rPr>
                      <w:rFonts w:hint="eastAsia"/>
                      <w:szCs w:val="21"/>
                      <w:highlight w:val="none"/>
                    </w:rPr>
                  </w:pPr>
                </w:p>
              </w:tc>
              <w:tc>
                <w:tcPr>
                  <w:tcW w:w="2000" w:type="dxa"/>
                  <w:tcMar>
                    <w:left w:w="85" w:type="dxa"/>
                    <w:right w:w="85" w:type="dxa"/>
                  </w:tcMar>
                  <w:vAlign w:val="center"/>
                </w:tcPr>
                <w:p>
                  <w:pPr>
                    <w:jc w:val="center"/>
                    <w:rPr>
                      <w:rFonts w:hint="eastAsia"/>
                      <w:szCs w:val="21"/>
                      <w:highlight w:val="none"/>
                    </w:rPr>
                  </w:pPr>
                  <w:r>
                    <w:rPr>
                      <w:rFonts w:hint="eastAsia"/>
                      <w:szCs w:val="21"/>
                      <w:highlight w:val="none"/>
                      <w:lang w:eastAsia="zh-CN"/>
                    </w:rPr>
                    <w:t>《餐饮业油烟污染物排放标准》（DB41/1604-2018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458" w:type="dxa"/>
                  <w:vMerge w:val="continue"/>
                  <w:tcMar>
                    <w:left w:w="85" w:type="dxa"/>
                    <w:right w:w="85" w:type="dxa"/>
                  </w:tcMar>
                  <w:vAlign w:val="center"/>
                </w:tcPr>
                <w:p>
                  <w:pPr>
                    <w:jc w:val="center"/>
                    <w:rPr>
                      <w:highlight w:val="none"/>
                    </w:rPr>
                  </w:pPr>
                </w:p>
              </w:tc>
              <w:tc>
                <w:tcPr>
                  <w:tcW w:w="1275" w:type="dxa"/>
                  <w:vMerge w:val="continue"/>
                  <w:tcMar>
                    <w:left w:w="85" w:type="dxa"/>
                    <w:right w:w="85" w:type="dxa"/>
                  </w:tcMar>
                  <w:vAlign w:val="center"/>
                </w:tcPr>
                <w:p>
                  <w:pPr>
                    <w:jc w:val="center"/>
                    <w:rPr>
                      <w:highlight w:val="none"/>
                    </w:rPr>
                  </w:pPr>
                </w:p>
              </w:tc>
              <w:tc>
                <w:tcPr>
                  <w:tcW w:w="1267" w:type="dxa"/>
                  <w:tcMar>
                    <w:left w:w="85" w:type="dxa"/>
                    <w:right w:w="85" w:type="dxa"/>
                  </w:tcMar>
                  <w:vAlign w:val="center"/>
                </w:tcPr>
                <w:p>
                  <w:pPr>
                    <w:jc w:val="center"/>
                    <w:rPr>
                      <w:rFonts w:hint="eastAsia"/>
                      <w:szCs w:val="21"/>
                      <w:highlight w:val="none"/>
                    </w:rPr>
                  </w:pPr>
                  <w:r>
                    <w:rPr>
                      <w:rFonts w:hint="eastAsia"/>
                      <w:szCs w:val="21"/>
                      <w:highlight w:val="none"/>
                    </w:rPr>
                    <w:t>油炸机燃料废气</w:t>
                  </w:r>
                </w:p>
              </w:tc>
              <w:tc>
                <w:tcPr>
                  <w:tcW w:w="1268" w:type="dxa"/>
                  <w:tcMar>
                    <w:left w:w="85" w:type="dxa"/>
                    <w:right w:w="85" w:type="dxa"/>
                  </w:tcMar>
                  <w:vAlign w:val="center"/>
                </w:tcPr>
                <w:p>
                  <w:pPr>
                    <w:jc w:val="center"/>
                    <w:rPr>
                      <w:rFonts w:hint="eastAsia"/>
                      <w:szCs w:val="21"/>
                      <w:highlight w:val="none"/>
                    </w:rPr>
                  </w:pPr>
                  <w:r>
                    <w:rPr>
                      <w:rFonts w:hint="eastAsia"/>
                      <w:szCs w:val="21"/>
                      <w:highlight w:val="none"/>
                    </w:rPr>
                    <w:t>15m的排气筒（P3）</w:t>
                  </w:r>
                </w:p>
              </w:tc>
              <w:tc>
                <w:tcPr>
                  <w:tcW w:w="695" w:type="dxa"/>
                  <w:tcMar>
                    <w:left w:w="85" w:type="dxa"/>
                    <w:right w:w="85" w:type="dxa"/>
                  </w:tcMar>
                  <w:vAlign w:val="center"/>
                </w:tcPr>
                <w:p>
                  <w:pPr>
                    <w:jc w:val="center"/>
                    <w:rPr>
                      <w:rFonts w:hint="eastAsia"/>
                      <w:szCs w:val="21"/>
                      <w:highlight w:val="none"/>
                    </w:rPr>
                  </w:pPr>
                  <w:r>
                    <w:rPr>
                      <w:rFonts w:hint="eastAsia"/>
                      <w:szCs w:val="21"/>
                      <w:highlight w:val="none"/>
                    </w:rPr>
                    <w:t>烟道出口</w:t>
                  </w:r>
                </w:p>
              </w:tc>
              <w:tc>
                <w:tcPr>
                  <w:tcW w:w="1055" w:type="dxa"/>
                  <w:tcMar>
                    <w:left w:w="85" w:type="dxa"/>
                    <w:right w:w="85" w:type="dxa"/>
                  </w:tcMar>
                  <w:vAlign w:val="center"/>
                </w:tcPr>
                <w:p>
                  <w:pPr>
                    <w:jc w:val="center"/>
                    <w:rPr>
                      <w:rFonts w:hint="eastAsia"/>
                      <w:szCs w:val="21"/>
                      <w:highlight w:val="none"/>
                    </w:rPr>
                  </w:pPr>
                  <w:r>
                    <w:rPr>
                      <w:rFonts w:hint="eastAsia"/>
                      <w:szCs w:val="21"/>
                      <w:highlight w:val="none"/>
                    </w:rPr>
                    <w:t>颗粒物、SO</w:t>
                  </w:r>
                  <w:r>
                    <w:rPr>
                      <w:rFonts w:hint="eastAsia"/>
                      <w:szCs w:val="21"/>
                      <w:highlight w:val="none"/>
                      <w:vertAlign w:val="subscript"/>
                    </w:rPr>
                    <w:t>2</w:t>
                  </w:r>
                  <w:r>
                    <w:rPr>
                      <w:rFonts w:hint="eastAsia"/>
                      <w:szCs w:val="21"/>
                      <w:highlight w:val="none"/>
                    </w:rPr>
                    <w:t>、NO</w:t>
                  </w:r>
                  <w:r>
                    <w:rPr>
                      <w:rFonts w:hint="eastAsia"/>
                      <w:szCs w:val="21"/>
                      <w:highlight w:val="none"/>
                      <w:vertAlign w:val="subscript"/>
                    </w:rPr>
                    <w:t>X</w:t>
                  </w:r>
                </w:p>
              </w:tc>
              <w:tc>
                <w:tcPr>
                  <w:tcW w:w="1042" w:type="dxa"/>
                  <w:vMerge w:val="continue"/>
                  <w:tcMar>
                    <w:left w:w="85" w:type="dxa"/>
                    <w:right w:w="85" w:type="dxa"/>
                  </w:tcMar>
                  <w:vAlign w:val="center"/>
                </w:tcPr>
                <w:p>
                  <w:pPr>
                    <w:jc w:val="center"/>
                    <w:rPr>
                      <w:rFonts w:hint="eastAsia"/>
                      <w:szCs w:val="21"/>
                      <w:highlight w:val="none"/>
                    </w:rPr>
                  </w:pPr>
                </w:p>
              </w:tc>
              <w:tc>
                <w:tcPr>
                  <w:tcW w:w="2000" w:type="dxa"/>
                  <w:tcMar>
                    <w:left w:w="85" w:type="dxa"/>
                    <w:right w:w="85" w:type="dxa"/>
                  </w:tcMar>
                  <w:vAlign w:val="center"/>
                </w:tcPr>
                <w:p>
                  <w:pPr>
                    <w:jc w:val="center"/>
                    <w:rPr>
                      <w:rFonts w:hint="eastAsia"/>
                      <w:szCs w:val="21"/>
                      <w:highlight w:val="none"/>
                    </w:rPr>
                  </w:pPr>
                  <w:r>
                    <w:rPr>
                      <w:rFonts w:hint="eastAsia"/>
                      <w:szCs w:val="21"/>
                      <w:highlight w:val="none"/>
                      <w:lang w:eastAsia="zh-CN"/>
                    </w:rPr>
                    <w:t>《锅炉大气污染物排放标准》（GB13271-2014）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27" w:hRule="atLeast"/>
                <w:jc w:val="center"/>
              </w:trPr>
              <w:tc>
                <w:tcPr>
                  <w:tcW w:w="458" w:type="dxa"/>
                  <w:tcMar>
                    <w:left w:w="85" w:type="dxa"/>
                    <w:right w:w="85" w:type="dxa"/>
                  </w:tcMar>
                  <w:vAlign w:val="center"/>
                </w:tcPr>
                <w:p>
                  <w:pPr>
                    <w:jc w:val="center"/>
                    <w:rPr>
                      <w:szCs w:val="21"/>
                      <w:highlight w:val="none"/>
                    </w:rPr>
                  </w:pPr>
                  <w:r>
                    <w:rPr>
                      <w:szCs w:val="21"/>
                      <w:highlight w:val="none"/>
                    </w:rPr>
                    <w:t>废水</w:t>
                  </w:r>
                </w:p>
              </w:tc>
              <w:tc>
                <w:tcPr>
                  <w:tcW w:w="1275" w:type="dxa"/>
                  <w:tcMar>
                    <w:left w:w="85" w:type="dxa"/>
                    <w:right w:w="85" w:type="dxa"/>
                  </w:tcMar>
                  <w:vAlign w:val="center"/>
                </w:tcPr>
                <w:p>
                  <w:pPr>
                    <w:jc w:val="center"/>
                    <w:rPr>
                      <w:szCs w:val="21"/>
                      <w:highlight w:val="none"/>
                    </w:rPr>
                  </w:pPr>
                  <w:r>
                    <w:rPr>
                      <w:szCs w:val="21"/>
                      <w:highlight w:val="none"/>
                    </w:rPr>
                    <w:t>生活</w:t>
                  </w:r>
                  <w:r>
                    <w:rPr>
                      <w:rFonts w:hint="eastAsia"/>
                      <w:szCs w:val="21"/>
                      <w:highlight w:val="none"/>
                    </w:rPr>
                    <w:t>污</w:t>
                  </w:r>
                  <w:r>
                    <w:rPr>
                      <w:szCs w:val="21"/>
                      <w:highlight w:val="none"/>
                    </w:rPr>
                    <w:t>水</w:t>
                  </w:r>
                </w:p>
              </w:tc>
              <w:tc>
                <w:tcPr>
                  <w:tcW w:w="1267" w:type="dxa"/>
                  <w:tcMar>
                    <w:left w:w="85" w:type="dxa"/>
                    <w:right w:w="85" w:type="dxa"/>
                  </w:tcMar>
                  <w:vAlign w:val="center"/>
                </w:tcPr>
                <w:p>
                  <w:pPr>
                    <w:jc w:val="center"/>
                    <w:rPr>
                      <w:szCs w:val="21"/>
                      <w:highlight w:val="none"/>
                    </w:rPr>
                  </w:pPr>
                  <w:r>
                    <w:rPr>
                      <w:szCs w:val="21"/>
                      <w:highlight w:val="none"/>
                    </w:rPr>
                    <w:t>化粪池</w:t>
                  </w:r>
                </w:p>
              </w:tc>
              <w:tc>
                <w:tcPr>
                  <w:tcW w:w="1268" w:type="dxa"/>
                  <w:tcMar>
                    <w:left w:w="85" w:type="dxa"/>
                    <w:right w:w="85" w:type="dxa"/>
                  </w:tcMar>
                  <w:vAlign w:val="center"/>
                </w:tcPr>
                <w:p>
                  <w:pPr>
                    <w:jc w:val="center"/>
                    <w:rPr>
                      <w:szCs w:val="21"/>
                      <w:highlight w:val="none"/>
                    </w:rPr>
                  </w:pPr>
                  <w:r>
                    <w:rPr>
                      <w:szCs w:val="21"/>
                      <w:highlight w:val="none"/>
                    </w:rPr>
                    <w:t>1×</w:t>
                  </w:r>
                  <w:r>
                    <w:rPr>
                      <w:rFonts w:hint="eastAsia"/>
                      <w:szCs w:val="21"/>
                      <w:highlight w:val="none"/>
                    </w:rPr>
                    <w:t>4</w:t>
                  </w:r>
                  <w:r>
                    <w:rPr>
                      <w:szCs w:val="21"/>
                      <w:highlight w:val="none"/>
                    </w:rPr>
                    <w:t>m</w:t>
                  </w:r>
                  <w:r>
                    <w:rPr>
                      <w:szCs w:val="21"/>
                      <w:highlight w:val="none"/>
                      <w:vertAlign w:val="superscript"/>
                    </w:rPr>
                    <w:t>3</w:t>
                  </w:r>
                  <w:r>
                    <w:rPr>
                      <w:szCs w:val="21"/>
                      <w:highlight w:val="none"/>
                    </w:rPr>
                    <w:t>化粪池</w:t>
                  </w:r>
                </w:p>
              </w:tc>
              <w:tc>
                <w:tcPr>
                  <w:tcW w:w="695" w:type="dxa"/>
                  <w:tcMar>
                    <w:left w:w="85" w:type="dxa"/>
                    <w:right w:w="85" w:type="dxa"/>
                  </w:tcMar>
                  <w:vAlign w:val="center"/>
                </w:tcPr>
                <w:p>
                  <w:pPr>
                    <w:jc w:val="center"/>
                    <w:rPr>
                      <w:rFonts w:hint="eastAsia"/>
                      <w:szCs w:val="21"/>
                      <w:highlight w:val="none"/>
                    </w:rPr>
                  </w:pPr>
                  <w:r>
                    <w:rPr>
                      <w:rFonts w:hint="eastAsia"/>
                      <w:szCs w:val="21"/>
                      <w:highlight w:val="none"/>
                    </w:rPr>
                    <w:t>/</w:t>
                  </w:r>
                </w:p>
              </w:tc>
              <w:tc>
                <w:tcPr>
                  <w:tcW w:w="1055" w:type="dxa"/>
                  <w:tcMar>
                    <w:left w:w="85" w:type="dxa"/>
                    <w:right w:w="85" w:type="dxa"/>
                  </w:tcMar>
                  <w:vAlign w:val="center"/>
                </w:tcPr>
                <w:p>
                  <w:pPr>
                    <w:jc w:val="center"/>
                    <w:rPr>
                      <w:rFonts w:hint="eastAsia"/>
                      <w:szCs w:val="21"/>
                      <w:highlight w:val="none"/>
                    </w:rPr>
                  </w:pPr>
                  <w:r>
                    <w:rPr>
                      <w:rFonts w:hint="eastAsia"/>
                      <w:szCs w:val="21"/>
                      <w:highlight w:val="none"/>
                    </w:rPr>
                    <w:t>/</w:t>
                  </w:r>
                </w:p>
              </w:tc>
              <w:tc>
                <w:tcPr>
                  <w:tcW w:w="1042" w:type="dxa"/>
                  <w:tcMar>
                    <w:left w:w="85" w:type="dxa"/>
                    <w:right w:w="85" w:type="dxa"/>
                  </w:tcMar>
                  <w:vAlign w:val="center"/>
                </w:tcPr>
                <w:p>
                  <w:pPr>
                    <w:jc w:val="center"/>
                    <w:rPr>
                      <w:rFonts w:hint="eastAsia"/>
                      <w:szCs w:val="21"/>
                      <w:highlight w:val="none"/>
                    </w:rPr>
                  </w:pPr>
                  <w:r>
                    <w:rPr>
                      <w:rFonts w:hint="eastAsia"/>
                      <w:color w:val="000000"/>
                      <w:szCs w:val="21"/>
                      <w:highlight w:val="none"/>
                    </w:rPr>
                    <w:t>/</w:t>
                  </w:r>
                </w:p>
              </w:tc>
              <w:tc>
                <w:tcPr>
                  <w:tcW w:w="2000" w:type="dxa"/>
                  <w:tcMar>
                    <w:left w:w="85" w:type="dxa"/>
                    <w:right w:w="85" w:type="dxa"/>
                  </w:tcMar>
                  <w:vAlign w:val="center"/>
                </w:tcPr>
                <w:p>
                  <w:pPr>
                    <w:jc w:val="center"/>
                    <w:rPr>
                      <w:rFonts w:hint="eastAsia"/>
                      <w:szCs w:val="21"/>
                      <w:highlight w:val="none"/>
                    </w:rPr>
                  </w:pPr>
                  <w:r>
                    <w:rPr>
                      <w:rFonts w:hint="eastAsia"/>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11" w:hRule="atLeast"/>
                <w:jc w:val="center"/>
              </w:trPr>
              <w:tc>
                <w:tcPr>
                  <w:tcW w:w="458" w:type="dxa"/>
                  <w:tcMar>
                    <w:left w:w="85" w:type="dxa"/>
                    <w:right w:w="85" w:type="dxa"/>
                  </w:tcMar>
                  <w:vAlign w:val="center"/>
                </w:tcPr>
                <w:p>
                  <w:pPr>
                    <w:jc w:val="center"/>
                    <w:rPr>
                      <w:szCs w:val="21"/>
                      <w:highlight w:val="none"/>
                    </w:rPr>
                  </w:pPr>
                  <w:r>
                    <w:rPr>
                      <w:szCs w:val="21"/>
                      <w:highlight w:val="none"/>
                    </w:rPr>
                    <w:t>噪声</w:t>
                  </w:r>
                </w:p>
              </w:tc>
              <w:tc>
                <w:tcPr>
                  <w:tcW w:w="1275" w:type="dxa"/>
                  <w:tcMar>
                    <w:left w:w="85" w:type="dxa"/>
                    <w:right w:w="85" w:type="dxa"/>
                  </w:tcMar>
                  <w:vAlign w:val="center"/>
                </w:tcPr>
                <w:p>
                  <w:pPr>
                    <w:jc w:val="center"/>
                    <w:rPr>
                      <w:szCs w:val="21"/>
                      <w:highlight w:val="none"/>
                    </w:rPr>
                  </w:pPr>
                  <w:r>
                    <w:rPr>
                      <w:szCs w:val="21"/>
                      <w:highlight w:val="none"/>
                    </w:rPr>
                    <w:t>生产设备</w:t>
                  </w:r>
                </w:p>
                <w:p>
                  <w:pPr>
                    <w:jc w:val="center"/>
                    <w:rPr>
                      <w:szCs w:val="21"/>
                      <w:highlight w:val="none"/>
                    </w:rPr>
                  </w:pPr>
                  <w:r>
                    <w:rPr>
                      <w:szCs w:val="21"/>
                      <w:highlight w:val="none"/>
                    </w:rPr>
                    <w:t>噪声</w:t>
                  </w:r>
                </w:p>
              </w:tc>
              <w:tc>
                <w:tcPr>
                  <w:tcW w:w="2535" w:type="dxa"/>
                  <w:gridSpan w:val="2"/>
                  <w:tcMar>
                    <w:left w:w="85" w:type="dxa"/>
                    <w:right w:w="85" w:type="dxa"/>
                  </w:tcMar>
                  <w:vAlign w:val="center"/>
                </w:tcPr>
                <w:p>
                  <w:pPr>
                    <w:jc w:val="center"/>
                    <w:rPr>
                      <w:szCs w:val="21"/>
                      <w:highlight w:val="none"/>
                    </w:rPr>
                  </w:pPr>
                  <w:r>
                    <w:rPr>
                      <w:rFonts w:hint="eastAsia"/>
                      <w:color w:val="000000"/>
                      <w:szCs w:val="21"/>
                      <w:highlight w:val="none"/>
                    </w:rPr>
                    <w:t>减振</w:t>
                  </w:r>
                  <w:r>
                    <w:rPr>
                      <w:color w:val="000000"/>
                      <w:szCs w:val="21"/>
                      <w:highlight w:val="none"/>
                    </w:rPr>
                    <w:t>垫、</w:t>
                  </w:r>
                  <w:r>
                    <w:rPr>
                      <w:szCs w:val="21"/>
                      <w:highlight w:val="none"/>
                    </w:rPr>
                    <w:t>墙体隔音、距离衰减</w:t>
                  </w:r>
                </w:p>
              </w:tc>
              <w:tc>
                <w:tcPr>
                  <w:tcW w:w="695" w:type="dxa"/>
                  <w:tcMar>
                    <w:left w:w="85" w:type="dxa"/>
                    <w:right w:w="85" w:type="dxa"/>
                  </w:tcMar>
                  <w:vAlign w:val="center"/>
                </w:tcPr>
                <w:p>
                  <w:pPr>
                    <w:jc w:val="center"/>
                    <w:rPr>
                      <w:color w:val="000000"/>
                      <w:szCs w:val="21"/>
                      <w:highlight w:val="none"/>
                    </w:rPr>
                  </w:pPr>
                  <w:r>
                    <w:rPr>
                      <w:color w:val="000000"/>
                      <w:szCs w:val="21"/>
                      <w:highlight w:val="none"/>
                    </w:rPr>
                    <w:t>厂区</w:t>
                  </w:r>
                </w:p>
                <w:p>
                  <w:pPr>
                    <w:jc w:val="center"/>
                    <w:rPr>
                      <w:szCs w:val="21"/>
                      <w:highlight w:val="none"/>
                    </w:rPr>
                  </w:pPr>
                  <w:r>
                    <w:rPr>
                      <w:color w:val="000000"/>
                      <w:szCs w:val="21"/>
                      <w:highlight w:val="none"/>
                    </w:rPr>
                    <w:t>周界</w:t>
                  </w:r>
                </w:p>
              </w:tc>
              <w:tc>
                <w:tcPr>
                  <w:tcW w:w="1055" w:type="dxa"/>
                  <w:tcMar>
                    <w:left w:w="85" w:type="dxa"/>
                    <w:right w:w="85" w:type="dxa"/>
                  </w:tcMar>
                  <w:vAlign w:val="center"/>
                </w:tcPr>
                <w:p>
                  <w:pPr>
                    <w:jc w:val="center"/>
                    <w:rPr>
                      <w:szCs w:val="21"/>
                      <w:highlight w:val="none"/>
                    </w:rPr>
                  </w:pPr>
                  <w:r>
                    <w:rPr>
                      <w:szCs w:val="21"/>
                      <w:highlight w:val="none"/>
                    </w:rPr>
                    <w:t>等效连续A声级</w:t>
                  </w:r>
                </w:p>
              </w:tc>
              <w:tc>
                <w:tcPr>
                  <w:tcW w:w="1042" w:type="dxa"/>
                  <w:tcMar>
                    <w:left w:w="85" w:type="dxa"/>
                    <w:right w:w="85" w:type="dxa"/>
                  </w:tcMar>
                  <w:vAlign w:val="center"/>
                </w:tcPr>
                <w:p>
                  <w:pPr>
                    <w:jc w:val="center"/>
                    <w:rPr>
                      <w:szCs w:val="21"/>
                      <w:highlight w:val="none"/>
                    </w:rPr>
                  </w:pPr>
                  <w:r>
                    <w:rPr>
                      <w:szCs w:val="21"/>
                      <w:highlight w:val="none"/>
                    </w:rPr>
                    <w:t>昼夜各</w:t>
                  </w:r>
                  <w:r>
                    <w:rPr>
                      <w:rFonts w:hint="eastAsia"/>
                      <w:szCs w:val="21"/>
                      <w:highlight w:val="none"/>
                    </w:rPr>
                    <w:t>2</w:t>
                  </w:r>
                  <w:r>
                    <w:rPr>
                      <w:szCs w:val="21"/>
                      <w:highlight w:val="none"/>
                    </w:rPr>
                    <w:t>次/天，连续2天</w:t>
                  </w:r>
                </w:p>
              </w:tc>
              <w:tc>
                <w:tcPr>
                  <w:tcW w:w="2000" w:type="dxa"/>
                  <w:tcMar>
                    <w:left w:w="85" w:type="dxa"/>
                    <w:right w:w="85" w:type="dxa"/>
                  </w:tcMar>
                  <w:vAlign w:val="center"/>
                </w:tcPr>
                <w:p>
                  <w:pPr>
                    <w:jc w:val="center"/>
                    <w:rPr>
                      <w:szCs w:val="21"/>
                      <w:highlight w:val="none"/>
                    </w:rPr>
                  </w:pPr>
                  <w:r>
                    <w:rPr>
                      <w:szCs w:val="21"/>
                      <w:highlight w:val="none"/>
                    </w:rPr>
                    <w:t>《工业企业厂界环境噪声排放标准》（GB12348-2008）</w:t>
                  </w:r>
                </w:p>
                <w:p>
                  <w:pPr>
                    <w:jc w:val="center"/>
                    <w:rPr>
                      <w:szCs w:val="21"/>
                      <w:highlight w:val="none"/>
                    </w:rPr>
                  </w:pPr>
                  <w:r>
                    <w:rPr>
                      <w:rFonts w:hint="eastAsia"/>
                      <w:szCs w:val="21"/>
                      <w:highlight w:val="none"/>
                    </w:rPr>
                    <w:t>2</w:t>
                  </w:r>
                  <w:r>
                    <w:rPr>
                      <w:szCs w:val="21"/>
                      <w:highlight w:val="non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458" w:type="dxa"/>
                  <w:vMerge w:val="restart"/>
                  <w:tcMar>
                    <w:left w:w="85" w:type="dxa"/>
                    <w:right w:w="85" w:type="dxa"/>
                  </w:tcMar>
                  <w:vAlign w:val="center"/>
                </w:tcPr>
                <w:p>
                  <w:pPr>
                    <w:jc w:val="center"/>
                    <w:rPr>
                      <w:szCs w:val="21"/>
                      <w:highlight w:val="none"/>
                    </w:rPr>
                  </w:pPr>
                  <w:r>
                    <w:rPr>
                      <w:szCs w:val="21"/>
                      <w:highlight w:val="none"/>
                    </w:rPr>
                    <w:t>固废</w:t>
                  </w:r>
                </w:p>
              </w:tc>
              <w:tc>
                <w:tcPr>
                  <w:tcW w:w="1275" w:type="dxa"/>
                  <w:tcMar>
                    <w:left w:w="85" w:type="dxa"/>
                    <w:right w:w="85" w:type="dxa"/>
                  </w:tcMar>
                  <w:vAlign w:val="center"/>
                </w:tcPr>
                <w:p>
                  <w:pPr>
                    <w:jc w:val="center"/>
                    <w:rPr>
                      <w:szCs w:val="21"/>
                      <w:highlight w:val="none"/>
                    </w:rPr>
                  </w:pPr>
                  <w:r>
                    <w:rPr>
                      <w:rFonts w:hint="eastAsia"/>
                      <w:szCs w:val="21"/>
                      <w:highlight w:val="none"/>
                      <w:lang w:val="fr-FR"/>
                    </w:rPr>
                    <w:t>废包装材料</w:t>
                  </w:r>
                </w:p>
              </w:tc>
              <w:tc>
                <w:tcPr>
                  <w:tcW w:w="2535" w:type="dxa"/>
                  <w:gridSpan w:val="2"/>
                  <w:tcMar>
                    <w:left w:w="85" w:type="dxa"/>
                    <w:right w:w="85" w:type="dxa"/>
                  </w:tcMar>
                  <w:vAlign w:val="center"/>
                </w:tcPr>
                <w:p>
                  <w:pPr>
                    <w:jc w:val="center"/>
                    <w:rPr>
                      <w:szCs w:val="21"/>
                      <w:highlight w:val="none"/>
                    </w:rPr>
                  </w:pPr>
                  <w:r>
                    <w:rPr>
                      <w:szCs w:val="21"/>
                      <w:highlight w:val="none"/>
                    </w:rPr>
                    <w:t>统一收集后外售</w:t>
                  </w:r>
                </w:p>
              </w:tc>
              <w:tc>
                <w:tcPr>
                  <w:tcW w:w="695" w:type="dxa"/>
                  <w:vMerge w:val="restart"/>
                  <w:tcMar>
                    <w:left w:w="85" w:type="dxa"/>
                    <w:right w:w="85" w:type="dxa"/>
                  </w:tcMar>
                  <w:vAlign w:val="center"/>
                </w:tcPr>
                <w:p>
                  <w:pPr>
                    <w:jc w:val="center"/>
                    <w:rPr>
                      <w:szCs w:val="21"/>
                      <w:highlight w:val="none"/>
                    </w:rPr>
                  </w:pPr>
                  <w:r>
                    <w:rPr>
                      <w:szCs w:val="21"/>
                      <w:highlight w:val="none"/>
                    </w:rPr>
                    <w:t>/</w:t>
                  </w:r>
                </w:p>
              </w:tc>
              <w:tc>
                <w:tcPr>
                  <w:tcW w:w="1055" w:type="dxa"/>
                  <w:vMerge w:val="restart"/>
                  <w:tcMar>
                    <w:left w:w="85" w:type="dxa"/>
                    <w:right w:w="85" w:type="dxa"/>
                  </w:tcMar>
                  <w:vAlign w:val="center"/>
                </w:tcPr>
                <w:p>
                  <w:pPr>
                    <w:jc w:val="center"/>
                    <w:rPr>
                      <w:szCs w:val="21"/>
                      <w:highlight w:val="none"/>
                    </w:rPr>
                  </w:pPr>
                  <w:r>
                    <w:rPr>
                      <w:szCs w:val="21"/>
                      <w:highlight w:val="none"/>
                    </w:rPr>
                    <w:t>1×</w:t>
                  </w:r>
                  <w:r>
                    <w:rPr>
                      <w:rFonts w:hint="eastAsia"/>
                      <w:szCs w:val="21"/>
                      <w:highlight w:val="none"/>
                    </w:rPr>
                    <w:t>10</w:t>
                  </w:r>
                  <w:r>
                    <w:rPr>
                      <w:szCs w:val="21"/>
                      <w:highlight w:val="none"/>
                    </w:rPr>
                    <w:t>m</w:t>
                  </w:r>
                  <w:r>
                    <w:rPr>
                      <w:rFonts w:hint="eastAsia"/>
                      <w:szCs w:val="21"/>
                      <w:highlight w:val="none"/>
                      <w:vertAlign w:val="superscript"/>
                    </w:rPr>
                    <w:t>2</w:t>
                  </w:r>
                  <w:r>
                    <w:rPr>
                      <w:szCs w:val="21"/>
                      <w:highlight w:val="none"/>
                    </w:rPr>
                    <w:t>临时固废堆场</w:t>
                  </w:r>
                </w:p>
              </w:tc>
              <w:tc>
                <w:tcPr>
                  <w:tcW w:w="1042" w:type="dxa"/>
                  <w:vMerge w:val="restart"/>
                  <w:tcMar>
                    <w:left w:w="85" w:type="dxa"/>
                    <w:right w:w="85" w:type="dxa"/>
                  </w:tcMar>
                  <w:vAlign w:val="center"/>
                </w:tcPr>
                <w:p>
                  <w:pPr>
                    <w:jc w:val="center"/>
                    <w:rPr>
                      <w:szCs w:val="21"/>
                      <w:highlight w:val="none"/>
                    </w:rPr>
                  </w:pPr>
                  <w:r>
                    <w:rPr>
                      <w:szCs w:val="21"/>
                      <w:highlight w:val="none"/>
                    </w:rPr>
                    <w:t>/</w:t>
                  </w:r>
                </w:p>
              </w:tc>
              <w:tc>
                <w:tcPr>
                  <w:tcW w:w="2000" w:type="dxa"/>
                  <w:vMerge w:val="restart"/>
                  <w:tcMar>
                    <w:left w:w="85" w:type="dxa"/>
                    <w:right w:w="85" w:type="dxa"/>
                  </w:tcMar>
                  <w:vAlign w:val="center"/>
                </w:tcPr>
                <w:p>
                  <w:pPr>
                    <w:jc w:val="center"/>
                    <w:rPr>
                      <w:szCs w:val="21"/>
                      <w:highlight w:val="none"/>
                    </w:rPr>
                  </w:pPr>
                  <w:r>
                    <w:rPr>
                      <w:szCs w:val="21"/>
                      <w:highlight w:val="none"/>
                    </w:rPr>
                    <w:t>《一般工业固体废物贮存、处置场污染控制标准》（GB18599</w:t>
                  </w:r>
                  <w:r>
                    <w:rPr>
                      <w:rFonts w:hint="eastAsia"/>
                      <w:szCs w:val="21"/>
                      <w:highlight w:val="none"/>
                    </w:rPr>
                    <w:t>-</w:t>
                  </w:r>
                  <w:r>
                    <w:rPr>
                      <w:szCs w:val="21"/>
                      <w:highlight w:val="none"/>
                    </w:rPr>
                    <w:t>2001）及2013年修改单中的标准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8" w:type="dxa"/>
                  <w:vMerge w:val="continue"/>
                  <w:tcMar>
                    <w:left w:w="85" w:type="dxa"/>
                    <w:right w:w="85" w:type="dxa"/>
                  </w:tcMar>
                  <w:vAlign w:val="center"/>
                </w:tcPr>
                <w:p>
                  <w:pPr>
                    <w:jc w:val="center"/>
                    <w:rPr>
                      <w:szCs w:val="21"/>
                      <w:highlight w:val="none"/>
                    </w:rPr>
                  </w:pPr>
                </w:p>
              </w:tc>
              <w:tc>
                <w:tcPr>
                  <w:tcW w:w="1275" w:type="dxa"/>
                  <w:tcMar>
                    <w:left w:w="85" w:type="dxa"/>
                    <w:right w:w="85" w:type="dxa"/>
                  </w:tcMar>
                  <w:vAlign w:val="center"/>
                </w:tcPr>
                <w:p>
                  <w:pPr>
                    <w:jc w:val="center"/>
                    <w:rPr>
                      <w:rFonts w:hint="eastAsia"/>
                      <w:szCs w:val="21"/>
                      <w:highlight w:val="none"/>
                      <w:lang w:val="fr-FR"/>
                    </w:rPr>
                  </w:pPr>
                  <w:r>
                    <w:rPr>
                      <w:rFonts w:hint="eastAsia"/>
                      <w:szCs w:val="21"/>
                      <w:highlight w:val="none"/>
                    </w:rPr>
                    <w:t>废油</w:t>
                  </w:r>
                </w:p>
              </w:tc>
              <w:tc>
                <w:tcPr>
                  <w:tcW w:w="2535" w:type="dxa"/>
                  <w:gridSpan w:val="2"/>
                  <w:tcMar>
                    <w:left w:w="85" w:type="dxa"/>
                    <w:right w:w="85" w:type="dxa"/>
                  </w:tcMar>
                  <w:vAlign w:val="center"/>
                </w:tcPr>
                <w:p>
                  <w:pPr>
                    <w:jc w:val="center"/>
                    <w:rPr>
                      <w:rFonts w:hint="eastAsia"/>
                      <w:szCs w:val="21"/>
                      <w:highlight w:val="none"/>
                    </w:rPr>
                  </w:pPr>
                  <w:r>
                    <w:rPr>
                      <w:rFonts w:hint="eastAsia"/>
                      <w:szCs w:val="21"/>
                      <w:highlight w:val="none"/>
                    </w:rPr>
                    <w:t>专用容器收集</w:t>
                  </w:r>
                </w:p>
              </w:tc>
              <w:tc>
                <w:tcPr>
                  <w:tcW w:w="695" w:type="dxa"/>
                  <w:vMerge w:val="continue"/>
                  <w:tcMar>
                    <w:left w:w="85" w:type="dxa"/>
                    <w:right w:w="85" w:type="dxa"/>
                  </w:tcMar>
                  <w:vAlign w:val="center"/>
                </w:tcPr>
                <w:p>
                  <w:pPr>
                    <w:jc w:val="center"/>
                    <w:rPr>
                      <w:szCs w:val="21"/>
                      <w:highlight w:val="none"/>
                    </w:rPr>
                  </w:pPr>
                </w:p>
              </w:tc>
              <w:tc>
                <w:tcPr>
                  <w:tcW w:w="1055" w:type="dxa"/>
                  <w:vMerge w:val="continue"/>
                  <w:tcMar>
                    <w:left w:w="85" w:type="dxa"/>
                    <w:right w:w="85" w:type="dxa"/>
                  </w:tcMar>
                  <w:vAlign w:val="center"/>
                </w:tcPr>
                <w:p>
                  <w:pPr>
                    <w:jc w:val="center"/>
                    <w:rPr>
                      <w:szCs w:val="21"/>
                      <w:highlight w:val="none"/>
                    </w:rPr>
                  </w:pPr>
                </w:p>
              </w:tc>
              <w:tc>
                <w:tcPr>
                  <w:tcW w:w="1042" w:type="dxa"/>
                  <w:vMerge w:val="continue"/>
                  <w:tcMar>
                    <w:left w:w="85" w:type="dxa"/>
                    <w:right w:w="85" w:type="dxa"/>
                  </w:tcMar>
                  <w:vAlign w:val="center"/>
                </w:tcPr>
                <w:p>
                  <w:pPr>
                    <w:jc w:val="center"/>
                    <w:rPr>
                      <w:szCs w:val="21"/>
                      <w:highlight w:val="none"/>
                    </w:rPr>
                  </w:pPr>
                </w:p>
              </w:tc>
              <w:tc>
                <w:tcPr>
                  <w:tcW w:w="2000" w:type="dxa"/>
                  <w:vMerge w:val="continue"/>
                  <w:tcMar>
                    <w:left w:w="85" w:type="dxa"/>
                    <w:right w:w="85" w:type="dxa"/>
                  </w:tcMar>
                  <w:vAlign w:val="center"/>
                </w:tcPr>
                <w:p>
                  <w:pPr>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8" w:type="dxa"/>
                  <w:vMerge w:val="continue"/>
                  <w:tcMar>
                    <w:left w:w="85" w:type="dxa"/>
                    <w:right w:w="85" w:type="dxa"/>
                  </w:tcMar>
                  <w:vAlign w:val="center"/>
                </w:tcPr>
                <w:p>
                  <w:pPr>
                    <w:jc w:val="center"/>
                    <w:rPr>
                      <w:szCs w:val="21"/>
                      <w:highlight w:val="none"/>
                    </w:rPr>
                  </w:pPr>
                </w:p>
              </w:tc>
              <w:tc>
                <w:tcPr>
                  <w:tcW w:w="1275" w:type="dxa"/>
                  <w:tcMar>
                    <w:left w:w="85" w:type="dxa"/>
                    <w:right w:w="85" w:type="dxa"/>
                  </w:tcMar>
                  <w:vAlign w:val="center"/>
                </w:tcPr>
                <w:p>
                  <w:pPr>
                    <w:jc w:val="center"/>
                    <w:rPr>
                      <w:rFonts w:hint="eastAsia"/>
                      <w:szCs w:val="21"/>
                      <w:highlight w:val="none"/>
                    </w:rPr>
                  </w:pPr>
                  <w:r>
                    <w:rPr>
                      <w:rFonts w:hint="eastAsia"/>
                      <w:szCs w:val="21"/>
                      <w:highlight w:val="none"/>
                    </w:rPr>
                    <w:t>废油渣</w:t>
                  </w:r>
                </w:p>
              </w:tc>
              <w:tc>
                <w:tcPr>
                  <w:tcW w:w="2535" w:type="dxa"/>
                  <w:gridSpan w:val="2"/>
                  <w:tcMar>
                    <w:left w:w="85" w:type="dxa"/>
                    <w:right w:w="85" w:type="dxa"/>
                  </w:tcMar>
                  <w:vAlign w:val="center"/>
                </w:tcPr>
                <w:p>
                  <w:pPr>
                    <w:jc w:val="center"/>
                    <w:rPr>
                      <w:rFonts w:hint="eastAsia"/>
                      <w:szCs w:val="21"/>
                      <w:highlight w:val="none"/>
                    </w:rPr>
                  </w:pPr>
                  <w:r>
                    <w:rPr>
                      <w:rFonts w:hint="eastAsia"/>
                      <w:szCs w:val="21"/>
                      <w:highlight w:val="none"/>
                    </w:rPr>
                    <w:t>固定容器收集</w:t>
                  </w:r>
                </w:p>
              </w:tc>
              <w:tc>
                <w:tcPr>
                  <w:tcW w:w="695" w:type="dxa"/>
                  <w:vMerge w:val="continue"/>
                  <w:tcMar>
                    <w:left w:w="85" w:type="dxa"/>
                    <w:right w:w="85" w:type="dxa"/>
                  </w:tcMar>
                  <w:vAlign w:val="center"/>
                </w:tcPr>
                <w:p>
                  <w:pPr>
                    <w:jc w:val="center"/>
                    <w:rPr>
                      <w:szCs w:val="21"/>
                      <w:highlight w:val="none"/>
                    </w:rPr>
                  </w:pPr>
                </w:p>
              </w:tc>
              <w:tc>
                <w:tcPr>
                  <w:tcW w:w="1055" w:type="dxa"/>
                  <w:vMerge w:val="continue"/>
                  <w:tcMar>
                    <w:left w:w="85" w:type="dxa"/>
                    <w:right w:w="85" w:type="dxa"/>
                  </w:tcMar>
                  <w:vAlign w:val="center"/>
                </w:tcPr>
                <w:p>
                  <w:pPr>
                    <w:jc w:val="center"/>
                    <w:rPr>
                      <w:szCs w:val="21"/>
                      <w:highlight w:val="none"/>
                    </w:rPr>
                  </w:pPr>
                </w:p>
              </w:tc>
              <w:tc>
                <w:tcPr>
                  <w:tcW w:w="1042" w:type="dxa"/>
                  <w:vMerge w:val="continue"/>
                  <w:tcMar>
                    <w:left w:w="85" w:type="dxa"/>
                    <w:right w:w="85" w:type="dxa"/>
                  </w:tcMar>
                  <w:vAlign w:val="center"/>
                </w:tcPr>
                <w:p>
                  <w:pPr>
                    <w:jc w:val="center"/>
                    <w:rPr>
                      <w:szCs w:val="21"/>
                      <w:highlight w:val="none"/>
                    </w:rPr>
                  </w:pPr>
                </w:p>
              </w:tc>
              <w:tc>
                <w:tcPr>
                  <w:tcW w:w="2000" w:type="dxa"/>
                  <w:vMerge w:val="continue"/>
                  <w:tcMar>
                    <w:left w:w="85" w:type="dxa"/>
                    <w:right w:w="85" w:type="dxa"/>
                  </w:tcMar>
                  <w:vAlign w:val="center"/>
                </w:tcPr>
                <w:p>
                  <w:pPr>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8" w:type="dxa"/>
                  <w:vMerge w:val="continue"/>
                  <w:tcMar>
                    <w:left w:w="85" w:type="dxa"/>
                    <w:right w:w="85" w:type="dxa"/>
                  </w:tcMar>
                  <w:vAlign w:val="center"/>
                </w:tcPr>
                <w:p>
                  <w:pPr>
                    <w:jc w:val="center"/>
                    <w:rPr>
                      <w:szCs w:val="21"/>
                      <w:highlight w:val="none"/>
                    </w:rPr>
                  </w:pPr>
                </w:p>
              </w:tc>
              <w:tc>
                <w:tcPr>
                  <w:tcW w:w="1275" w:type="dxa"/>
                  <w:tcMar>
                    <w:left w:w="85" w:type="dxa"/>
                    <w:right w:w="85" w:type="dxa"/>
                  </w:tcMar>
                  <w:vAlign w:val="center"/>
                </w:tcPr>
                <w:p>
                  <w:pPr>
                    <w:jc w:val="center"/>
                    <w:rPr>
                      <w:szCs w:val="21"/>
                      <w:highlight w:val="none"/>
                    </w:rPr>
                  </w:pPr>
                  <w:r>
                    <w:rPr>
                      <w:szCs w:val="21"/>
                      <w:highlight w:val="none"/>
                    </w:rPr>
                    <w:t>生活垃圾</w:t>
                  </w:r>
                </w:p>
              </w:tc>
              <w:tc>
                <w:tcPr>
                  <w:tcW w:w="2535" w:type="dxa"/>
                  <w:gridSpan w:val="2"/>
                  <w:tcMar>
                    <w:left w:w="85" w:type="dxa"/>
                    <w:right w:w="85" w:type="dxa"/>
                  </w:tcMar>
                  <w:vAlign w:val="center"/>
                </w:tcPr>
                <w:p>
                  <w:pPr>
                    <w:jc w:val="center"/>
                    <w:rPr>
                      <w:rFonts w:hint="eastAsia"/>
                      <w:szCs w:val="21"/>
                      <w:highlight w:val="none"/>
                    </w:rPr>
                  </w:pPr>
                  <w:r>
                    <w:rPr>
                      <w:rFonts w:hint="eastAsia"/>
                      <w:szCs w:val="21"/>
                      <w:highlight w:val="none"/>
                    </w:rPr>
                    <w:t>垃圾箱</w:t>
                  </w:r>
                </w:p>
              </w:tc>
              <w:tc>
                <w:tcPr>
                  <w:tcW w:w="695" w:type="dxa"/>
                  <w:vMerge w:val="continue"/>
                  <w:tcMar>
                    <w:left w:w="85" w:type="dxa"/>
                    <w:right w:w="85" w:type="dxa"/>
                  </w:tcMar>
                  <w:vAlign w:val="center"/>
                </w:tcPr>
                <w:p>
                  <w:pPr>
                    <w:jc w:val="center"/>
                    <w:rPr>
                      <w:szCs w:val="21"/>
                      <w:highlight w:val="none"/>
                    </w:rPr>
                  </w:pPr>
                </w:p>
              </w:tc>
              <w:tc>
                <w:tcPr>
                  <w:tcW w:w="1055" w:type="dxa"/>
                  <w:tcMar>
                    <w:left w:w="85" w:type="dxa"/>
                    <w:right w:w="85" w:type="dxa"/>
                  </w:tcMar>
                  <w:vAlign w:val="center"/>
                </w:tcPr>
                <w:p>
                  <w:pPr>
                    <w:jc w:val="center"/>
                    <w:rPr>
                      <w:rFonts w:hint="eastAsia"/>
                      <w:szCs w:val="21"/>
                      <w:highlight w:val="none"/>
                    </w:rPr>
                  </w:pPr>
                  <w:r>
                    <w:rPr>
                      <w:rFonts w:hint="eastAsia"/>
                      <w:szCs w:val="21"/>
                      <w:highlight w:val="none"/>
                      <w:lang w:val="en-US" w:eastAsia="zh-CN"/>
                    </w:rPr>
                    <w:t>2个</w:t>
                  </w:r>
                  <w:r>
                    <w:rPr>
                      <w:szCs w:val="21"/>
                      <w:highlight w:val="none"/>
                    </w:rPr>
                    <w:t>垃圾</w:t>
                  </w:r>
                  <w:r>
                    <w:rPr>
                      <w:rFonts w:hint="eastAsia"/>
                      <w:szCs w:val="21"/>
                      <w:highlight w:val="none"/>
                    </w:rPr>
                    <w:t>箱</w:t>
                  </w:r>
                </w:p>
              </w:tc>
              <w:tc>
                <w:tcPr>
                  <w:tcW w:w="1042" w:type="dxa"/>
                  <w:vMerge w:val="continue"/>
                  <w:tcMar>
                    <w:left w:w="85" w:type="dxa"/>
                    <w:right w:w="85" w:type="dxa"/>
                  </w:tcMar>
                  <w:vAlign w:val="center"/>
                </w:tcPr>
                <w:p>
                  <w:pPr>
                    <w:jc w:val="center"/>
                    <w:rPr>
                      <w:szCs w:val="21"/>
                      <w:highlight w:val="none"/>
                    </w:rPr>
                  </w:pPr>
                </w:p>
              </w:tc>
              <w:tc>
                <w:tcPr>
                  <w:tcW w:w="2000" w:type="dxa"/>
                  <w:tcMar>
                    <w:left w:w="85" w:type="dxa"/>
                    <w:right w:w="85" w:type="dxa"/>
                  </w:tcMar>
                  <w:vAlign w:val="center"/>
                </w:tcPr>
                <w:p>
                  <w:pPr>
                    <w:jc w:val="center"/>
                    <w:rPr>
                      <w:szCs w:val="21"/>
                      <w:highlight w:val="none"/>
                    </w:rPr>
                  </w:pPr>
                  <w:r>
                    <w:rPr>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8" w:type="dxa"/>
                  <w:tcMar>
                    <w:left w:w="85" w:type="dxa"/>
                    <w:right w:w="85" w:type="dxa"/>
                  </w:tcMar>
                  <w:vAlign w:val="center"/>
                </w:tcPr>
                <w:p>
                  <w:pPr>
                    <w:jc w:val="center"/>
                    <w:rPr>
                      <w:szCs w:val="21"/>
                      <w:highlight w:val="none"/>
                    </w:rPr>
                  </w:pPr>
                  <w:r>
                    <w:rPr>
                      <w:szCs w:val="21"/>
                      <w:highlight w:val="none"/>
                    </w:rPr>
                    <w:t>其他</w:t>
                  </w:r>
                </w:p>
              </w:tc>
              <w:tc>
                <w:tcPr>
                  <w:tcW w:w="1275" w:type="dxa"/>
                  <w:tcMar>
                    <w:left w:w="85" w:type="dxa"/>
                    <w:right w:w="85" w:type="dxa"/>
                  </w:tcMar>
                  <w:vAlign w:val="center"/>
                </w:tcPr>
                <w:p>
                  <w:pPr>
                    <w:jc w:val="center"/>
                    <w:rPr>
                      <w:szCs w:val="21"/>
                      <w:highlight w:val="none"/>
                    </w:rPr>
                  </w:pPr>
                  <w:r>
                    <w:rPr>
                      <w:szCs w:val="21"/>
                      <w:highlight w:val="none"/>
                    </w:rPr>
                    <w:t>排污口规范化</w:t>
                  </w:r>
                </w:p>
              </w:tc>
              <w:tc>
                <w:tcPr>
                  <w:tcW w:w="2535" w:type="dxa"/>
                  <w:gridSpan w:val="2"/>
                  <w:tcMar>
                    <w:left w:w="85" w:type="dxa"/>
                    <w:right w:w="85" w:type="dxa"/>
                  </w:tcMar>
                  <w:vAlign w:val="center"/>
                </w:tcPr>
                <w:p>
                  <w:pPr>
                    <w:jc w:val="center"/>
                    <w:rPr>
                      <w:szCs w:val="21"/>
                      <w:highlight w:val="none"/>
                    </w:rPr>
                  </w:pPr>
                  <w:r>
                    <w:rPr>
                      <w:highlight w:val="none"/>
                    </w:rPr>
                    <w:t>排气筒应设置便于采样、监测的采样口。采样口的设置应符合《污染源监测技术规范》要求。</w:t>
                  </w:r>
                  <w:r>
                    <w:rPr>
                      <w:rFonts w:hint="eastAsia"/>
                      <w:highlight w:val="none"/>
                    </w:rPr>
                    <w:t>规范设置污水总排放口</w:t>
                  </w:r>
                </w:p>
              </w:tc>
              <w:tc>
                <w:tcPr>
                  <w:tcW w:w="695" w:type="dxa"/>
                  <w:tcMar>
                    <w:left w:w="85" w:type="dxa"/>
                    <w:right w:w="85" w:type="dxa"/>
                  </w:tcMar>
                  <w:vAlign w:val="center"/>
                </w:tcPr>
                <w:p>
                  <w:pPr>
                    <w:jc w:val="center"/>
                    <w:rPr>
                      <w:szCs w:val="21"/>
                      <w:highlight w:val="none"/>
                    </w:rPr>
                  </w:pPr>
                  <w:r>
                    <w:rPr>
                      <w:szCs w:val="21"/>
                      <w:highlight w:val="none"/>
                    </w:rPr>
                    <w:t>/</w:t>
                  </w:r>
                </w:p>
              </w:tc>
              <w:tc>
                <w:tcPr>
                  <w:tcW w:w="1055" w:type="dxa"/>
                  <w:tcMar>
                    <w:left w:w="85" w:type="dxa"/>
                    <w:right w:w="85" w:type="dxa"/>
                  </w:tcMar>
                  <w:vAlign w:val="center"/>
                </w:tcPr>
                <w:p>
                  <w:pPr>
                    <w:jc w:val="center"/>
                    <w:rPr>
                      <w:szCs w:val="21"/>
                      <w:highlight w:val="none"/>
                    </w:rPr>
                  </w:pPr>
                  <w:r>
                    <w:rPr>
                      <w:szCs w:val="21"/>
                      <w:highlight w:val="none"/>
                    </w:rPr>
                    <w:t>/</w:t>
                  </w:r>
                </w:p>
              </w:tc>
              <w:tc>
                <w:tcPr>
                  <w:tcW w:w="1042" w:type="dxa"/>
                  <w:tcMar>
                    <w:left w:w="85" w:type="dxa"/>
                    <w:right w:w="85" w:type="dxa"/>
                  </w:tcMar>
                  <w:vAlign w:val="center"/>
                </w:tcPr>
                <w:p>
                  <w:pPr>
                    <w:jc w:val="center"/>
                    <w:rPr>
                      <w:szCs w:val="21"/>
                      <w:highlight w:val="none"/>
                    </w:rPr>
                  </w:pPr>
                  <w:r>
                    <w:rPr>
                      <w:szCs w:val="21"/>
                      <w:highlight w:val="none"/>
                    </w:rPr>
                    <w:t>/</w:t>
                  </w:r>
                </w:p>
              </w:tc>
              <w:tc>
                <w:tcPr>
                  <w:tcW w:w="2000" w:type="dxa"/>
                  <w:tcMar>
                    <w:left w:w="85" w:type="dxa"/>
                    <w:right w:w="85" w:type="dxa"/>
                  </w:tcMar>
                  <w:vAlign w:val="center"/>
                </w:tcPr>
                <w:p>
                  <w:pPr>
                    <w:jc w:val="center"/>
                    <w:rPr>
                      <w:szCs w:val="21"/>
                      <w:highlight w:val="none"/>
                    </w:rPr>
                  </w:pPr>
                  <w:r>
                    <w:rPr>
                      <w:szCs w:val="21"/>
                      <w:highlight w:val="none"/>
                    </w:rPr>
                    <w:t>/</w:t>
                  </w:r>
                </w:p>
              </w:tc>
            </w:tr>
          </w:tbl>
          <w:p>
            <w:pPr>
              <w:spacing w:line="360" w:lineRule="auto"/>
              <w:ind w:right="105" w:rightChars="50" w:firstLine="480" w:firstLineChars="200"/>
              <w:rPr>
                <w:b/>
                <w:bCs/>
                <w:sz w:val="24"/>
                <w:highlight w:val="none"/>
              </w:rPr>
            </w:pPr>
            <w:r>
              <w:rPr>
                <w:sz w:val="24"/>
                <w:highlight w:val="none"/>
              </w:rPr>
              <w:t xml:space="preserve"> </w:t>
            </w:r>
            <w:r>
              <w:rPr>
                <w:rFonts w:hint="eastAsia"/>
                <w:b/>
                <w:bCs/>
                <w:sz w:val="24"/>
                <w:highlight w:val="none"/>
              </w:rPr>
              <w:t>7.3</w:t>
            </w:r>
            <w:r>
              <w:rPr>
                <w:b/>
                <w:bCs/>
                <w:sz w:val="24"/>
                <w:highlight w:val="none"/>
              </w:rPr>
              <w:t xml:space="preserve"> 日常监测方案</w:t>
            </w:r>
          </w:p>
          <w:p>
            <w:pPr>
              <w:spacing w:line="360" w:lineRule="auto"/>
              <w:ind w:left="105" w:leftChars="50" w:right="105" w:rightChars="50" w:firstLine="480" w:firstLineChars="200"/>
              <w:rPr>
                <w:highlight w:val="none"/>
              </w:rPr>
            </w:pPr>
            <w:r>
              <w:rPr>
                <w:sz w:val="24"/>
                <w:highlight w:val="none"/>
              </w:rPr>
              <w:t>根据国家环保部《排污单位自行监测技术指南 总则》，建议建设单位制定以下日常监测计划。</w:t>
            </w:r>
          </w:p>
          <w:p>
            <w:pPr>
              <w:ind w:left="420" w:leftChars="200" w:right="105" w:rightChars="50"/>
              <w:jc w:val="center"/>
              <w:rPr>
                <w:rFonts w:hint="eastAsia"/>
                <w:highlight w:val="none"/>
              </w:rPr>
            </w:pPr>
            <w:r>
              <w:rPr>
                <w:highlight w:val="none"/>
              </w:rPr>
              <w:t>表</w:t>
            </w:r>
            <w:r>
              <w:rPr>
                <w:rFonts w:hint="eastAsia"/>
                <w:highlight w:val="none"/>
                <w:lang w:val="en-US" w:eastAsia="zh-CN"/>
              </w:rPr>
              <w:t>50</w:t>
            </w:r>
            <w:r>
              <w:rPr>
                <w:highlight w:val="none"/>
              </w:rPr>
              <w:t xml:space="preserve">  </w:t>
            </w:r>
            <w:r>
              <w:rPr>
                <w:rFonts w:hint="eastAsia"/>
                <w:highlight w:val="none"/>
              </w:rPr>
              <w:t>自行环境</w:t>
            </w:r>
            <w:r>
              <w:rPr>
                <w:highlight w:val="none"/>
              </w:rPr>
              <w:t>监测计划</w:t>
            </w:r>
            <w:r>
              <w:rPr>
                <w:rFonts w:hint="eastAsia"/>
                <w:highlight w:val="none"/>
              </w:rPr>
              <w:t>一览表</w:t>
            </w:r>
          </w:p>
          <w:tbl>
            <w:tblPr>
              <w:tblStyle w:val="29"/>
              <w:tblW w:w="92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271"/>
              <w:gridCol w:w="2751"/>
              <w:gridCol w:w="34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6" w:type="dxa"/>
                  <w:vAlign w:val="center"/>
                </w:tcPr>
                <w:p>
                  <w:pPr>
                    <w:jc w:val="center"/>
                    <w:rPr>
                      <w:highlight w:val="none"/>
                    </w:rPr>
                  </w:pPr>
                  <w:r>
                    <w:rPr>
                      <w:highlight w:val="none"/>
                    </w:rPr>
                    <w:t>类别</w:t>
                  </w:r>
                </w:p>
              </w:tc>
              <w:tc>
                <w:tcPr>
                  <w:tcW w:w="2271" w:type="dxa"/>
                  <w:vAlign w:val="center"/>
                </w:tcPr>
                <w:p>
                  <w:pPr>
                    <w:jc w:val="center"/>
                    <w:rPr>
                      <w:highlight w:val="none"/>
                    </w:rPr>
                  </w:pPr>
                  <w:r>
                    <w:rPr>
                      <w:highlight w:val="none"/>
                    </w:rPr>
                    <w:t>监测位置</w:t>
                  </w:r>
                </w:p>
              </w:tc>
              <w:tc>
                <w:tcPr>
                  <w:tcW w:w="2751" w:type="dxa"/>
                  <w:vAlign w:val="center"/>
                </w:tcPr>
                <w:p>
                  <w:pPr>
                    <w:jc w:val="center"/>
                    <w:rPr>
                      <w:highlight w:val="none"/>
                    </w:rPr>
                  </w:pPr>
                  <w:r>
                    <w:rPr>
                      <w:highlight w:val="none"/>
                    </w:rPr>
                    <w:t>监测因子</w:t>
                  </w:r>
                </w:p>
              </w:tc>
              <w:tc>
                <w:tcPr>
                  <w:tcW w:w="3442" w:type="dxa"/>
                  <w:vAlign w:val="center"/>
                </w:tcPr>
                <w:p>
                  <w:pPr>
                    <w:jc w:val="center"/>
                    <w:rPr>
                      <w:highlight w:val="none"/>
                    </w:rPr>
                  </w:pPr>
                  <w:r>
                    <w:rPr>
                      <w:highlight w:val="none"/>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756" w:type="dxa"/>
                  <w:vMerge w:val="restart"/>
                  <w:vAlign w:val="center"/>
                </w:tcPr>
                <w:p>
                  <w:pPr>
                    <w:jc w:val="center"/>
                    <w:rPr>
                      <w:highlight w:val="none"/>
                    </w:rPr>
                  </w:pPr>
                  <w:r>
                    <w:rPr>
                      <w:highlight w:val="none"/>
                    </w:rPr>
                    <w:t>废气</w:t>
                  </w:r>
                </w:p>
              </w:tc>
              <w:tc>
                <w:tcPr>
                  <w:tcW w:w="2271" w:type="dxa"/>
                  <w:vAlign w:val="center"/>
                </w:tcPr>
                <w:p>
                  <w:pPr>
                    <w:jc w:val="center"/>
                    <w:rPr>
                      <w:rFonts w:hint="eastAsia"/>
                      <w:highlight w:val="none"/>
                    </w:rPr>
                  </w:pPr>
                  <w:r>
                    <w:rPr>
                      <w:rFonts w:hint="eastAsia"/>
                      <w:highlight w:val="none"/>
                    </w:rPr>
                    <w:t>拌面间</w:t>
                  </w:r>
                  <w:r>
                    <w:rPr>
                      <w:highlight w:val="none"/>
                    </w:rPr>
                    <w:t>排气筒</w:t>
                  </w:r>
                  <w:r>
                    <w:rPr>
                      <w:rFonts w:hint="eastAsia"/>
                      <w:highlight w:val="none"/>
                    </w:rPr>
                    <w:t>P1</w:t>
                  </w:r>
                </w:p>
              </w:tc>
              <w:tc>
                <w:tcPr>
                  <w:tcW w:w="2751" w:type="dxa"/>
                  <w:vAlign w:val="center"/>
                </w:tcPr>
                <w:p>
                  <w:pPr>
                    <w:jc w:val="center"/>
                    <w:rPr>
                      <w:rFonts w:hint="eastAsia"/>
                      <w:highlight w:val="none"/>
                    </w:rPr>
                  </w:pPr>
                  <w:r>
                    <w:rPr>
                      <w:highlight w:val="none"/>
                    </w:rPr>
                    <w:t>颗粒物</w:t>
                  </w:r>
                </w:p>
              </w:tc>
              <w:tc>
                <w:tcPr>
                  <w:tcW w:w="3442" w:type="dxa"/>
                  <w:vMerge w:val="restart"/>
                  <w:vAlign w:val="center"/>
                </w:tcPr>
                <w:p>
                  <w:pPr>
                    <w:jc w:val="center"/>
                    <w:rPr>
                      <w:highlight w:val="none"/>
                    </w:rPr>
                  </w:pPr>
                  <w:r>
                    <w:rPr>
                      <w:highlight w:val="none"/>
                    </w:rPr>
                    <w:t>每半年一次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756" w:type="dxa"/>
                  <w:vMerge w:val="continue"/>
                  <w:vAlign w:val="center"/>
                </w:tcPr>
                <w:p>
                  <w:pPr>
                    <w:jc w:val="center"/>
                    <w:rPr>
                      <w:highlight w:val="none"/>
                    </w:rPr>
                  </w:pPr>
                </w:p>
              </w:tc>
              <w:tc>
                <w:tcPr>
                  <w:tcW w:w="2271" w:type="dxa"/>
                  <w:vAlign w:val="center"/>
                </w:tcPr>
                <w:p>
                  <w:pPr>
                    <w:jc w:val="center"/>
                    <w:rPr>
                      <w:rFonts w:hint="eastAsia"/>
                      <w:highlight w:val="none"/>
                    </w:rPr>
                  </w:pPr>
                  <w:r>
                    <w:rPr>
                      <w:rFonts w:hint="eastAsia"/>
                      <w:highlight w:val="none"/>
                    </w:rPr>
                    <w:t>油烟废气排气筒P2</w:t>
                  </w:r>
                </w:p>
              </w:tc>
              <w:tc>
                <w:tcPr>
                  <w:tcW w:w="2751" w:type="dxa"/>
                  <w:vAlign w:val="center"/>
                </w:tcPr>
                <w:p>
                  <w:pPr>
                    <w:jc w:val="center"/>
                    <w:rPr>
                      <w:rFonts w:hint="eastAsia"/>
                      <w:highlight w:val="none"/>
                    </w:rPr>
                  </w:pPr>
                  <w:r>
                    <w:rPr>
                      <w:rFonts w:hint="eastAsia"/>
                      <w:highlight w:val="none"/>
                    </w:rPr>
                    <w:t>油炸锅油烟</w:t>
                  </w:r>
                </w:p>
              </w:tc>
              <w:tc>
                <w:tcPr>
                  <w:tcW w:w="3442" w:type="dxa"/>
                  <w:vMerge w:val="continue"/>
                  <w:vAlign w:val="center"/>
                </w:tcPr>
                <w:p>
                  <w:pPr>
                    <w:jc w:val="center"/>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756" w:type="dxa"/>
                  <w:vMerge w:val="continue"/>
                  <w:vAlign w:val="center"/>
                </w:tcPr>
                <w:p>
                  <w:pPr>
                    <w:jc w:val="center"/>
                    <w:rPr>
                      <w:highlight w:val="none"/>
                    </w:rPr>
                  </w:pPr>
                </w:p>
              </w:tc>
              <w:tc>
                <w:tcPr>
                  <w:tcW w:w="2271" w:type="dxa"/>
                  <w:vAlign w:val="center"/>
                </w:tcPr>
                <w:p>
                  <w:pPr>
                    <w:jc w:val="center"/>
                    <w:rPr>
                      <w:rFonts w:hint="eastAsia"/>
                      <w:highlight w:val="none"/>
                    </w:rPr>
                  </w:pPr>
                  <w:r>
                    <w:rPr>
                      <w:rFonts w:hint="eastAsia"/>
                      <w:highlight w:val="none"/>
                    </w:rPr>
                    <w:t>燃料废气排气筒P3</w:t>
                  </w:r>
                </w:p>
              </w:tc>
              <w:tc>
                <w:tcPr>
                  <w:tcW w:w="2751" w:type="dxa"/>
                  <w:vAlign w:val="center"/>
                </w:tcPr>
                <w:p>
                  <w:pPr>
                    <w:ind w:firstLine="420" w:firstLineChars="200"/>
                    <w:rPr>
                      <w:rFonts w:hint="eastAsia"/>
                      <w:highlight w:val="none"/>
                    </w:rPr>
                  </w:pPr>
                  <w:r>
                    <w:rPr>
                      <w:rFonts w:hint="eastAsia"/>
                      <w:highlight w:val="none"/>
                    </w:rPr>
                    <w:t>颗粒物、SO</w:t>
                  </w:r>
                  <w:r>
                    <w:rPr>
                      <w:rFonts w:hint="eastAsia"/>
                      <w:highlight w:val="none"/>
                      <w:vertAlign w:val="subscript"/>
                    </w:rPr>
                    <w:t>2</w:t>
                  </w:r>
                  <w:r>
                    <w:rPr>
                      <w:rFonts w:hint="eastAsia"/>
                      <w:highlight w:val="none"/>
                    </w:rPr>
                    <w:t>、NO</w:t>
                  </w:r>
                  <w:r>
                    <w:rPr>
                      <w:rFonts w:hint="eastAsia"/>
                      <w:highlight w:val="none"/>
                      <w:vertAlign w:val="subscript"/>
                    </w:rPr>
                    <w:t>X</w:t>
                  </w:r>
                </w:p>
              </w:tc>
              <w:tc>
                <w:tcPr>
                  <w:tcW w:w="3442" w:type="dxa"/>
                  <w:vMerge w:val="continue"/>
                  <w:vAlign w:val="center"/>
                </w:tcPr>
                <w:p>
                  <w:pPr>
                    <w:jc w:val="center"/>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756" w:type="dxa"/>
                  <w:vMerge w:val="continue"/>
                  <w:vAlign w:val="center"/>
                </w:tcPr>
                <w:p>
                  <w:pPr>
                    <w:jc w:val="center"/>
                    <w:rPr>
                      <w:highlight w:val="none"/>
                    </w:rPr>
                  </w:pPr>
                </w:p>
              </w:tc>
              <w:tc>
                <w:tcPr>
                  <w:tcW w:w="2271" w:type="dxa"/>
                  <w:vAlign w:val="center"/>
                </w:tcPr>
                <w:p>
                  <w:pPr>
                    <w:jc w:val="center"/>
                    <w:rPr>
                      <w:highlight w:val="none"/>
                    </w:rPr>
                  </w:pPr>
                  <w:r>
                    <w:rPr>
                      <w:highlight w:val="none"/>
                    </w:rPr>
                    <w:t>厂界</w:t>
                  </w:r>
                  <w:r>
                    <w:rPr>
                      <w:rFonts w:hint="eastAsia"/>
                      <w:highlight w:val="none"/>
                    </w:rPr>
                    <w:t>上</w:t>
                  </w:r>
                  <w:r>
                    <w:rPr>
                      <w:highlight w:val="none"/>
                    </w:rPr>
                    <w:t>下风向</w:t>
                  </w:r>
                </w:p>
              </w:tc>
              <w:tc>
                <w:tcPr>
                  <w:tcW w:w="2751" w:type="dxa"/>
                  <w:vAlign w:val="center"/>
                </w:tcPr>
                <w:p>
                  <w:pPr>
                    <w:ind w:firstLine="210" w:firstLineChars="100"/>
                    <w:rPr>
                      <w:rFonts w:hint="eastAsia" w:eastAsia="宋体"/>
                      <w:highlight w:val="none"/>
                      <w:lang w:val="en-US" w:eastAsia="zh-CN"/>
                    </w:rPr>
                  </w:pPr>
                  <w:r>
                    <w:rPr>
                      <w:highlight w:val="none"/>
                    </w:rPr>
                    <w:t>颗粒物</w:t>
                  </w:r>
                  <w:r>
                    <w:rPr>
                      <w:rStyle w:val="27"/>
                      <w:rFonts w:hint="eastAsia"/>
                      <w:highlight w:val="none"/>
                      <w:lang w:eastAsia="zh-CN"/>
                    </w:rPr>
                    <w:t>、臭气浓度</w:t>
                  </w:r>
                </w:p>
              </w:tc>
              <w:tc>
                <w:tcPr>
                  <w:tcW w:w="3442" w:type="dxa"/>
                  <w:vMerge w:val="continue"/>
                  <w:vAlign w:val="center"/>
                </w:tcPr>
                <w:p>
                  <w:pPr>
                    <w:jc w:val="center"/>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6" w:type="dxa"/>
                  <w:vAlign w:val="center"/>
                </w:tcPr>
                <w:p>
                  <w:pPr>
                    <w:jc w:val="center"/>
                    <w:rPr>
                      <w:highlight w:val="none"/>
                    </w:rPr>
                  </w:pPr>
                  <w:r>
                    <w:rPr>
                      <w:highlight w:val="none"/>
                    </w:rPr>
                    <w:t>噪声</w:t>
                  </w:r>
                </w:p>
              </w:tc>
              <w:tc>
                <w:tcPr>
                  <w:tcW w:w="2271" w:type="dxa"/>
                  <w:vAlign w:val="center"/>
                </w:tcPr>
                <w:p>
                  <w:pPr>
                    <w:jc w:val="center"/>
                    <w:rPr>
                      <w:highlight w:val="none"/>
                    </w:rPr>
                  </w:pPr>
                  <w:r>
                    <w:rPr>
                      <w:highlight w:val="none"/>
                    </w:rPr>
                    <w:t>四周厂界</w:t>
                  </w:r>
                </w:p>
              </w:tc>
              <w:tc>
                <w:tcPr>
                  <w:tcW w:w="2751" w:type="dxa"/>
                  <w:vAlign w:val="center"/>
                </w:tcPr>
                <w:p>
                  <w:pPr>
                    <w:jc w:val="center"/>
                    <w:rPr>
                      <w:highlight w:val="none"/>
                    </w:rPr>
                  </w:pPr>
                  <w:r>
                    <w:rPr>
                      <w:highlight w:val="none"/>
                    </w:rPr>
                    <w:t>等效连续A声级</w:t>
                  </w:r>
                </w:p>
              </w:tc>
              <w:tc>
                <w:tcPr>
                  <w:tcW w:w="3442" w:type="dxa"/>
                  <w:vAlign w:val="center"/>
                </w:tcPr>
                <w:p>
                  <w:pPr>
                    <w:jc w:val="center"/>
                    <w:rPr>
                      <w:highlight w:val="none"/>
                    </w:rPr>
                  </w:pPr>
                  <w:r>
                    <w:rPr>
                      <w:highlight w:val="none"/>
                    </w:rPr>
                    <w:t>每季度一次</w:t>
                  </w:r>
                </w:p>
              </w:tc>
            </w:tr>
          </w:tbl>
          <w:p>
            <w:pPr>
              <w:adjustRightInd w:val="0"/>
              <w:spacing w:line="500" w:lineRule="exact"/>
              <w:ind w:firstLine="482" w:firstLineChars="200"/>
              <w:textAlignment w:val="baseline"/>
              <w:rPr>
                <w:b/>
                <w:bCs/>
                <w:sz w:val="24"/>
                <w:highlight w:val="none"/>
              </w:rPr>
            </w:pPr>
            <w:r>
              <w:rPr>
                <w:rFonts w:hint="eastAsia"/>
                <w:b/>
                <w:bCs/>
                <w:sz w:val="24"/>
                <w:highlight w:val="none"/>
              </w:rPr>
              <w:t>7.4</w:t>
            </w:r>
            <w:r>
              <w:rPr>
                <w:b/>
                <w:bCs/>
                <w:sz w:val="24"/>
                <w:highlight w:val="none"/>
              </w:rPr>
              <w:t>与排污许可制衔接性分析</w:t>
            </w:r>
          </w:p>
          <w:p>
            <w:pPr>
              <w:spacing w:line="360" w:lineRule="auto"/>
              <w:ind w:firstLine="470" w:firstLineChars="196"/>
              <w:outlineLvl w:val="2"/>
              <w:rPr>
                <w:rFonts w:ascii="宋体" w:hAnsi="宋体" w:cs="宋体"/>
                <w:sz w:val="24"/>
              </w:rPr>
            </w:pPr>
            <w:r>
              <w:rPr>
                <w:rFonts w:ascii="宋体" w:hAnsi="宋体" w:cs="宋体"/>
                <w:sz w:val="24"/>
              </w:rPr>
              <w:t>根据《排污许可管理办法（试行）》（环境保护部部令第48号）和《关于做好环境影响评价制度与排污许可制衔接相关工作的通知》（环办环评[2017]84号），本项目应按照规定的时限申请并取得排污许可证。</w:t>
            </w:r>
          </w:p>
          <w:p>
            <w:pPr>
              <w:spacing w:line="360" w:lineRule="auto"/>
              <w:ind w:firstLine="470" w:firstLineChars="196"/>
              <w:outlineLvl w:val="2"/>
              <w:rPr>
                <w:rFonts w:ascii="宋体" w:hAnsi="宋体" w:cs="宋体"/>
                <w:sz w:val="24"/>
              </w:rPr>
            </w:pPr>
            <w:r>
              <w:rPr>
                <w:rFonts w:ascii="宋体" w:hAnsi="宋体" w:cs="宋体"/>
                <w:sz w:val="24"/>
              </w:rPr>
              <w:t>根据《固定污染源排污许可分类管理名录》（2017年版）（环境保护部部令第45号），本项目属于“三十三、通用工序  79、热力生产和供应443-单台出力10吨/小时以下或者合计出力20吨/小时以下的蒸汽和热水锅炉”，实施期限为2019年。2019年本项目应依据《排污许可证申请与核发技术规范 总则》（HJ942-2018）及批复的环评文件向</w:t>
            </w:r>
            <w:r>
              <w:rPr>
                <w:rFonts w:hint="eastAsia" w:ascii="宋体" w:hAnsi="宋体" w:cs="宋体"/>
                <w:sz w:val="24"/>
              </w:rPr>
              <w:t>南乐</w:t>
            </w:r>
            <w:r>
              <w:rPr>
                <w:rFonts w:ascii="宋体" w:hAnsi="宋体" w:cs="宋体"/>
                <w:sz w:val="24"/>
              </w:rPr>
              <w:t>县环境保护局申请排污许可证。</w:t>
            </w:r>
          </w:p>
          <w:p>
            <w:pPr>
              <w:numPr>
                <w:ilvl w:val="0"/>
                <w:numId w:val="0"/>
              </w:numPr>
              <w:adjustRightInd w:val="0"/>
              <w:spacing w:line="500" w:lineRule="exact"/>
              <w:ind w:firstLine="480" w:firstLineChars="200"/>
              <w:textAlignment w:val="baseline"/>
              <w:rPr>
                <w:rFonts w:hint="eastAsia"/>
                <w:b w:val="0"/>
                <w:bCs w:val="0"/>
                <w:sz w:val="24"/>
                <w:highlight w:val="none"/>
                <w:u w:val="none"/>
                <w:lang w:val="en-US" w:eastAsia="zh-CN"/>
              </w:rPr>
            </w:pPr>
            <w:r>
              <w:rPr>
                <w:rFonts w:hint="eastAsia"/>
                <w:b w:val="0"/>
                <w:bCs w:val="0"/>
                <w:sz w:val="24"/>
                <w:highlight w:val="none"/>
                <w:u w:val="none"/>
                <w:lang w:val="en-US" w:eastAsia="zh-CN"/>
              </w:rPr>
              <w:t>8、本项目倍量削减方案</w:t>
            </w:r>
          </w:p>
          <w:p>
            <w:pPr>
              <w:numPr>
                <w:ilvl w:val="0"/>
                <w:numId w:val="0"/>
              </w:numPr>
              <w:adjustRightInd w:val="0"/>
              <w:spacing w:line="500" w:lineRule="exact"/>
              <w:ind w:firstLine="480" w:firstLineChars="200"/>
              <w:textAlignment w:val="baseline"/>
              <w:rPr>
                <w:rFonts w:hint="eastAsia" w:eastAsia="宋体"/>
                <w:sz w:val="24"/>
                <w:highlight w:val="none"/>
                <w:lang w:val="en-US" w:eastAsia="zh-CN"/>
              </w:rPr>
            </w:pPr>
            <w:r>
              <w:rPr>
                <w:rFonts w:hint="eastAsia"/>
                <w:b w:val="0"/>
                <w:bCs w:val="0"/>
                <w:sz w:val="24"/>
                <w:highlight w:val="none"/>
                <w:u w:val="none"/>
                <w:lang w:val="en-US" w:eastAsia="zh-CN"/>
              </w:rPr>
              <w:t>根据安阳市环境保护局《进一步规范工业企业大气污染提标治理项目竣工验收暨主要污染物减排核查工作通知》（安环文[2018]255号）、滑县环境保护局《关于完成全县工业企业大气污染提标治理项目竣工验收暨主要污染物减排核查工作通知》（滑环[2018]253号）、《滑县巩固燃煤锅炉拆改和燃煤散烧设施整治工作做方案》（滑环攻坚办[2018]104号）等文件相关要求，结合滑县超低排放和低氮燃烧的相关要求，使得2018年滑县地区的SO</w:t>
            </w:r>
            <w:r>
              <w:rPr>
                <w:rFonts w:hint="eastAsia"/>
                <w:b w:val="0"/>
                <w:bCs w:val="0"/>
                <w:sz w:val="24"/>
                <w:highlight w:val="none"/>
                <w:u w:val="none"/>
                <w:vertAlign w:val="subscript"/>
                <w:lang w:val="en-US" w:eastAsia="zh-CN"/>
              </w:rPr>
              <w:t>2</w:t>
            </w:r>
            <w:r>
              <w:rPr>
                <w:rFonts w:hint="eastAsia"/>
                <w:b w:val="0"/>
                <w:bCs w:val="0"/>
                <w:sz w:val="24"/>
                <w:highlight w:val="none"/>
                <w:u w:val="none"/>
                <w:lang w:val="en-US" w:eastAsia="zh-CN"/>
              </w:rPr>
              <w:t>、NO</w:t>
            </w:r>
            <w:r>
              <w:rPr>
                <w:rFonts w:hint="eastAsia"/>
                <w:b w:val="0"/>
                <w:bCs w:val="0"/>
                <w:sz w:val="24"/>
                <w:highlight w:val="none"/>
                <w:u w:val="none"/>
                <w:vertAlign w:val="subscript"/>
                <w:lang w:val="en-US" w:eastAsia="zh-CN"/>
              </w:rPr>
              <w:t>X</w:t>
            </w:r>
            <w:r>
              <w:rPr>
                <w:rFonts w:hint="eastAsia"/>
                <w:b w:val="0"/>
                <w:bCs w:val="0"/>
                <w:sz w:val="24"/>
                <w:highlight w:val="none"/>
                <w:u w:val="none"/>
                <w:lang w:val="en-US" w:eastAsia="zh-CN"/>
              </w:rPr>
              <w:t>总排放量得到了削减，本项目SO</w:t>
            </w:r>
            <w:r>
              <w:rPr>
                <w:rFonts w:hint="eastAsia"/>
                <w:b w:val="0"/>
                <w:bCs w:val="0"/>
                <w:sz w:val="24"/>
                <w:highlight w:val="none"/>
                <w:u w:val="none"/>
                <w:vertAlign w:val="subscript"/>
                <w:lang w:val="en-US" w:eastAsia="zh-CN"/>
              </w:rPr>
              <w:t>2</w:t>
            </w:r>
            <w:r>
              <w:rPr>
                <w:rFonts w:hint="eastAsia"/>
                <w:b w:val="0"/>
                <w:bCs w:val="0"/>
                <w:sz w:val="24"/>
                <w:highlight w:val="none"/>
                <w:u w:val="none"/>
                <w:vertAlign w:val="baseline"/>
                <w:lang w:val="en-US" w:eastAsia="zh-CN"/>
              </w:rPr>
              <w:t>：</w:t>
            </w:r>
            <w:r>
              <w:rPr>
                <w:rFonts w:hint="eastAsia"/>
                <w:b w:val="0"/>
                <w:bCs w:val="0"/>
                <w:sz w:val="24"/>
                <w:highlight w:val="none"/>
                <w:u w:val="none"/>
                <w:lang w:val="en-US" w:eastAsia="zh-CN"/>
              </w:rPr>
              <w:t> 0.0384t/a，NOx：0.18t/a，废气排放量很少，相较2018年滑县SO</w:t>
            </w:r>
            <w:r>
              <w:rPr>
                <w:rFonts w:hint="eastAsia"/>
                <w:b w:val="0"/>
                <w:bCs w:val="0"/>
                <w:sz w:val="24"/>
                <w:highlight w:val="none"/>
                <w:u w:val="none"/>
                <w:vertAlign w:val="subscript"/>
                <w:lang w:val="en-US" w:eastAsia="zh-CN"/>
              </w:rPr>
              <w:t>2</w:t>
            </w:r>
            <w:r>
              <w:rPr>
                <w:rFonts w:hint="eastAsia"/>
                <w:b w:val="0"/>
                <w:bCs w:val="0"/>
                <w:sz w:val="24"/>
                <w:highlight w:val="none"/>
                <w:u w:val="none"/>
                <w:lang w:val="en-US" w:eastAsia="zh-CN"/>
              </w:rPr>
              <w:t>、NOx各自总削减量占比较低，本项目不会使得滑县地区SO</w:t>
            </w:r>
            <w:r>
              <w:rPr>
                <w:rFonts w:hint="eastAsia"/>
                <w:b w:val="0"/>
                <w:bCs w:val="0"/>
                <w:sz w:val="24"/>
                <w:highlight w:val="none"/>
                <w:u w:val="none"/>
                <w:vertAlign w:val="subscript"/>
                <w:lang w:val="en-US" w:eastAsia="zh-CN"/>
              </w:rPr>
              <w:t>2</w:t>
            </w:r>
            <w:r>
              <w:rPr>
                <w:rFonts w:hint="eastAsia"/>
                <w:b w:val="0"/>
                <w:bCs w:val="0"/>
                <w:sz w:val="24"/>
                <w:highlight w:val="none"/>
                <w:u w:val="none"/>
                <w:lang w:val="en-US" w:eastAsia="zh-CN"/>
              </w:rPr>
              <w:t>、NO</w:t>
            </w:r>
            <w:r>
              <w:rPr>
                <w:rFonts w:hint="eastAsia"/>
                <w:b w:val="0"/>
                <w:bCs w:val="0"/>
                <w:sz w:val="24"/>
                <w:highlight w:val="none"/>
                <w:u w:val="none"/>
                <w:vertAlign w:val="subscript"/>
                <w:lang w:val="en-US" w:eastAsia="zh-CN"/>
              </w:rPr>
              <w:t>X</w:t>
            </w:r>
            <w:r>
              <w:rPr>
                <w:rFonts w:hint="eastAsia"/>
                <w:b w:val="0"/>
                <w:bCs w:val="0"/>
                <w:sz w:val="24"/>
                <w:highlight w:val="none"/>
                <w:u w:val="none"/>
                <w:lang w:val="en-US" w:eastAsia="zh-CN"/>
              </w:rPr>
              <w:t>总排放量增加，故本项目倍量削减方案可行。</w:t>
            </w:r>
            <w:r>
              <w:rPr>
                <w:rFonts w:hint="eastAsia"/>
                <w:b/>
                <w:bCs/>
                <w:sz w:val="24"/>
                <w:highlight w:val="none"/>
                <w:u w:val="single"/>
                <w:lang w:val="en-US" w:eastAsia="zh-CN"/>
              </w:rPr>
              <w:t xml:space="preserve"> </w:t>
            </w:r>
          </w:p>
        </w:tc>
      </w:tr>
    </w:tbl>
    <w:p>
      <w:pPr>
        <w:spacing w:line="360" w:lineRule="auto"/>
        <w:outlineLvl w:val="0"/>
        <w:rPr>
          <w:b/>
          <w:sz w:val="24"/>
          <w:highlight w:val="none"/>
        </w:rPr>
      </w:pPr>
      <w:r>
        <w:rPr>
          <w:b/>
          <w:sz w:val="24"/>
          <w:highlight w:val="none"/>
        </w:rPr>
        <w:br w:type="page"/>
      </w:r>
      <w:r>
        <w:rPr>
          <w:b/>
          <w:sz w:val="24"/>
          <w:highlight w:val="none"/>
        </w:rPr>
        <w:t>建设项目拟采取的防治措施及预期治理效果</w:t>
      </w:r>
    </w:p>
    <w:tbl>
      <w:tblPr>
        <w:tblStyle w:val="28"/>
        <w:tblW w:w="928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9"/>
        <w:gridCol w:w="473"/>
        <w:gridCol w:w="1434"/>
        <w:gridCol w:w="1785"/>
        <w:gridCol w:w="3704"/>
        <w:gridCol w:w="11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1" w:hRule="atLeast"/>
          <w:jc w:val="center"/>
        </w:trPr>
        <w:tc>
          <w:tcPr>
            <w:tcW w:w="749" w:type="dxa"/>
            <w:tcBorders>
              <w:tl2br w:val="single" w:color="auto" w:sz="6" w:space="0"/>
            </w:tcBorders>
            <w:vAlign w:val="center"/>
          </w:tcPr>
          <w:p>
            <w:pPr>
              <w:tabs>
                <w:tab w:val="center" w:pos="523"/>
                <w:tab w:val="right" w:pos="1047"/>
              </w:tabs>
              <w:spacing w:line="480" w:lineRule="exact"/>
              <w:ind w:left="105" w:leftChars="50"/>
              <w:jc w:val="right"/>
              <w:rPr>
                <w:sz w:val="24"/>
                <w:highlight w:val="none"/>
              </w:rPr>
            </w:pPr>
            <w:r>
              <w:rPr>
                <w:sz w:val="24"/>
                <w:highlight w:val="none"/>
              </w:rPr>
              <w:t>内容</w:t>
            </w:r>
          </w:p>
          <w:p>
            <w:pPr>
              <w:spacing w:before="93" w:beforeLines="30" w:line="480" w:lineRule="exact"/>
              <w:rPr>
                <w:sz w:val="24"/>
                <w:highlight w:val="none"/>
              </w:rPr>
            </w:pPr>
            <w:r>
              <w:rPr>
                <w:sz w:val="24"/>
                <w:highlight w:val="none"/>
              </w:rPr>
              <w:t>类型</w:t>
            </w:r>
          </w:p>
        </w:tc>
        <w:tc>
          <w:tcPr>
            <w:tcW w:w="1907" w:type="dxa"/>
            <w:gridSpan w:val="2"/>
            <w:vAlign w:val="center"/>
          </w:tcPr>
          <w:p>
            <w:pPr>
              <w:spacing w:line="480" w:lineRule="exact"/>
              <w:jc w:val="center"/>
              <w:rPr>
                <w:sz w:val="24"/>
                <w:highlight w:val="none"/>
              </w:rPr>
            </w:pPr>
            <w:r>
              <w:rPr>
                <w:sz w:val="24"/>
                <w:highlight w:val="none"/>
              </w:rPr>
              <w:t>排放源</w:t>
            </w:r>
          </w:p>
          <w:p>
            <w:pPr>
              <w:spacing w:line="480" w:lineRule="exact"/>
              <w:jc w:val="center"/>
              <w:rPr>
                <w:sz w:val="24"/>
                <w:highlight w:val="none"/>
              </w:rPr>
            </w:pPr>
            <w:r>
              <w:rPr>
                <w:sz w:val="24"/>
                <w:highlight w:val="none"/>
              </w:rPr>
              <w:t>(编号)</w:t>
            </w:r>
          </w:p>
        </w:tc>
        <w:tc>
          <w:tcPr>
            <w:tcW w:w="1785" w:type="dxa"/>
            <w:vAlign w:val="center"/>
          </w:tcPr>
          <w:p>
            <w:pPr>
              <w:spacing w:line="480" w:lineRule="exact"/>
              <w:jc w:val="center"/>
              <w:rPr>
                <w:sz w:val="24"/>
                <w:highlight w:val="none"/>
              </w:rPr>
            </w:pPr>
            <w:r>
              <w:rPr>
                <w:sz w:val="24"/>
                <w:highlight w:val="none"/>
              </w:rPr>
              <w:t>污染物名称</w:t>
            </w:r>
          </w:p>
        </w:tc>
        <w:tc>
          <w:tcPr>
            <w:tcW w:w="3704" w:type="dxa"/>
            <w:vAlign w:val="center"/>
          </w:tcPr>
          <w:p>
            <w:pPr>
              <w:spacing w:line="480" w:lineRule="exact"/>
              <w:jc w:val="center"/>
              <w:rPr>
                <w:sz w:val="24"/>
                <w:highlight w:val="none"/>
              </w:rPr>
            </w:pPr>
            <w:r>
              <w:rPr>
                <w:sz w:val="24"/>
                <w:highlight w:val="none"/>
              </w:rPr>
              <w:t>防治措施</w:t>
            </w:r>
          </w:p>
        </w:tc>
        <w:tc>
          <w:tcPr>
            <w:tcW w:w="1141" w:type="dxa"/>
            <w:vAlign w:val="center"/>
          </w:tcPr>
          <w:p>
            <w:pPr>
              <w:spacing w:line="480" w:lineRule="exact"/>
              <w:jc w:val="center"/>
              <w:rPr>
                <w:sz w:val="24"/>
                <w:highlight w:val="none"/>
              </w:rPr>
            </w:pPr>
            <w:r>
              <w:rPr>
                <w:sz w:val="24"/>
                <w:highlight w:val="none"/>
              </w:rPr>
              <w:t>预期治理效果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95" w:hRule="atLeast"/>
          <w:jc w:val="center"/>
        </w:trPr>
        <w:tc>
          <w:tcPr>
            <w:tcW w:w="749" w:type="dxa"/>
            <w:vMerge w:val="restart"/>
            <w:tcBorders>
              <w:top w:val="single" w:color="auto" w:sz="4" w:space="0"/>
            </w:tcBorders>
            <w:vAlign w:val="center"/>
          </w:tcPr>
          <w:p>
            <w:pPr>
              <w:spacing w:line="480" w:lineRule="exact"/>
              <w:jc w:val="center"/>
              <w:rPr>
                <w:sz w:val="24"/>
              </w:rPr>
            </w:pPr>
            <w:r>
              <w:rPr>
                <w:sz w:val="24"/>
              </w:rPr>
              <w:t>大</w:t>
            </w:r>
          </w:p>
          <w:p>
            <w:pPr>
              <w:spacing w:line="480" w:lineRule="exact"/>
              <w:jc w:val="center"/>
              <w:rPr>
                <w:sz w:val="24"/>
              </w:rPr>
            </w:pPr>
            <w:r>
              <w:rPr>
                <w:sz w:val="24"/>
              </w:rPr>
              <w:t>气</w:t>
            </w:r>
          </w:p>
          <w:p>
            <w:pPr>
              <w:spacing w:line="480" w:lineRule="exact"/>
              <w:jc w:val="center"/>
              <w:rPr>
                <w:sz w:val="24"/>
              </w:rPr>
            </w:pPr>
            <w:r>
              <w:rPr>
                <w:sz w:val="24"/>
              </w:rPr>
              <w:t>污</w:t>
            </w:r>
          </w:p>
          <w:p>
            <w:pPr>
              <w:spacing w:line="480" w:lineRule="exact"/>
              <w:jc w:val="center"/>
              <w:rPr>
                <w:sz w:val="24"/>
              </w:rPr>
            </w:pPr>
            <w:r>
              <w:rPr>
                <w:sz w:val="24"/>
              </w:rPr>
              <w:t>染</w:t>
            </w:r>
          </w:p>
          <w:p>
            <w:pPr>
              <w:spacing w:line="480" w:lineRule="exact"/>
              <w:jc w:val="center"/>
              <w:rPr>
                <w:sz w:val="24"/>
              </w:rPr>
            </w:pPr>
            <w:r>
              <w:rPr>
                <w:sz w:val="24"/>
              </w:rPr>
              <w:t>物</w:t>
            </w:r>
          </w:p>
        </w:tc>
        <w:tc>
          <w:tcPr>
            <w:tcW w:w="473" w:type="dxa"/>
            <w:vAlign w:val="center"/>
          </w:tcPr>
          <w:p>
            <w:pPr>
              <w:spacing w:line="480" w:lineRule="exact"/>
              <w:jc w:val="center"/>
              <w:rPr>
                <w:sz w:val="24"/>
              </w:rPr>
            </w:pPr>
            <w:r>
              <w:rPr>
                <w:sz w:val="24"/>
              </w:rPr>
              <w:t>施工期</w:t>
            </w:r>
          </w:p>
        </w:tc>
        <w:tc>
          <w:tcPr>
            <w:tcW w:w="1434" w:type="dxa"/>
            <w:vAlign w:val="center"/>
          </w:tcPr>
          <w:p>
            <w:pPr>
              <w:jc w:val="center"/>
              <w:rPr>
                <w:sz w:val="24"/>
              </w:rPr>
            </w:pPr>
            <w:r>
              <w:rPr>
                <w:spacing w:val="-8"/>
                <w:sz w:val="24"/>
              </w:rPr>
              <w:t>物料堆场</w:t>
            </w:r>
          </w:p>
        </w:tc>
        <w:tc>
          <w:tcPr>
            <w:tcW w:w="1785" w:type="dxa"/>
            <w:vAlign w:val="center"/>
          </w:tcPr>
          <w:p>
            <w:pPr>
              <w:jc w:val="center"/>
              <w:rPr>
                <w:sz w:val="24"/>
              </w:rPr>
            </w:pPr>
            <w:r>
              <w:rPr>
                <w:spacing w:val="-8"/>
                <w:sz w:val="24"/>
              </w:rPr>
              <w:t>扬尘</w:t>
            </w:r>
          </w:p>
        </w:tc>
        <w:tc>
          <w:tcPr>
            <w:tcW w:w="3704" w:type="dxa"/>
            <w:tcBorders>
              <w:top w:val="single" w:color="auto" w:sz="4" w:space="0"/>
            </w:tcBorders>
            <w:vAlign w:val="center"/>
          </w:tcPr>
          <w:p>
            <w:pPr>
              <w:jc w:val="center"/>
              <w:rPr>
                <w:sz w:val="24"/>
              </w:rPr>
            </w:pPr>
            <w:r>
              <w:rPr>
                <w:spacing w:val="-8"/>
                <w:sz w:val="24"/>
              </w:rPr>
              <w:t>洒水、遮盖篷布</w:t>
            </w:r>
          </w:p>
        </w:tc>
        <w:tc>
          <w:tcPr>
            <w:tcW w:w="1141" w:type="dxa"/>
            <w:vMerge w:val="restart"/>
            <w:tcBorders>
              <w:top w:val="single" w:color="auto" w:sz="4" w:space="0"/>
            </w:tcBorders>
            <w:vAlign w:val="center"/>
          </w:tcPr>
          <w:p>
            <w:pPr>
              <w:spacing w:line="480" w:lineRule="exact"/>
              <w:jc w:val="center"/>
              <w:rPr>
                <w:color w:val="000000"/>
                <w:sz w:val="24"/>
              </w:rPr>
            </w:pPr>
            <w:r>
              <w:rPr>
                <w:color w:val="000000"/>
                <w:sz w:val="24"/>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59" w:hRule="atLeast"/>
          <w:jc w:val="center"/>
        </w:trPr>
        <w:tc>
          <w:tcPr>
            <w:tcW w:w="749" w:type="dxa"/>
            <w:vMerge w:val="continue"/>
            <w:vAlign w:val="center"/>
          </w:tcPr>
          <w:p>
            <w:pPr>
              <w:spacing w:line="480" w:lineRule="exact"/>
              <w:jc w:val="center"/>
              <w:rPr>
                <w:sz w:val="24"/>
              </w:rPr>
            </w:pPr>
          </w:p>
        </w:tc>
        <w:tc>
          <w:tcPr>
            <w:tcW w:w="473" w:type="dxa"/>
            <w:vMerge w:val="restart"/>
            <w:vAlign w:val="center"/>
          </w:tcPr>
          <w:p>
            <w:pPr>
              <w:spacing w:line="480" w:lineRule="exact"/>
              <w:jc w:val="center"/>
              <w:rPr>
                <w:sz w:val="24"/>
              </w:rPr>
            </w:pPr>
            <w:r>
              <w:rPr>
                <w:sz w:val="24"/>
              </w:rPr>
              <w:t>运营期</w:t>
            </w:r>
          </w:p>
        </w:tc>
        <w:tc>
          <w:tcPr>
            <w:tcW w:w="1434" w:type="dxa"/>
            <w:vAlign w:val="center"/>
          </w:tcPr>
          <w:p>
            <w:pPr>
              <w:adjustRightInd w:val="0"/>
              <w:snapToGrid w:val="0"/>
              <w:spacing w:line="480" w:lineRule="exact"/>
              <w:ind w:left="-105" w:leftChars="-50" w:right="-105" w:rightChars="-50"/>
              <w:jc w:val="center"/>
              <w:rPr>
                <w:color w:val="000000"/>
                <w:sz w:val="24"/>
              </w:rPr>
            </w:pPr>
            <w:r>
              <w:rPr>
                <w:color w:val="000000"/>
                <w:sz w:val="24"/>
              </w:rPr>
              <w:t>备料</w:t>
            </w:r>
          </w:p>
        </w:tc>
        <w:tc>
          <w:tcPr>
            <w:tcW w:w="1785" w:type="dxa"/>
            <w:vAlign w:val="center"/>
          </w:tcPr>
          <w:p>
            <w:pPr>
              <w:spacing w:line="480" w:lineRule="exact"/>
              <w:jc w:val="center"/>
              <w:rPr>
                <w:sz w:val="24"/>
              </w:rPr>
            </w:pPr>
            <w:r>
              <w:rPr>
                <w:sz w:val="24"/>
              </w:rPr>
              <w:t>粉尘</w:t>
            </w:r>
          </w:p>
        </w:tc>
        <w:tc>
          <w:tcPr>
            <w:tcW w:w="3704" w:type="dxa"/>
            <w:tcBorders>
              <w:top w:val="single" w:color="auto" w:sz="4" w:space="0"/>
            </w:tcBorders>
            <w:vAlign w:val="center"/>
          </w:tcPr>
          <w:p>
            <w:pPr>
              <w:spacing w:line="480" w:lineRule="exact"/>
              <w:jc w:val="center"/>
              <w:rPr>
                <w:sz w:val="24"/>
              </w:rPr>
            </w:pPr>
            <w:r>
              <w:rPr>
                <w:sz w:val="24"/>
              </w:rPr>
              <w:t>轻拿轻放物料，采用移动式工业吸尘器收尘</w:t>
            </w:r>
          </w:p>
        </w:tc>
        <w:tc>
          <w:tcPr>
            <w:tcW w:w="1141" w:type="dxa"/>
            <w:vMerge w:val="continue"/>
            <w:vAlign w:val="center"/>
          </w:tcPr>
          <w:p>
            <w:pPr>
              <w:spacing w:line="480" w:lineRule="exact"/>
              <w:jc w:val="center"/>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59" w:hRule="atLeast"/>
          <w:jc w:val="center"/>
        </w:trPr>
        <w:tc>
          <w:tcPr>
            <w:tcW w:w="749" w:type="dxa"/>
            <w:vMerge w:val="continue"/>
            <w:vAlign w:val="center"/>
          </w:tcPr>
          <w:p>
            <w:pPr>
              <w:spacing w:line="480" w:lineRule="exact"/>
              <w:jc w:val="center"/>
              <w:rPr>
                <w:sz w:val="24"/>
              </w:rPr>
            </w:pPr>
          </w:p>
        </w:tc>
        <w:tc>
          <w:tcPr>
            <w:tcW w:w="473" w:type="dxa"/>
            <w:vMerge w:val="continue"/>
            <w:vAlign w:val="center"/>
          </w:tcPr>
          <w:p>
            <w:pPr>
              <w:spacing w:line="480" w:lineRule="exact"/>
              <w:jc w:val="center"/>
              <w:rPr>
                <w:sz w:val="24"/>
              </w:rPr>
            </w:pPr>
          </w:p>
        </w:tc>
        <w:tc>
          <w:tcPr>
            <w:tcW w:w="1434" w:type="dxa"/>
            <w:vAlign w:val="center"/>
          </w:tcPr>
          <w:p>
            <w:pPr>
              <w:spacing w:line="480" w:lineRule="exact"/>
              <w:jc w:val="center"/>
              <w:rPr>
                <w:color w:val="000000"/>
                <w:sz w:val="24"/>
                <w:highlight w:val="none"/>
              </w:rPr>
            </w:pPr>
            <w:r>
              <w:rPr>
                <w:color w:val="000000"/>
                <w:sz w:val="24"/>
                <w:highlight w:val="none"/>
              </w:rPr>
              <w:t>拌面投料</w:t>
            </w:r>
          </w:p>
        </w:tc>
        <w:tc>
          <w:tcPr>
            <w:tcW w:w="1785" w:type="dxa"/>
            <w:vAlign w:val="center"/>
          </w:tcPr>
          <w:p>
            <w:pPr>
              <w:spacing w:line="480" w:lineRule="exact"/>
              <w:jc w:val="center"/>
              <w:rPr>
                <w:color w:val="000000"/>
                <w:sz w:val="24"/>
                <w:highlight w:val="none"/>
              </w:rPr>
            </w:pPr>
            <w:r>
              <w:rPr>
                <w:color w:val="000000"/>
                <w:sz w:val="24"/>
                <w:highlight w:val="none"/>
              </w:rPr>
              <w:t>粉尘</w:t>
            </w:r>
          </w:p>
        </w:tc>
        <w:tc>
          <w:tcPr>
            <w:tcW w:w="3704" w:type="dxa"/>
            <w:tcBorders>
              <w:top w:val="single" w:color="auto" w:sz="4" w:space="0"/>
            </w:tcBorders>
            <w:vAlign w:val="center"/>
          </w:tcPr>
          <w:p>
            <w:pPr>
              <w:spacing w:line="480" w:lineRule="exact"/>
              <w:jc w:val="center"/>
              <w:rPr>
                <w:rFonts w:hint="eastAsia"/>
                <w:color w:val="000000"/>
                <w:sz w:val="24"/>
                <w:highlight w:val="none"/>
              </w:rPr>
            </w:pPr>
            <w:r>
              <w:rPr>
                <w:sz w:val="24"/>
                <w:highlight w:val="none"/>
                <w:lang w:val="fr-FR"/>
              </w:rPr>
              <w:t>集气罩</w:t>
            </w:r>
            <w:r>
              <w:rPr>
                <w:sz w:val="24"/>
                <w:highlight w:val="none"/>
              </w:rPr>
              <w:t>+</w:t>
            </w:r>
            <w:r>
              <w:rPr>
                <w:rFonts w:hint="eastAsia"/>
                <w:sz w:val="24"/>
                <w:highlight w:val="none"/>
              </w:rPr>
              <w:t>袋式除尘</w:t>
            </w:r>
            <w:r>
              <w:rPr>
                <w:sz w:val="24"/>
                <w:highlight w:val="none"/>
              </w:rPr>
              <w:t>装置+</w:t>
            </w:r>
            <w:r>
              <w:rPr>
                <w:rFonts w:hint="eastAsia"/>
                <w:sz w:val="24"/>
                <w:highlight w:val="none"/>
              </w:rPr>
              <w:t>15排气筒排放（P1）</w:t>
            </w:r>
          </w:p>
        </w:tc>
        <w:tc>
          <w:tcPr>
            <w:tcW w:w="1141" w:type="dxa"/>
            <w:vMerge w:val="continue"/>
            <w:vAlign w:val="center"/>
          </w:tcPr>
          <w:p>
            <w:pPr>
              <w:spacing w:line="480" w:lineRule="exact"/>
              <w:jc w:val="center"/>
              <w:rPr>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59" w:hRule="atLeast"/>
          <w:jc w:val="center"/>
        </w:trPr>
        <w:tc>
          <w:tcPr>
            <w:tcW w:w="749" w:type="dxa"/>
            <w:vMerge w:val="continue"/>
            <w:vAlign w:val="center"/>
          </w:tcPr>
          <w:p>
            <w:pPr>
              <w:spacing w:line="480" w:lineRule="exact"/>
              <w:jc w:val="center"/>
              <w:rPr>
                <w:sz w:val="24"/>
              </w:rPr>
            </w:pPr>
          </w:p>
        </w:tc>
        <w:tc>
          <w:tcPr>
            <w:tcW w:w="473" w:type="dxa"/>
            <w:vMerge w:val="continue"/>
            <w:vAlign w:val="center"/>
          </w:tcPr>
          <w:p>
            <w:pPr>
              <w:spacing w:line="480" w:lineRule="exact"/>
              <w:jc w:val="center"/>
              <w:rPr>
                <w:sz w:val="24"/>
              </w:rPr>
            </w:pPr>
          </w:p>
        </w:tc>
        <w:tc>
          <w:tcPr>
            <w:tcW w:w="1434" w:type="dxa"/>
            <w:vAlign w:val="center"/>
          </w:tcPr>
          <w:p>
            <w:pPr>
              <w:spacing w:line="480" w:lineRule="exact"/>
              <w:jc w:val="center"/>
              <w:rPr>
                <w:color w:val="000000"/>
                <w:sz w:val="24"/>
                <w:highlight w:val="none"/>
              </w:rPr>
            </w:pPr>
            <w:r>
              <w:rPr>
                <w:color w:val="000000"/>
                <w:sz w:val="24"/>
                <w:highlight w:val="none"/>
              </w:rPr>
              <w:t>油炸</w:t>
            </w:r>
          </w:p>
        </w:tc>
        <w:tc>
          <w:tcPr>
            <w:tcW w:w="1785" w:type="dxa"/>
            <w:vAlign w:val="center"/>
          </w:tcPr>
          <w:p>
            <w:pPr>
              <w:spacing w:line="480" w:lineRule="exact"/>
              <w:jc w:val="center"/>
              <w:rPr>
                <w:color w:val="000000"/>
                <w:sz w:val="24"/>
                <w:highlight w:val="none"/>
              </w:rPr>
            </w:pPr>
            <w:r>
              <w:rPr>
                <w:color w:val="000000"/>
                <w:sz w:val="24"/>
                <w:highlight w:val="none"/>
              </w:rPr>
              <w:t>油烟</w:t>
            </w:r>
          </w:p>
        </w:tc>
        <w:tc>
          <w:tcPr>
            <w:tcW w:w="3704" w:type="dxa"/>
            <w:tcBorders>
              <w:top w:val="single" w:color="auto" w:sz="4" w:space="0"/>
            </w:tcBorders>
            <w:vAlign w:val="center"/>
          </w:tcPr>
          <w:p>
            <w:pPr>
              <w:spacing w:line="440" w:lineRule="exact"/>
              <w:jc w:val="center"/>
              <w:rPr>
                <w:rFonts w:hint="eastAsia"/>
                <w:color w:val="000000"/>
                <w:sz w:val="24"/>
                <w:highlight w:val="none"/>
              </w:rPr>
            </w:pPr>
            <w:r>
              <w:rPr>
                <w:sz w:val="24"/>
                <w:highlight w:val="none"/>
                <w:lang w:val="fr-FR"/>
              </w:rPr>
              <w:t>集气罩</w:t>
            </w:r>
            <w:r>
              <w:rPr>
                <w:sz w:val="24"/>
                <w:highlight w:val="none"/>
              </w:rPr>
              <w:t>+静电油烟净化装置+</w:t>
            </w:r>
            <w:r>
              <w:rPr>
                <w:rFonts w:hint="eastAsia"/>
                <w:sz w:val="24"/>
                <w:highlight w:val="none"/>
              </w:rPr>
              <w:t>15m排气</w:t>
            </w:r>
            <w:r>
              <w:rPr>
                <w:rFonts w:hint="eastAsia"/>
                <w:color w:val="000000"/>
                <w:sz w:val="24"/>
                <w:highlight w:val="none"/>
              </w:rPr>
              <w:t>筒排放（P2）</w:t>
            </w:r>
          </w:p>
        </w:tc>
        <w:tc>
          <w:tcPr>
            <w:tcW w:w="1141" w:type="dxa"/>
            <w:vMerge w:val="continue"/>
            <w:vAlign w:val="center"/>
          </w:tcPr>
          <w:p>
            <w:pPr>
              <w:spacing w:line="480" w:lineRule="exact"/>
              <w:jc w:val="center"/>
              <w:rPr>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59" w:hRule="atLeast"/>
          <w:jc w:val="center"/>
        </w:trPr>
        <w:tc>
          <w:tcPr>
            <w:tcW w:w="749" w:type="dxa"/>
            <w:vMerge w:val="continue"/>
            <w:vAlign w:val="center"/>
          </w:tcPr>
          <w:p>
            <w:pPr>
              <w:spacing w:line="440" w:lineRule="exact"/>
              <w:jc w:val="center"/>
            </w:pPr>
          </w:p>
        </w:tc>
        <w:tc>
          <w:tcPr>
            <w:tcW w:w="473" w:type="dxa"/>
            <w:vMerge w:val="continue"/>
            <w:vAlign w:val="center"/>
          </w:tcPr>
          <w:p>
            <w:pPr>
              <w:spacing w:line="440" w:lineRule="exact"/>
              <w:jc w:val="center"/>
            </w:pPr>
          </w:p>
        </w:tc>
        <w:tc>
          <w:tcPr>
            <w:tcW w:w="1434" w:type="dxa"/>
            <w:vAlign w:val="center"/>
          </w:tcPr>
          <w:p>
            <w:pPr>
              <w:spacing w:line="440" w:lineRule="exact"/>
              <w:ind w:firstLine="240" w:firstLineChars="100"/>
              <w:rPr>
                <w:rFonts w:hint="eastAsia"/>
                <w:color w:val="000000"/>
                <w:sz w:val="24"/>
                <w:highlight w:val="none"/>
              </w:rPr>
            </w:pPr>
            <w:r>
              <w:rPr>
                <w:rFonts w:hint="eastAsia"/>
                <w:color w:val="000000"/>
                <w:sz w:val="24"/>
                <w:highlight w:val="none"/>
              </w:rPr>
              <w:t xml:space="preserve"> 油炸锅</w:t>
            </w:r>
          </w:p>
        </w:tc>
        <w:tc>
          <w:tcPr>
            <w:tcW w:w="1785" w:type="dxa"/>
            <w:vAlign w:val="center"/>
          </w:tcPr>
          <w:p>
            <w:pPr>
              <w:spacing w:line="440" w:lineRule="exact"/>
              <w:jc w:val="center"/>
              <w:rPr>
                <w:color w:val="000000"/>
                <w:sz w:val="24"/>
                <w:highlight w:val="none"/>
              </w:rPr>
            </w:pPr>
            <w:r>
              <w:rPr>
                <w:rFonts w:hint="eastAsia"/>
                <w:color w:val="000000"/>
                <w:sz w:val="24"/>
                <w:highlight w:val="none"/>
              </w:rPr>
              <w:t>燃料废气</w:t>
            </w:r>
          </w:p>
        </w:tc>
        <w:tc>
          <w:tcPr>
            <w:tcW w:w="3704" w:type="dxa"/>
            <w:tcBorders>
              <w:top w:val="single" w:color="auto" w:sz="4" w:space="0"/>
            </w:tcBorders>
            <w:vAlign w:val="center"/>
          </w:tcPr>
          <w:p>
            <w:pPr>
              <w:spacing w:line="440" w:lineRule="exact"/>
              <w:jc w:val="center"/>
              <w:rPr>
                <w:rFonts w:hint="eastAsia"/>
                <w:color w:val="000000"/>
                <w:sz w:val="24"/>
                <w:highlight w:val="none"/>
              </w:rPr>
            </w:pPr>
            <w:r>
              <w:rPr>
                <w:rFonts w:hint="eastAsia"/>
                <w:color w:val="000000"/>
                <w:sz w:val="24"/>
                <w:highlight w:val="none"/>
              </w:rPr>
              <w:t>经15m的排气筒排放（P3）</w:t>
            </w:r>
          </w:p>
        </w:tc>
        <w:tc>
          <w:tcPr>
            <w:tcW w:w="1141" w:type="dxa"/>
            <w:vMerge w:val="continue"/>
            <w:vAlign w:val="center"/>
          </w:tcPr>
          <w:p>
            <w:pPr>
              <w:spacing w:line="440" w:lineRule="exact"/>
              <w:jc w:val="center"/>
              <w:rPr>
                <w:color w:val="00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00" w:hRule="atLeast"/>
          <w:jc w:val="center"/>
        </w:trPr>
        <w:tc>
          <w:tcPr>
            <w:tcW w:w="749" w:type="dxa"/>
            <w:vMerge w:val="restart"/>
            <w:vAlign w:val="center"/>
          </w:tcPr>
          <w:p>
            <w:pPr>
              <w:spacing w:line="480" w:lineRule="exact"/>
              <w:jc w:val="center"/>
              <w:rPr>
                <w:sz w:val="24"/>
              </w:rPr>
            </w:pPr>
            <w:r>
              <w:rPr>
                <w:sz w:val="24"/>
              </w:rPr>
              <w:t>水</w:t>
            </w:r>
          </w:p>
          <w:p>
            <w:pPr>
              <w:spacing w:line="480" w:lineRule="exact"/>
              <w:jc w:val="center"/>
              <w:rPr>
                <w:sz w:val="24"/>
              </w:rPr>
            </w:pPr>
            <w:r>
              <w:rPr>
                <w:sz w:val="24"/>
              </w:rPr>
              <w:t>污</w:t>
            </w:r>
          </w:p>
          <w:p>
            <w:pPr>
              <w:spacing w:line="480" w:lineRule="exact"/>
              <w:jc w:val="center"/>
              <w:rPr>
                <w:sz w:val="24"/>
              </w:rPr>
            </w:pPr>
            <w:r>
              <w:rPr>
                <w:sz w:val="24"/>
              </w:rPr>
              <w:t>染</w:t>
            </w:r>
          </w:p>
          <w:p>
            <w:pPr>
              <w:spacing w:line="480" w:lineRule="exact"/>
              <w:jc w:val="center"/>
              <w:rPr>
                <w:sz w:val="24"/>
              </w:rPr>
            </w:pPr>
            <w:r>
              <w:rPr>
                <w:sz w:val="24"/>
              </w:rPr>
              <w:t>物</w:t>
            </w:r>
          </w:p>
        </w:tc>
        <w:tc>
          <w:tcPr>
            <w:tcW w:w="473" w:type="dxa"/>
            <w:vAlign w:val="center"/>
          </w:tcPr>
          <w:p>
            <w:pPr>
              <w:spacing w:line="480" w:lineRule="exact"/>
              <w:jc w:val="center"/>
              <w:rPr>
                <w:sz w:val="24"/>
              </w:rPr>
            </w:pPr>
            <w:r>
              <w:rPr>
                <w:sz w:val="24"/>
              </w:rPr>
              <w:t>施工期</w:t>
            </w:r>
          </w:p>
        </w:tc>
        <w:tc>
          <w:tcPr>
            <w:tcW w:w="1434" w:type="dxa"/>
            <w:vAlign w:val="center"/>
          </w:tcPr>
          <w:p>
            <w:pPr>
              <w:jc w:val="center"/>
              <w:rPr>
                <w:color w:val="000000"/>
                <w:sz w:val="24"/>
              </w:rPr>
            </w:pPr>
            <w:r>
              <w:rPr>
                <w:sz w:val="24"/>
              </w:rPr>
              <w:t>洗漱废水及设备冲洗水</w:t>
            </w:r>
          </w:p>
        </w:tc>
        <w:tc>
          <w:tcPr>
            <w:tcW w:w="1785" w:type="dxa"/>
            <w:vAlign w:val="center"/>
          </w:tcPr>
          <w:p>
            <w:pPr>
              <w:jc w:val="center"/>
              <w:rPr>
                <w:sz w:val="24"/>
              </w:rPr>
            </w:pPr>
            <w:r>
              <w:rPr>
                <w:spacing w:val="-6"/>
                <w:sz w:val="24"/>
              </w:rPr>
              <w:t>COD、NH</w:t>
            </w:r>
            <w:r>
              <w:rPr>
                <w:spacing w:val="-6"/>
                <w:sz w:val="24"/>
                <w:vertAlign w:val="subscript"/>
              </w:rPr>
              <w:t>3</w:t>
            </w:r>
            <w:r>
              <w:rPr>
                <w:spacing w:val="-6"/>
                <w:sz w:val="24"/>
              </w:rPr>
              <w:t>-N</w:t>
            </w:r>
          </w:p>
        </w:tc>
        <w:tc>
          <w:tcPr>
            <w:tcW w:w="3704" w:type="dxa"/>
            <w:tcBorders>
              <w:top w:val="single" w:color="auto" w:sz="4" w:space="0"/>
            </w:tcBorders>
            <w:vAlign w:val="center"/>
          </w:tcPr>
          <w:p>
            <w:pPr>
              <w:jc w:val="center"/>
              <w:rPr>
                <w:sz w:val="24"/>
              </w:rPr>
            </w:pPr>
            <w:r>
              <w:rPr>
                <w:sz w:val="24"/>
              </w:rPr>
              <w:t>泼洒地面抑尘、不外排</w:t>
            </w:r>
          </w:p>
        </w:tc>
        <w:tc>
          <w:tcPr>
            <w:tcW w:w="1141" w:type="dxa"/>
            <w:vMerge w:val="restart"/>
            <w:vAlign w:val="center"/>
          </w:tcPr>
          <w:p>
            <w:pPr>
              <w:spacing w:line="480" w:lineRule="exact"/>
              <w:jc w:val="center"/>
              <w:rPr>
                <w:sz w:val="24"/>
              </w:rPr>
            </w:pPr>
            <w:r>
              <w:rPr>
                <w:sz w:val="24"/>
              </w:rPr>
              <w:t>达标</w:t>
            </w:r>
          </w:p>
          <w:p>
            <w:pPr>
              <w:spacing w:line="480" w:lineRule="exact"/>
              <w:jc w:val="center"/>
              <w:rPr>
                <w:sz w:val="24"/>
              </w:rPr>
            </w:pPr>
            <w:r>
              <w:rPr>
                <w:sz w:val="24"/>
              </w:rPr>
              <w:t>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85" w:hRule="atLeast"/>
          <w:jc w:val="center"/>
        </w:trPr>
        <w:tc>
          <w:tcPr>
            <w:tcW w:w="749" w:type="dxa"/>
            <w:vMerge w:val="continue"/>
            <w:vAlign w:val="center"/>
          </w:tcPr>
          <w:p>
            <w:pPr>
              <w:spacing w:line="480" w:lineRule="exact"/>
              <w:jc w:val="center"/>
              <w:rPr>
                <w:sz w:val="24"/>
              </w:rPr>
            </w:pPr>
          </w:p>
        </w:tc>
        <w:tc>
          <w:tcPr>
            <w:tcW w:w="473" w:type="dxa"/>
            <w:vAlign w:val="center"/>
          </w:tcPr>
          <w:p>
            <w:pPr>
              <w:spacing w:line="480" w:lineRule="exact"/>
              <w:jc w:val="center"/>
              <w:rPr>
                <w:sz w:val="24"/>
              </w:rPr>
            </w:pPr>
            <w:r>
              <w:rPr>
                <w:sz w:val="24"/>
              </w:rPr>
              <w:t>运营期</w:t>
            </w:r>
          </w:p>
        </w:tc>
        <w:tc>
          <w:tcPr>
            <w:tcW w:w="1434" w:type="dxa"/>
            <w:vAlign w:val="center"/>
          </w:tcPr>
          <w:p>
            <w:pPr>
              <w:spacing w:line="480" w:lineRule="exact"/>
              <w:jc w:val="center"/>
              <w:rPr>
                <w:sz w:val="24"/>
              </w:rPr>
            </w:pPr>
            <w:r>
              <w:rPr>
                <w:sz w:val="24"/>
              </w:rPr>
              <w:t>生活污水</w:t>
            </w:r>
          </w:p>
        </w:tc>
        <w:tc>
          <w:tcPr>
            <w:tcW w:w="1785" w:type="dxa"/>
            <w:vAlign w:val="center"/>
          </w:tcPr>
          <w:p>
            <w:pPr>
              <w:spacing w:line="480" w:lineRule="exact"/>
              <w:jc w:val="center"/>
              <w:rPr>
                <w:sz w:val="24"/>
              </w:rPr>
            </w:pPr>
            <w:r>
              <w:rPr>
                <w:sz w:val="24"/>
              </w:rPr>
              <w:t>COD、 NH</w:t>
            </w:r>
            <w:r>
              <w:rPr>
                <w:sz w:val="24"/>
                <w:vertAlign w:val="subscript"/>
              </w:rPr>
              <w:t>3</w:t>
            </w:r>
            <w:r>
              <w:rPr>
                <w:sz w:val="24"/>
              </w:rPr>
              <w:t>-N、SS、动植物油</w:t>
            </w:r>
          </w:p>
        </w:tc>
        <w:tc>
          <w:tcPr>
            <w:tcW w:w="3704" w:type="dxa"/>
            <w:vAlign w:val="center"/>
          </w:tcPr>
          <w:p>
            <w:pPr>
              <w:spacing w:line="480" w:lineRule="exact"/>
              <w:jc w:val="center"/>
              <w:rPr>
                <w:sz w:val="24"/>
              </w:rPr>
            </w:pPr>
            <w:r>
              <w:rPr>
                <w:sz w:val="24"/>
              </w:rPr>
              <w:t>经化粪池收集处理，由项目单位定期清运，用于沤制农家肥</w:t>
            </w:r>
          </w:p>
        </w:tc>
        <w:tc>
          <w:tcPr>
            <w:tcW w:w="1141" w:type="dxa"/>
            <w:vMerge w:val="continue"/>
            <w:vAlign w:val="center"/>
          </w:tcPr>
          <w:p>
            <w:pPr>
              <w:spacing w:line="480" w:lineRule="exact"/>
              <w:jc w:val="center"/>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95" w:hRule="atLeast"/>
          <w:jc w:val="center"/>
        </w:trPr>
        <w:tc>
          <w:tcPr>
            <w:tcW w:w="749" w:type="dxa"/>
            <w:vMerge w:val="restart"/>
            <w:vAlign w:val="center"/>
          </w:tcPr>
          <w:p>
            <w:pPr>
              <w:spacing w:line="480" w:lineRule="exact"/>
              <w:jc w:val="center"/>
              <w:rPr>
                <w:sz w:val="24"/>
              </w:rPr>
            </w:pPr>
            <w:r>
              <w:rPr>
                <w:sz w:val="24"/>
              </w:rPr>
              <w:t>固</w:t>
            </w:r>
          </w:p>
          <w:p>
            <w:pPr>
              <w:spacing w:line="480" w:lineRule="exact"/>
              <w:jc w:val="center"/>
              <w:rPr>
                <w:sz w:val="24"/>
              </w:rPr>
            </w:pPr>
            <w:r>
              <w:rPr>
                <w:sz w:val="24"/>
              </w:rPr>
              <w:t>体</w:t>
            </w:r>
          </w:p>
          <w:p>
            <w:pPr>
              <w:spacing w:line="480" w:lineRule="exact"/>
              <w:jc w:val="center"/>
              <w:rPr>
                <w:sz w:val="24"/>
              </w:rPr>
            </w:pPr>
            <w:r>
              <w:rPr>
                <w:sz w:val="24"/>
              </w:rPr>
              <w:t>废</w:t>
            </w:r>
          </w:p>
          <w:p>
            <w:pPr>
              <w:spacing w:line="480" w:lineRule="exact"/>
              <w:jc w:val="center"/>
              <w:rPr>
                <w:sz w:val="24"/>
              </w:rPr>
            </w:pPr>
            <w:r>
              <w:rPr>
                <w:sz w:val="24"/>
              </w:rPr>
              <w:t>物</w:t>
            </w:r>
          </w:p>
        </w:tc>
        <w:tc>
          <w:tcPr>
            <w:tcW w:w="473" w:type="dxa"/>
            <w:vMerge w:val="restart"/>
            <w:vAlign w:val="center"/>
          </w:tcPr>
          <w:p>
            <w:pPr>
              <w:spacing w:line="480" w:lineRule="exact"/>
              <w:jc w:val="center"/>
              <w:rPr>
                <w:sz w:val="24"/>
              </w:rPr>
            </w:pPr>
            <w:r>
              <w:rPr>
                <w:sz w:val="24"/>
              </w:rPr>
              <w:t>施工期</w:t>
            </w:r>
          </w:p>
        </w:tc>
        <w:tc>
          <w:tcPr>
            <w:tcW w:w="1434" w:type="dxa"/>
            <w:vMerge w:val="restart"/>
            <w:vAlign w:val="center"/>
          </w:tcPr>
          <w:p>
            <w:pPr>
              <w:spacing w:line="420" w:lineRule="exact"/>
              <w:jc w:val="center"/>
              <w:rPr>
                <w:sz w:val="24"/>
              </w:rPr>
            </w:pPr>
            <w:r>
              <w:rPr>
                <w:sz w:val="24"/>
              </w:rPr>
              <w:t>施工场地</w:t>
            </w:r>
          </w:p>
        </w:tc>
        <w:tc>
          <w:tcPr>
            <w:tcW w:w="1785" w:type="dxa"/>
            <w:vAlign w:val="center"/>
          </w:tcPr>
          <w:p>
            <w:pPr>
              <w:spacing w:line="380" w:lineRule="exact"/>
              <w:jc w:val="center"/>
              <w:rPr>
                <w:sz w:val="24"/>
              </w:rPr>
            </w:pPr>
            <w:r>
              <w:rPr>
                <w:sz w:val="24"/>
              </w:rPr>
              <w:t>建筑垃圾</w:t>
            </w:r>
          </w:p>
        </w:tc>
        <w:tc>
          <w:tcPr>
            <w:tcW w:w="3704" w:type="dxa"/>
            <w:vAlign w:val="center"/>
          </w:tcPr>
          <w:p>
            <w:pPr>
              <w:jc w:val="center"/>
              <w:rPr>
                <w:sz w:val="24"/>
              </w:rPr>
            </w:pPr>
            <w:r>
              <w:rPr>
                <w:spacing w:val="8"/>
                <w:sz w:val="24"/>
              </w:rPr>
              <w:t>分类收集后运至市政部门指定建筑垃圾堆放场</w:t>
            </w:r>
          </w:p>
        </w:tc>
        <w:tc>
          <w:tcPr>
            <w:tcW w:w="1141" w:type="dxa"/>
            <w:vMerge w:val="restart"/>
            <w:vAlign w:val="center"/>
          </w:tcPr>
          <w:p>
            <w:pPr>
              <w:spacing w:line="480" w:lineRule="exact"/>
              <w:jc w:val="center"/>
              <w:rPr>
                <w:sz w:val="24"/>
              </w:rPr>
            </w:pPr>
            <w:r>
              <w:rPr>
                <w:sz w:val="24"/>
              </w:rPr>
              <w:t>不造成二次污染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749" w:type="dxa"/>
            <w:vMerge w:val="continue"/>
            <w:vAlign w:val="center"/>
          </w:tcPr>
          <w:p>
            <w:pPr>
              <w:spacing w:line="480" w:lineRule="exact"/>
              <w:jc w:val="center"/>
              <w:rPr>
                <w:sz w:val="24"/>
              </w:rPr>
            </w:pPr>
          </w:p>
        </w:tc>
        <w:tc>
          <w:tcPr>
            <w:tcW w:w="473" w:type="dxa"/>
            <w:vMerge w:val="continue"/>
            <w:vAlign w:val="center"/>
          </w:tcPr>
          <w:p>
            <w:pPr>
              <w:spacing w:line="480" w:lineRule="exact"/>
              <w:jc w:val="center"/>
              <w:rPr>
                <w:sz w:val="24"/>
              </w:rPr>
            </w:pPr>
          </w:p>
        </w:tc>
        <w:tc>
          <w:tcPr>
            <w:tcW w:w="1434" w:type="dxa"/>
            <w:vMerge w:val="continue"/>
            <w:vAlign w:val="center"/>
          </w:tcPr>
          <w:p>
            <w:pPr>
              <w:spacing w:line="420" w:lineRule="exact"/>
              <w:jc w:val="center"/>
              <w:rPr>
                <w:sz w:val="24"/>
              </w:rPr>
            </w:pPr>
          </w:p>
        </w:tc>
        <w:tc>
          <w:tcPr>
            <w:tcW w:w="1785" w:type="dxa"/>
            <w:vAlign w:val="center"/>
          </w:tcPr>
          <w:p>
            <w:pPr>
              <w:spacing w:line="380" w:lineRule="exact"/>
              <w:jc w:val="center"/>
              <w:rPr>
                <w:sz w:val="24"/>
              </w:rPr>
            </w:pPr>
            <w:r>
              <w:rPr>
                <w:sz w:val="24"/>
              </w:rPr>
              <w:t>生活垃圾</w:t>
            </w:r>
          </w:p>
        </w:tc>
        <w:tc>
          <w:tcPr>
            <w:tcW w:w="3704" w:type="dxa"/>
            <w:vAlign w:val="center"/>
          </w:tcPr>
          <w:p>
            <w:pPr>
              <w:jc w:val="center"/>
              <w:rPr>
                <w:sz w:val="24"/>
              </w:rPr>
            </w:pPr>
            <w:r>
              <w:rPr>
                <w:sz w:val="24"/>
              </w:rPr>
              <w:t>收集后交当地环卫部门统一处理</w:t>
            </w:r>
          </w:p>
        </w:tc>
        <w:tc>
          <w:tcPr>
            <w:tcW w:w="1141" w:type="dxa"/>
            <w:vMerge w:val="continue"/>
            <w:vAlign w:val="center"/>
          </w:tcPr>
          <w:p>
            <w:pPr>
              <w:spacing w:line="480" w:lineRule="exact"/>
              <w:jc w:val="center"/>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20" w:hRule="atLeast"/>
          <w:jc w:val="center"/>
        </w:trPr>
        <w:tc>
          <w:tcPr>
            <w:tcW w:w="749" w:type="dxa"/>
            <w:vMerge w:val="continue"/>
            <w:vAlign w:val="center"/>
          </w:tcPr>
          <w:p>
            <w:pPr>
              <w:spacing w:line="480" w:lineRule="exact"/>
              <w:jc w:val="center"/>
              <w:rPr>
                <w:sz w:val="24"/>
              </w:rPr>
            </w:pPr>
          </w:p>
        </w:tc>
        <w:tc>
          <w:tcPr>
            <w:tcW w:w="473" w:type="dxa"/>
            <w:vMerge w:val="restart"/>
            <w:tcBorders>
              <w:top w:val="single" w:color="auto" w:sz="4" w:space="0"/>
            </w:tcBorders>
            <w:vAlign w:val="center"/>
          </w:tcPr>
          <w:p>
            <w:pPr>
              <w:spacing w:line="480" w:lineRule="exact"/>
              <w:jc w:val="center"/>
              <w:rPr>
                <w:sz w:val="24"/>
              </w:rPr>
            </w:pPr>
            <w:r>
              <w:rPr>
                <w:sz w:val="24"/>
              </w:rPr>
              <w:t>运营期</w:t>
            </w:r>
          </w:p>
        </w:tc>
        <w:tc>
          <w:tcPr>
            <w:tcW w:w="1434" w:type="dxa"/>
            <w:vMerge w:val="restart"/>
            <w:vAlign w:val="center"/>
          </w:tcPr>
          <w:p>
            <w:pPr>
              <w:spacing w:line="480" w:lineRule="exact"/>
              <w:jc w:val="center"/>
              <w:rPr>
                <w:b/>
                <w:sz w:val="24"/>
              </w:rPr>
            </w:pPr>
            <w:r>
              <w:rPr>
                <w:sz w:val="24"/>
              </w:rPr>
              <w:t>一般废物</w:t>
            </w:r>
          </w:p>
        </w:tc>
        <w:tc>
          <w:tcPr>
            <w:tcW w:w="1785" w:type="dxa"/>
            <w:vAlign w:val="center"/>
          </w:tcPr>
          <w:p>
            <w:pPr>
              <w:spacing w:line="480" w:lineRule="exact"/>
              <w:jc w:val="center"/>
              <w:rPr>
                <w:sz w:val="24"/>
              </w:rPr>
            </w:pPr>
            <w:r>
              <w:rPr>
                <w:sz w:val="24"/>
              </w:rPr>
              <w:t>废包装材料</w:t>
            </w:r>
          </w:p>
        </w:tc>
        <w:tc>
          <w:tcPr>
            <w:tcW w:w="3704" w:type="dxa"/>
            <w:tcBorders>
              <w:top w:val="single" w:color="auto" w:sz="4" w:space="0"/>
            </w:tcBorders>
            <w:vAlign w:val="center"/>
          </w:tcPr>
          <w:p>
            <w:pPr>
              <w:spacing w:line="480" w:lineRule="exact"/>
              <w:jc w:val="center"/>
              <w:rPr>
                <w:b/>
                <w:sz w:val="24"/>
              </w:rPr>
            </w:pPr>
            <w:r>
              <w:rPr>
                <w:sz w:val="24"/>
              </w:rPr>
              <w:t>废品公司回收</w:t>
            </w:r>
          </w:p>
        </w:tc>
        <w:tc>
          <w:tcPr>
            <w:tcW w:w="1141" w:type="dxa"/>
            <w:vMerge w:val="continue"/>
            <w:vAlign w:val="center"/>
          </w:tcPr>
          <w:p>
            <w:pPr>
              <w:spacing w:line="480" w:lineRule="exact"/>
              <w:jc w:val="center"/>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20" w:hRule="atLeast"/>
          <w:jc w:val="center"/>
        </w:trPr>
        <w:tc>
          <w:tcPr>
            <w:tcW w:w="749" w:type="dxa"/>
            <w:vMerge w:val="continue"/>
            <w:vAlign w:val="center"/>
          </w:tcPr>
          <w:p>
            <w:pPr>
              <w:spacing w:line="480" w:lineRule="exact"/>
              <w:jc w:val="center"/>
              <w:rPr>
                <w:sz w:val="24"/>
              </w:rPr>
            </w:pPr>
          </w:p>
        </w:tc>
        <w:tc>
          <w:tcPr>
            <w:tcW w:w="473" w:type="dxa"/>
            <w:vMerge w:val="continue"/>
            <w:vAlign w:val="center"/>
          </w:tcPr>
          <w:p>
            <w:pPr>
              <w:spacing w:line="480" w:lineRule="exact"/>
              <w:jc w:val="center"/>
              <w:rPr>
                <w:b/>
                <w:sz w:val="24"/>
              </w:rPr>
            </w:pPr>
          </w:p>
        </w:tc>
        <w:tc>
          <w:tcPr>
            <w:tcW w:w="1434" w:type="dxa"/>
            <w:vMerge w:val="continue"/>
            <w:vAlign w:val="center"/>
          </w:tcPr>
          <w:p>
            <w:pPr>
              <w:spacing w:line="480" w:lineRule="exact"/>
              <w:jc w:val="center"/>
              <w:rPr>
                <w:sz w:val="24"/>
              </w:rPr>
            </w:pPr>
          </w:p>
        </w:tc>
        <w:tc>
          <w:tcPr>
            <w:tcW w:w="1785" w:type="dxa"/>
            <w:vAlign w:val="center"/>
          </w:tcPr>
          <w:p>
            <w:pPr>
              <w:spacing w:line="480" w:lineRule="exact"/>
              <w:jc w:val="center"/>
              <w:rPr>
                <w:sz w:val="24"/>
              </w:rPr>
            </w:pPr>
          </w:p>
          <w:p>
            <w:pPr>
              <w:spacing w:line="480" w:lineRule="exact"/>
              <w:jc w:val="center"/>
              <w:rPr>
                <w:sz w:val="24"/>
              </w:rPr>
            </w:pPr>
            <w:r>
              <w:rPr>
                <w:sz w:val="24"/>
              </w:rPr>
              <w:t>废食物渣</w:t>
            </w:r>
          </w:p>
          <w:p>
            <w:pPr>
              <w:spacing w:line="480" w:lineRule="exact"/>
              <w:jc w:val="center"/>
              <w:rPr>
                <w:sz w:val="24"/>
              </w:rPr>
            </w:pPr>
          </w:p>
        </w:tc>
        <w:tc>
          <w:tcPr>
            <w:tcW w:w="3704" w:type="dxa"/>
            <w:vAlign w:val="center"/>
          </w:tcPr>
          <w:p>
            <w:pPr>
              <w:spacing w:line="480" w:lineRule="exact"/>
              <w:jc w:val="center"/>
              <w:rPr>
                <w:sz w:val="24"/>
              </w:rPr>
            </w:pPr>
            <w:r>
              <w:rPr>
                <w:sz w:val="24"/>
              </w:rPr>
              <w:t>固定容器收集，养殖场作饲料</w:t>
            </w:r>
          </w:p>
        </w:tc>
        <w:tc>
          <w:tcPr>
            <w:tcW w:w="1141" w:type="dxa"/>
            <w:vMerge w:val="continue"/>
            <w:vAlign w:val="center"/>
          </w:tcPr>
          <w:p>
            <w:pPr>
              <w:spacing w:line="480" w:lineRule="exact"/>
              <w:jc w:val="center"/>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49" w:type="dxa"/>
            <w:vMerge w:val="continue"/>
            <w:vAlign w:val="center"/>
          </w:tcPr>
          <w:p>
            <w:pPr>
              <w:spacing w:line="480" w:lineRule="exact"/>
              <w:jc w:val="center"/>
              <w:rPr>
                <w:sz w:val="24"/>
              </w:rPr>
            </w:pPr>
          </w:p>
        </w:tc>
        <w:tc>
          <w:tcPr>
            <w:tcW w:w="473" w:type="dxa"/>
            <w:vMerge w:val="continue"/>
            <w:vAlign w:val="center"/>
          </w:tcPr>
          <w:p>
            <w:pPr>
              <w:spacing w:line="480" w:lineRule="exact"/>
              <w:jc w:val="center"/>
              <w:rPr>
                <w:sz w:val="24"/>
              </w:rPr>
            </w:pPr>
          </w:p>
        </w:tc>
        <w:tc>
          <w:tcPr>
            <w:tcW w:w="1434" w:type="dxa"/>
            <w:vMerge w:val="continue"/>
            <w:vAlign w:val="center"/>
          </w:tcPr>
          <w:p>
            <w:pPr>
              <w:spacing w:line="480" w:lineRule="exact"/>
              <w:jc w:val="center"/>
              <w:rPr>
                <w:sz w:val="24"/>
              </w:rPr>
            </w:pPr>
          </w:p>
        </w:tc>
        <w:tc>
          <w:tcPr>
            <w:tcW w:w="1785" w:type="dxa"/>
            <w:vAlign w:val="center"/>
          </w:tcPr>
          <w:p>
            <w:pPr>
              <w:spacing w:line="480" w:lineRule="exact"/>
              <w:jc w:val="center"/>
              <w:rPr>
                <w:sz w:val="24"/>
              </w:rPr>
            </w:pPr>
            <w:r>
              <w:rPr>
                <w:sz w:val="24"/>
              </w:rPr>
              <w:t>废油</w:t>
            </w:r>
          </w:p>
        </w:tc>
        <w:tc>
          <w:tcPr>
            <w:tcW w:w="3704" w:type="dxa"/>
            <w:vAlign w:val="center"/>
          </w:tcPr>
          <w:p>
            <w:pPr>
              <w:spacing w:line="480" w:lineRule="exact"/>
              <w:jc w:val="center"/>
              <w:rPr>
                <w:sz w:val="24"/>
              </w:rPr>
            </w:pPr>
            <w:r>
              <w:rPr>
                <w:sz w:val="24"/>
              </w:rPr>
              <w:t>专用容器收集，定期交由废油脂集中处置的单位回收处置</w:t>
            </w:r>
          </w:p>
        </w:tc>
        <w:tc>
          <w:tcPr>
            <w:tcW w:w="1141" w:type="dxa"/>
            <w:vMerge w:val="continue"/>
            <w:vAlign w:val="center"/>
          </w:tcPr>
          <w:p>
            <w:pPr>
              <w:spacing w:line="480" w:lineRule="exact"/>
              <w:jc w:val="center"/>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83" w:hRule="atLeast"/>
          <w:jc w:val="center"/>
        </w:trPr>
        <w:tc>
          <w:tcPr>
            <w:tcW w:w="749" w:type="dxa"/>
            <w:vMerge w:val="continue"/>
            <w:vAlign w:val="center"/>
          </w:tcPr>
          <w:p>
            <w:pPr>
              <w:spacing w:line="480" w:lineRule="exact"/>
              <w:jc w:val="center"/>
              <w:rPr>
                <w:sz w:val="24"/>
              </w:rPr>
            </w:pPr>
          </w:p>
        </w:tc>
        <w:tc>
          <w:tcPr>
            <w:tcW w:w="473" w:type="dxa"/>
            <w:vMerge w:val="continue"/>
            <w:vAlign w:val="center"/>
          </w:tcPr>
          <w:p>
            <w:pPr>
              <w:spacing w:line="480" w:lineRule="exact"/>
              <w:jc w:val="center"/>
              <w:rPr>
                <w:sz w:val="24"/>
              </w:rPr>
            </w:pPr>
          </w:p>
        </w:tc>
        <w:tc>
          <w:tcPr>
            <w:tcW w:w="1434" w:type="dxa"/>
            <w:vMerge w:val="continue"/>
            <w:vAlign w:val="center"/>
          </w:tcPr>
          <w:p>
            <w:pPr>
              <w:spacing w:line="480" w:lineRule="exact"/>
              <w:jc w:val="center"/>
              <w:rPr>
                <w:sz w:val="24"/>
              </w:rPr>
            </w:pPr>
          </w:p>
        </w:tc>
        <w:tc>
          <w:tcPr>
            <w:tcW w:w="1785" w:type="dxa"/>
            <w:vAlign w:val="center"/>
          </w:tcPr>
          <w:p>
            <w:pPr>
              <w:spacing w:line="480" w:lineRule="exact"/>
              <w:jc w:val="center"/>
              <w:rPr>
                <w:sz w:val="24"/>
              </w:rPr>
            </w:pPr>
            <w:r>
              <w:rPr>
                <w:sz w:val="24"/>
              </w:rPr>
              <w:t>生活垃圾</w:t>
            </w:r>
          </w:p>
        </w:tc>
        <w:tc>
          <w:tcPr>
            <w:tcW w:w="3704" w:type="dxa"/>
            <w:vAlign w:val="center"/>
          </w:tcPr>
          <w:p>
            <w:pPr>
              <w:spacing w:line="480" w:lineRule="exact"/>
              <w:jc w:val="center"/>
              <w:rPr>
                <w:sz w:val="24"/>
              </w:rPr>
            </w:pPr>
            <w:r>
              <w:rPr>
                <w:sz w:val="24"/>
              </w:rPr>
              <w:t>垃圾箱收集，环卫部门统一处理</w:t>
            </w:r>
          </w:p>
        </w:tc>
        <w:tc>
          <w:tcPr>
            <w:tcW w:w="1141" w:type="dxa"/>
            <w:vMerge w:val="continue"/>
            <w:vAlign w:val="center"/>
          </w:tcPr>
          <w:p>
            <w:pPr>
              <w:spacing w:line="480" w:lineRule="exact"/>
              <w:jc w:val="center"/>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672" w:hRule="atLeast"/>
          <w:jc w:val="center"/>
        </w:trPr>
        <w:tc>
          <w:tcPr>
            <w:tcW w:w="749" w:type="dxa"/>
            <w:vMerge w:val="restart"/>
            <w:vAlign w:val="center"/>
          </w:tcPr>
          <w:p>
            <w:pPr>
              <w:spacing w:line="480" w:lineRule="exact"/>
              <w:jc w:val="center"/>
              <w:rPr>
                <w:sz w:val="24"/>
              </w:rPr>
            </w:pPr>
            <w:r>
              <w:rPr>
                <w:sz w:val="24"/>
              </w:rPr>
              <w:t>噪</w:t>
            </w:r>
          </w:p>
          <w:p>
            <w:pPr>
              <w:spacing w:line="480" w:lineRule="exact"/>
              <w:jc w:val="center"/>
              <w:rPr>
                <w:sz w:val="24"/>
              </w:rPr>
            </w:pPr>
            <w:r>
              <w:rPr>
                <w:sz w:val="24"/>
              </w:rPr>
              <w:t>声</w:t>
            </w:r>
          </w:p>
        </w:tc>
        <w:tc>
          <w:tcPr>
            <w:tcW w:w="8537" w:type="dxa"/>
            <w:gridSpan w:val="5"/>
            <w:vAlign w:val="center"/>
          </w:tcPr>
          <w:p>
            <w:pPr>
              <w:spacing w:line="480" w:lineRule="exact"/>
              <w:ind w:firstLine="480" w:firstLineChars="200"/>
              <w:rPr>
                <w:sz w:val="24"/>
              </w:rPr>
            </w:pPr>
            <w:r>
              <w:rPr>
                <w:sz w:val="24"/>
              </w:rPr>
              <w:t>施工期主要为施工机械噪声和运输物料车辆产生的噪声，经距离衰减、采取降噪措施后可以达到《建筑施工场界环境噪声排放标准》（GB12523-2011）（昼间70dB(A)、夜间55dB(A)）。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672" w:hRule="atLeast"/>
          <w:jc w:val="center"/>
        </w:trPr>
        <w:tc>
          <w:tcPr>
            <w:tcW w:w="749" w:type="dxa"/>
            <w:vMerge w:val="continue"/>
            <w:vAlign w:val="center"/>
          </w:tcPr>
          <w:p>
            <w:pPr>
              <w:spacing w:line="480" w:lineRule="exact"/>
              <w:ind w:firstLine="480" w:firstLineChars="200"/>
              <w:rPr>
                <w:sz w:val="24"/>
              </w:rPr>
            </w:pPr>
          </w:p>
        </w:tc>
        <w:tc>
          <w:tcPr>
            <w:tcW w:w="8537" w:type="dxa"/>
            <w:gridSpan w:val="5"/>
            <w:vAlign w:val="center"/>
          </w:tcPr>
          <w:p>
            <w:pPr>
              <w:spacing w:line="480" w:lineRule="exact"/>
              <w:ind w:firstLine="480" w:firstLineChars="200"/>
              <w:rPr>
                <w:sz w:val="24"/>
              </w:rPr>
            </w:pPr>
            <w:r>
              <w:rPr>
                <w:sz w:val="24"/>
              </w:rPr>
              <w:t>隔声、减振、室内作业，项目厂界可以达到《工业企业厂界环境噪声排放标准》（GB12348-2008）2类标准。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9286" w:type="dxa"/>
            <w:gridSpan w:val="6"/>
            <w:vAlign w:val="top"/>
          </w:tcPr>
          <w:p>
            <w:pPr>
              <w:spacing w:line="480" w:lineRule="exact"/>
              <w:rPr>
                <w:b/>
                <w:sz w:val="24"/>
              </w:rPr>
            </w:pPr>
            <w:r>
              <w:rPr>
                <w:b/>
                <w:sz w:val="24"/>
              </w:rPr>
              <w:t>生态保护措施及预期效果</w:t>
            </w:r>
          </w:p>
          <w:p>
            <w:pPr>
              <w:spacing w:line="480" w:lineRule="exact"/>
              <w:ind w:firstLine="480" w:firstLineChars="200"/>
              <w:rPr>
                <w:sz w:val="24"/>
              </w:rPr>
            </w:pPr>
            <w:r>
              <w:rPr>
                <w:sz w:val="24"/>
              </w:rPr>
              <w:t>由于长期人为活动和自然条件的影响，区域天然植被几乎无残存，以人为绿化为主，区域内未发现珍稀动物存在，附近无划定的自然生态保护区，该项目对生态环境的影响很小。</w:t>
            </w: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rPr>
                <w:sz w:val="24"/>
              </w:rPr>
            </w:pPr>
          </w:p>
        </w:tc>
      </w:tr>
    </w:tbl>
    <w:p>
      <w:pPr>
        <w:spacing w:line="360" w:lineRule="auto"/>
        <w:outlineLvl w:val="0"/>
        <w:rPr>
          <w:b/>
          <w:sz w:val="24"/>
        </w:rPr>
      </w:pPr>
      <w:r>
        <w:rPr>
          <w:b/>
          <w:sz w:val="24"/>
        </w:rPr>
        <w:br w:type="page"/>
      </w:r>
      <w:r>
        <w:rPr>
          <w:b/>
          <w:sz w:val="24"/>
        </w:rPr>
        <w:t>结论与建议</w:t>
      </w:r>
    </w:p>
    <w:tbl>
      <w:tblPr>
        <w:tblStyle w:val="28"/>
        <w:tblW w:w="94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41" w:type="dxa"/>
            <w:tcBorders>
              <w:top w:val="single" w:color="auto" w:sz="4" w:space="0"/>
              <w:left w:val="single" w:color="auto" w:sz="4" w:space="0"/>
              <w:bottom w:val="single" w:color="auto" w:sz="4" w:space="0"/>
              <w:right w:val="single" w:color="auto" w:sz="4" w:space="0"/>
            </w:tcBorders>
            <w:vAlign w:val="top"/>
          </w:tcPr>
          <w:p>
            <w:pPr>
              <w:spacing w:line="520" w:lineRule="exact"/>
              <w:ind w:firstLine="482" w:firstLineChars="200"/>
              <w:rPr>
                <w:b/>
                <w:sz w:val="24"/>
              </w:rPr>
            </w:pPr>
            <w:r>
              <w:rPr>
                <w:b/>
                <w:sz w:val="24"/>
              </w:rPr>
              <w:t>一、评价结论</w:t>
            </w:r>
          </w:p>
          <w:p>
            <w:pPr>
              <w:spacing w:line="520" w:lineRule="exact"/>
              <w:ind w:firstLine="472" w:firstLineChars="196"/>
              <w:rPr>
                <w:b/>
                <w:sz w:val="24"/>
              </w:rPr>
            </w:pPr>
            <w:r>
              <w:rPr>
                <w:b/>
                <w:sz w:val="24"/>
              </w:rPr>
              <w:t>1、产业政策相符性结论</w:t>
            </w:r>
          </w:p>
          <w:p>
            <w:pPr>
              <w:spacing w:line="520" w:lineRule="exact"/>
              <w:ind w:firstLine="470" w:firstLineChars="196"/>
              <w:rPr>
                <w:bCs/>
                <w:sz w:val="24"/>
                <w:lang w:val="zh-CN"/>
              </w:rPr>
            </w:pPr>
            <w:r>
              <w:rPr>
                <w:sz w:val="24"/>
              </w:rPr>
              <w:t>本项目为新建性质，</w:t>
            </w:r>
            <w:r>
              <w:rPr>
                <w:color w:val="000000"/>
                <w:sz w:val="24"/>
              </w:rPr>
              <w:t>已在</w:t>
            </w:r>
            <w:r>
              <w:rPr>
                <w:rFonts w:hint="eastAsia"/>
                <w:color w:val="000000"/>
                <w:sz w:val="24"/>
              </w:rPr>
              <w:t>滑县</w:t>
            </w:r>
            <w:r>
              <w:rPr>
                <w:color w:val="000000"/>
                <w:sz w:val="24"/>
              </w:rPr>
              <w:t>发展和改革委员会备案（</w:t>
            </w:r>
            <w:r>
              <w:rPr>
                <w:rFonts w:hint="eastAsia"/>
                <w:color w:val="000000"/>
                <w:sz w:val="24"/>
              </w:rPr>
              <w:t>项目代码：2018-410526-14-03-044282</w:t>
            </w:r>
            <w:r>
              <w:rPr>
                <w:color w:val="000000"/>
                <w:sz w:val="24"/>
              </w:rPr>
              <w:t>）。经对照《产业结构调整指导目录（2011年本）》</w:t>
            </w:r>
            <w:r>
              <w:rPr>
                <w:rFonts w:hint="eastAsia"/>
                <w:color w:val="000000"/>
                <w:sz w:val="24"/>
              </w:rPr>
              <w:t>（</w:t>
            </w:r>
            <w:r>
              <w:rPr>
                <w:color w:val="000000"/>
                <w:sz w:val="24"/>
              </w:rPr>
              <w:t>2013年修正</w:t>
            </w:r>
            <w:r>
              <w:rPr>
                <w:rFonts w:hint="eastAsia"/>
                <w:color w:val="000000"/>
                <w:sz w:val="24"/>
              </w:rPr>
              <w:t>）</w:t>
            </w:r>
            <w:r>
              <w:rPr>
                <w:color w:val="000000"/>
                <w:sz w:val="24"/>
              </w:rPr>
              <w:t>，</w:t>
            </w:r>
            <w:r>
              <w:rPr>
                <w:bCs/>
                <w:sz w:val="24"/>
                <w:lang w:val="zh-CN"/>
              </w:rPr>
              <w:t>本项目</w:t>
            </w:r>
            <w:r>
              <w:rPr>
                <w:rFonts w:hint="eastAsia"/>
                <w:bCs/>
                <w:sz w:val="24"/>
                <w:lang w:val="zh-CN"/>
              </w:rPr>
              <w:t>不</w:t>
            </w:r>
            <w:r>
              <w:rPr>
                <w:bCs/>
                <w:sz w:val="24"/>
                <w:lang w:val="zh-CN"/>
              </w:rPr>
              <w:t>属于</w:t>
            </w:r>
            <w:r>
              <w:rPr>
                <w:rFonts w:hint="eastAsia"/>
                <w:bCs/>
                <w:sz w:val="24"/>
                <w:lang w:val="zh-CN"/>
              </w:rPr>
              <w:t>鼓励类、限制类、淘汰类；依据《建设项目环境影响评价分类管理名录》（</w:t>
            </w:r>
            <w:r>
              <w:rPr>
                <w:rFonts w:hint="eastAsia"/>
                <w:bCs/>
                <w:sz w:val="24"/>
              </w:rPr>
              <w:t>2017年环保部令 第44号</w:t>
            </w:r>
            <w:r>
              <w:rPr>
                <w:rFonts w:hint="eastAsia"/>
                <w:bCs/>
                <w:sz w:val="24"/>
                <w:lang w:val="zh-CN"/>
              </w:rPr>
              <w:t>）规定，本项目属于“三、食品制造业</w:t>
            </w:r>
            <w:r>
              <w:rPr>
                <w:rFonts w:hint="eastAsia"/>
                <w:bCs/>
                <w:sz w:val="24"/>
              </w:rPr>
              <w:t>11、方便食品制造</w:t>
            </w:r>
            <w:r>
              <w:rPr>
                <w:rFonts w:hint="eastAsia"/>
                <w:bCs/>
                <w:sz w:val="24"/>
                <w:lang w:val="zh-CN"/>
              </w:rPr>
              <w:t>”中“其他（手工制作和单纯分装除外）”应当编制环境影响评价报告表</w:t>
            </w:r>
            <w:r>
              <w:rPr>
                <w:bCs/>
                <w:sz w:val="24"/>
                <w:lang w:val="zh-CN"/>
              </w:rPr>
              <w:t>，符合国家产业政策。</w:t>
            </w:r>
          </w:p>
          <w:p>
            <w:pPr>
              <w:spacing w:line="360" w:lineRule="auto"/>
              <w:ind w:firstLine="472" w:firstLineChars="196"/>
              <w:rPr>
                <w:b/>
                <w:sz w:val="24"/>
              </w:rPr>
            </w:pPr>
            <w:r>
              <w:rPr>
                <w:b/>
                <w:sz w:val="24"/>
              </w:rPr>
              <w:t>2、选址可行性</w:t>
            </w:r>
          </w:p>
          <w:p>
            <w:pPr>
              <w:spacing w:line="520" w:lineRule="exact"/>
              <w:ind w:right="105" w:rightChars="50" w:firstLine="480" w:firstLineChars="200"/>
              <w:rPr>
                <w:rFonts w:hint="eastAsia" w:ascii="宋体" w:hAnsi="宋体" w:cs="宋体"/>
                <w:sz w:val="24"/>
              </w:rPr>
            </w:pPr>
            <w:r>
              <w:rPr>
                <w:rFonts w:hint="eastAsia" w:ascii="宋体" w:hAnsi="宋体" w:cs="宋体"/>
                <w:sz w:val="24"/>
              </w:rPr>
              <w:t>本项目位于滑县慈周寨镇慈一村</w:t>
            </w:r>
            <w:r>
              <w:rPr>
                <w:rFonts w:hint="eastAsia" w:ascii="宋体" w:hAnsi="宋体" w:cs="宋体"/>
                <w:sz w:val="24"/>
                <w:lang w:val="zh-CN"/>
              </w:rPr>
              <w:t>，项目用地已经滑县慈周寨镇人民政府同意</w:t>
            </w:r>
            <w:r>
              <w:rPr>
                <w:rFonts w:hint="eastAsia" w:ascii="宋体" w:hAnsi="宋体" w:cs="宋体"/>
                <w:sz w:val="24"/>
              </w:rPr>
              <w:t>，该项目用地性质为工业用地符合慈周寨乡镇总体建设规划。根据滑县慈周寨镇人民政府出具规划证明，项目选址符合慈周寨乡土地利用总体规划。本项目卫生防护距离为50米，离项目最近的环境保护目标为项目西侧约</w:t>
            </w:r>
            <w:r>
              <w:rPr>
                <w:rFonts w:hint="eastAsia" w:ascii="宋体" w:hAnsi="宋体" w:cs="宋体"/>
                <w:bCs/>
                <w:sz w:val="24"/>
              </w:rPr>
              <w:t>437m处慈一村</w:t>
            </w:r>
            <w:r>
              <w:rPr>
                <w:rFonts w:hint="eastAsia" w:ascii="宋体" w:hAnsi="宋体" w:cs="宋体"/>
                <w:sz w:val="24"/>
              </w:rPr>
              <w:t>，项目卫生防护距离内无环境敏感点。从环保角度分析，项目选址合理可行。</w:t>
            </w:r>
          </w:p>
          <w:p>
            <w:pPr>
              <w:spacing w:line="520" w:lineRule="exact"/>
              <w:ind w:firstLine="472" w:firstLineChars="196"/>
              <w:rPr>
                <w:b/>
                <w:sz w:val="24"/>
              </w:rPr>
            </w:pPr>
            <w:r>
              <w:rPr>
                <w:b/>
                <w:sz w:val="24"/>
              </w:rPr>
              <w:t>3、环境质量现状</w:t>
            </w:r>
          </w:p>
          <w:p>
            <w:pPr>
              <w:spacing w:line="360" w:lineRule="auto"/>
              <w:ind w:firstLine="460" w:firstLineChars="192"/>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本</w:t>
            </w:r>
            <w:r>
              <w:rPr>
                <w:rFonts w:hint="default" w:ascii="Times New Roman" w:hAnsi="Times New Roman" w:eastAsia="宋体" w:cs="Times New Roman"/>
                <w:sz w:val="24"/>
                <w:szCs w:val="24"/>
                <w:highlight w:val="none"/>
                <w:lang w:val="zh-CN"/>
              </w:rPr>
              <w:t>项目所在区域为大气环境质量不达标区域，区域污染物环境质量存在不达标情况，无法满足《环境空气质量标准》(GB3095—2012)表1中二级标准。</w:t>
            </w:r>
          </w:p>
          <w:p>
            <w:pPr>
              <w:spacing w:line="520" w:lineRule="exact"/>
              <w:ind w:right="105" w:rightChars="50" w:firstLine="480" w:firstLineChars="200"/>
              <w:rPr>
                <w:rFonts w:hint="eastAsia" w:ascii="宋体" w:hAnsi="宋体" w:cs="宋体"/>
                <w:sz w:val="24"/>
              </w:rPr>
            </w:pPr>
            <w:r>
              <w:rPr>
                <w:rFonts w:hint="eastAsia" w:ascii="宋体" w:hAnsi="宋体" w:cs="宋体"/>
                <w:sz w:val="24"/>
              </w:rPr>
              <w:t>根据</w:t>
            </w:r>
            <w:r>
              <w:rPr>
                <w:rFonts w:ascii="宋体" w:hAnsi="宋体" w:cs="宋体"/>
                <w:sz w:val="24"/>
                <w:lang w:val="zh-CN"/>
              </w:rPr>
              <w:t>“河南省201</w:t>
            </w:r>
            <w:r>
              <w:rPr>
                <w:rFonts w:ascii="宋体" w:hAnsi="宋体" w:cs="宋体"/>
                <w:sz w:val="24"/>
              </w:rPr>
              <w:t>7</w:t>
            </w:r>
            <w:r>
              <w:rPr>
                <w:rFonts w:ascii="宋体" w:hAnsi="宋体" w:cs="宋体"/>
                <w:sz w:val="24"/>
                <w:lang w:val="zh-CN"/>
              </w:rPr>
              <w:t>年第</w:t>
            </w:r>
            <w:r>
              <w:rPr>
                <w:rFonts w:ascii="宋体" w:hAnsi="宋体" w:cs="宋体"/>
                <w:sz w:val="24"/>
              </w:rPr>
              <w:t>2</w:t>
            </w:r>
            <w:r>
              <w:rPr>
                <w:rFonts w:ascii="宋体" w:hAnsi="宋体" w:cs="宋体"/>
                <w:sz w:val="24"/>
                <w:lang w:val="zh-CN"/>
              </w:rPr>
              <w:t>期河南省地表水环境责任目标断面水质周报”</w:t>
            </w:r>
            <w:r>
              <w:rPr>
                <w:rFonts w:ascii="宋体" w:hAnsi="宋体" w:cs="宋体"/>
                <w:sz w:val="24"/>
              </w:rPr>
              <w:t>金堤河濮阳大韩桥断面</w:t>
            </w:r>
            <w:r>
              <w:rPr>
                <w:rFonts w:ascii="宋体" w:hAnsi="宋体" w:cs="宋体"/>
                <w:sz w:val="24"/>
                <w:lang w:val="zh-CN"/>
              </w:rPr>
              <w:t>数值</w:t>
            </w:r>
            <w:r>
              <w:rPr>
                <w:rFonts w:ascii="宋体" w:hAnsi="宋体" w:cs="宋体"/>
                <w:sz w:val="24"/>
              </w:rPr>
              <w:t>监测断面</w:t>
            </w:r>
            <w:r>
              <w:rPr>
                <w:rFonts w:hint="eastAsia" w:ascii="宋体" w:hAnsi="宋体" w:cs="宋体"/>
                <w:sz w:val="24"/>
              </w:rPr>
              <w:t>的监测结果，项目所在区域水环境质量满足《地表水环境质量标准》（GB3838-2002）</w:t>
            </w:r>
            <w:r>
              <w:rPr>
                <w:rFonts w:hint="eastAsia" w:ascii="宋体" w:hAnsi="宋体" w:cs="宋体"/>
                <w:sz w:val="24"/>
              </w:rPr>
              <w:fldChar w:fldCharType="begin"/>
            </w:r>
            <w:r>
              <w:rPr>
                <w:rFonts w:hint="eastAsia" w:ascii="宋体" w:hAnsi="宋体" w:cs="宋体"/>
                <w:sz w:val="24"/>
              </w:rPr>
              <w:instrText xml:space="preserve"> = 5 \* ROMAN \* MERGEFORMAT </w:instrText>
            </w:r>
            <w:r>
              <w:rPr>
                <w:rFonts w:hint="eastAsia" w:ascii="宋体" w:hAnsi="宋体" w:cs="宋体"/>
                <w:sz w:val="24"/>
              </w:rPr>
              <w:fldChar w:fldCharType="separate"/>
            </w:r>
            <w:r>
              <w:t>V</w:t>
            </w:r>
            <w:r>
              <w:rPr>
                <w:rFonts w:hint="eastAsia" w:ascii="宋体" w:hAnsi="宋体" w:cs="宋体"/>
                <w:sz w:val="24"/>
              </w:rPr>
              <w:fldChar w:fldCharType="end"/>
            </w:r>
            <w:r>
              <w:rPr>
                <w:rFonts w:hint="eastAsia" w:ascii="宋体" w:hAnsi="宋体" w:cs="宋体"/>
                <w:sz w:val="24"/>
              </w:rPr>
              <w:t>类标准（COD≤40mg/L、NH</w:t>
            </w:r>
            <w:r>
              <w:rPr>
                <w:rFonts w:hint="eastAsia" w:ascii="宋体" w:hAnsi="宋体" w:cs="宋体"/>
                <w:sz w:val="24"/>
                <w:vertAlign w:val="subscript"/>
              </w:rPr>
              <w:t>3</w:t>
            </w:r>
            <w:r>
              <w:rPr>
                <w:rFonts w:hint="eastAsia" w:ascii="宋体" w:hAnsi="宋体" w:cs="宋体"/>
                <w:sz w:val="24"/>
              </w:rPr>
              <w:t>-N≤2.0mg/L）。项目所在区域金堤河濮阳大韩桥断面地表水环境质量可以满足《地表水环境质量标准》（GB3838-2002）V类标准。</w:t>
            </w:r>
          </w:p>
          <w:p>
            <w:pPr>
              <w:pStyle w:val="30"/>
              <w:spacing w:line="520" w:lineRule="exact"/>
              <w:rPr>
                <w:rFonts w:hint="eastAsia" w:ascii="宋体" w:hAnsi="宋体" w:cs="宋体"/>
              </w:rPr>
            </w:pPr>
            <w:r>
              <w:rPr>
                <w:rFonts w:hint="eastAsia" w:ascii="宋体" w:hAnsi="宋体" w:cs="宋体"/>
              </w:rPr>
              <w:t>项目东、南、西和北厂界满足《声环境质量标准》（GB3096-2008）2类标准要求。</w:t>
            </w:r>
          </w:p>
          <w:p>
            <w:pPr>
              <w:spacing w:line="520" w:lineRule="exact"/>
              <w:ind w:firstLine="482" w:firstLineChars="200"/>
              <w:rPr>
                <w:rFonts w:hint="eastAsia" w:ascii="宋体" w:hAnsi="宋体" w:cs="宋体"/>
                <w:b/>
                <w:bCs/>
                <w:sz w:val="24"/>
              </w:rPr>
            </w:pPr>
            <w:r>
              <w:rPr>
                <w:rFonts w:hint="eastAsia" w:ascii="宋体" w:hAnsi="宋体" w:cs="宋体"/>
                <w:b/>
                <w:bCs/>
                <w:sz w:val="24"/>
              </w:rPr>
              <w:t>4、施工期环境影响评价结论</w:t>
            </w:r>
          </w:p>
          <w:p>
            <w:pPr>
              <w:spacing w:line="520" w:lineRule="exact"/>
              <w:ind w:firstLine="482" w:firstLineChars="200"/>
              <w:rPr>
                <w:rFonts w:hint="eastAsia" w:ascii="宋体" w:hAnsi="宋体" w:cs="宋体"/>
                <w:b/>
                <w:sz w:val="24"/>
              </w:rPr>
            </w:pPr>
            <w:r>
              <w:rPr>
                <w:rFonts w:hint="eastAsia" w:ascii="宋体" w:hAnsi="宋体" w:cs="宋体"/>
                <w:b/>
                <w:sz w:val="24"/>
              </w:rPr>
              <w:t>4.1废气</w:t>
            </w:r>
          </w:p>
          <w:p>
            <w:pPr>
              <w:spacing w:line="520" w:lineRule="exact"/>
              <w:ind w:right="105" w:rightChars="50" w:firstLine="480" w:firstLineChars="200"/>
              <w:rPr>
                <w:rFonts w:hint="eastAsia" w:ascii="宋体" w:hAnsi="宋体" w:cs="宋体"/>
                <w:sz w:val="24"/>
              </w:rPr>
            </w:pPr>
            <w:r>
              <w:rPr>
                <w:rFonts w:hint="eastAsia" w:ascii="宋体" w:hAnsi="宋体" w:cs="宋体"/>
                <w:sz w:val="24"/>
              </w:rPr>
              <w:t>主要为清理场地、土石方施工、主体工程、装修、扫尾等过程等过程产生的扬尘，在施工过程中采取洒水抑尘，并覆盖露天堆放物料等措施，以减轻扬尘对环境的影响。</w:t>
            </w:r>
          </w:p>
          <w:p>
            <w:pPr>
              <w:spacing w:line="520" w:lineRule="exact"/>
              <w:ind w:right="105" w:rightChars="50" w:firstLine="482" w:firstLineChars="200"/>
              <w:rPr>
                <w:rFonts w:hint="eastAsia" w:ascii="宋体" w:hAnsi="宋体" w:cs="宋体"/>
                <w:b/>
                <w:bCs/>
                <w:sz w:val="24"/>
              </w:rPr>
            </w:pPr>
            <w:r>
              <w:rPr>
                <w:rFonts w:hint="eastAsia" w:ascii="宋体" w:hAnsi="宋体" w:cs="宋体"/>
                <w:b/>
                <w:bCs/>
                <w:sz w:val="24"/>
              </w:rPr>
              <w:t>4.2废水</w:t>
            </w:r>
          </w:p>
          <w:p>
            <w:pPr>
              <w:spacing w:line="520" w:lineRule="exact"/>
              <w:ind w:firstLine="480" w:firstLineChars="200"/>
              <w:rPr>
                <w:rFonts w:hint="eastAsia" w:ascii="宋体" w:hAnsi="宋体" w:cs="宋体"/>
                <w:sz w:val="24"/>
              </w:rPr>
            </w:pPr>
            <w:r>
              <w:rPr>
                <w:rFonts w:hint="eastAsia" w:ascii="宋体" w:hAnsi="宋体" w:cs="宋体"/>
                <w:sz w:val="24"/>
              </w:rPr>
              <w:t>主要为施工人员生活污水和施工过程中产生的车辆冲洗废水，用于泼洒地面抑尘，不外排。</w:t>
            </w:r>
          </w:p>
          <w:p>
            <w:pPr>
              <w:spacing w:line="520" w:lineRule="exact"/>
              <w:ind w:firstLine="482" w:firstLineChars="200"/>
              <w:rPr>
                <w:rFonts w:hint="eastAsia" w:ascii="宋体" w:hAnsi="宋体" w:cs="宋体"/>
                <w:b/>
                <w:sz w:val="24"/>
              </w:rPr>
            </w:pPr>
            <w:r>
              <w:rPr>
                <w:rFonts w:hint="eastAsia" w:ascii="宋体" w:hAnsi="宋体" w:cs="宋体"/>
                <w:b/>
                <w:sz w:val="24"/>
              </w:rPr>
              <w:t>4.3噪声</w:t>
            </w:r>
          </w:p>
          <w:p>
            <w:pPr>
              <w:spacing w:line="520" w:lineRule="exact"/>
              <w:ind w:firstLine="480" w:firstLineChars="200"/>
              <w:rPr>
                <w:rFonts w:hint="eastAsia" w:ascii="宋体" w:hAnsi="宋体" w:cs="宋体"/>
                <w:sz w:val="24"/>
              </w:rPr>
            </w:pPr>
            <w:r>
              <w:rPr>
                <w:rFonts w:hint="eastAsia" w:ascii="宋体" w:hAnsi="宋体" w:cs="宋体"/>
                <w:sz w:val="24"/>
              </w:rPr>
              <w:t>主要为机械设备施工所产生的噪声及车辆运输产生的交通噪声，噪声值约在80～90dB(A)之间，经采取措施后满足《建筑施工场界环境噪声排放标准》（GB12523-2011）。</w:t>
            </w:r>
          </w:p>
          <w:p>
            <w:pPr>
              <w:spacing w:line="520" w:lineRule="exact"/>
              <w:ind w:firstLine="482" w:firstLineChars="200"/>
              <w:rPr>
                <w:rFonts w:hint="eastAsia" w:ascii="宋体" w:hAnsi="宋体" w:cs="宋体"/>
                <w:b/>
                <w:sz w:val="24"/>
              </w:rPr>
            </w:pPr>
            <w:r>
              <w:rPr>
                <w:rFonts w:hint="eastAsia" w:ascii="宋体" w:hAnsi="宋体" w:cs="宋体"/>
                <w:b/>
                <w:sz w:val="24"/>
              </w:rPr>
              <w:t>4.4固废</w:t>
            </w:r>
          </w:p>
          <w:p>
            <w:pPr>
              <w:spacing w:line="520" w:lineRule="exact"/>
              <w:ind w:firstLine="480" w:firstLineChars="200"/>
              <w:rPr>
                <w:rFonts w:hint="eastAsia" w:ascii="宋体" w:hAnsi="宋体" w:cs="宋体"/>
                <w:sz w:val="24"/>
              </w:rPr>
            </w:pPr>
            <w:r>
              <w:rPr>
                <w:rFonts w:hint="eastAsia" w:ascii="宋体" w:hAnsi="宋体" w:cs="宋体"/>
                <w:sz w:val="24"/>
              </w:rPr>
              <w:t>主要为施工阶段产生的建筑垃圾，建议施工现场建设临时固废堆场，由建设单位运送至市政部门指定的建筑垃圾堆放场，避免造成二次污染。</w:t>
            </w:r>
          </w:p>
          <w:p>
            <w:pPr>
              <w:spacing w:line="520" w:lineRule="exact"/>
              <w:ind w:firstLine="482" w:firstLineChars="200"/>
              <w:rPr>
                <w:rFonts w:hint="eastAsia" w:ascii="宋体" w:hAnsi="宋体" w:cs="宋体"/>
                <w:b/>
                <w:bCs/>
                <w:sz w:val="24"/>
              </w:rPr>
            </w:pPr>
            <w:r>
              <w:rPr>
                <w:rFonts w:hint="eastAsia" w:ascii="宋体" w:hAnsi="宋体" w:cs="宋体"/>
                <w:b/>
                <w:bCs/>
                <w:sz w:val="24"/>
              </w:rPr>
              <w:t>5、运营期环境影响评价结论</w:t>
            </w:r>
          </w:p>
          <w:p>
            <w:pPr>
              <w:spacing w:line="520" w:lineRule="exact"/>
              <w:ind w:firstLine="482" w:firstLineChars="200"/>
              <w:rPr>
                <w:rFonts w:hint="eastAsia" w:ascii="宋体" w:hAnsi="宋体" w:cs="宋体"/>
                <w:b/>
                <w:sz w:val="24"/>
              </w:rPr>
            </w:pPr>
            <w:r>
              <w:rPr>
                <w:rFonts w:hint="eastAsia" w:ascii="宋体" w:hAnsi="宋体" w:cs="宋体"/>
                <w:b/>
                <w:sz w:val="24"/>
              </w:rPr>
              <w:t>5.1大气环境影响分析结论</w:t>
            </w:r>
          </w:p>
          <w:p>
            <w:pPr>
              <w:spacing w:line="520" w:lineRule="exact"/>
              <w:ind w:firstLine="480" w:firstLineChars="200"/>
              <w:rPr>
                <w:sz w:val="24"/>
              </w:rPr>
            </w:pPr>
            <w:r>
              <w:rPr>
                <w:sz w:val="24"/>
              </w:rPr>
              <w:t>本项目产生的废气主要是生产过程中产生的粉尘和油烟、异味以及燃料废气。粉尘为备料时排放量为0.3t/a，用移动式工业吸尘器进行收尘等措施后无组织排放。搅拌投料时粉尘产生量为4.6t/a，经</w:t>
            </w:r>
            <w:r>
              <w:rPr>
                <w:rFonts w:hint="eastAsia"/>
                <w:sz w:val="24"/>
              </w:rPr>
              <w:t>袋</w:t>
            </w:r>
            <w:r>
              <w:rPr>
                <w:sz w:val="24"/>
              </w:rPr>
              <w:t>式除尘器处理后经15m高排气筒</w:t>
            </w:r>
            <w:r>
              <w:rPr>
                <w:rFonts w:hint="eastAsia"/>
                <w:sz w:val="24"/>
              </w:rPr>
              <w:t>（P1）</w:t>
            </w:r>
            <w:r>
              <w:rPr>
                <w:sz w:val="24"/>
              </w:rPr>
              <w:t>排放，排放量为0.046t/a。 粉尘经处理后满足《大气污染物综合排放标准》（GB16297-1996）。</w:t>
            </w:r>
          </w:p>
          <w:p>
            <w:pPr>
              <w:autoSpaceDE w:val="0"/>
              <w:spacing w:line="520" w:lineRule="exact"/>
              <w:ind w:firstLine="480" w:firstLineChars="200"/>
              <w:rPr>
                <w:rFonts w:hint="eastAsia" w:ascii="宋体" w:hAnsi="宋体" w:cs="宋体"/>
                <w:sz w:val="24"/>
              </w:rPr>
            </w:pPr>
            <w:r>
              <w:rPr>
                <w:rFonts w:hint="eastAsia" w:ascii="宋体" w:hAnsi="宋体" w:cs="宋体"/>
                <w:sz w:val="24"/>
              </w:rPr>
              <w:t>油炸工段产生的油烟量为1t/a，评价要求在油炸锅上方设置集气罩收集油烟，再经静电油烟净化装置处理后</w:t>
            </w:r>
            <w:r>
              <w:rPr>
                <w:rFonts w:hint="eastAsia"/>
                <w:sz w:val="24"/>
              </w:rPr>
              <w:t>经用15m排气</w:t>
            </w:r>
            <w:r>
              <w:rPr>
                <w:rFonts w:hint="eastAsia"/>
                <w:color w:val="000000"/>
                <w:sz w:val="24"/>
              </w:rPr>
              <w:t>筒（P2）排放</w:t>
            </w:r>
            <w:r>
              <w:rPr>
                <w:rFonts w:hint="eastAsia" w:ascii="宋体" w:hAnsi="宋体" w:cs="宋体"/>
                <w:sz w:val="24"/>
              </w:rPr>
              <w:t>。处理后，油烟排放量为0.05t/a。油烟排放浓度可</w:t>
            </w:r>
            <w:r>
              <w:rPr>
                <w:rFonts w:hint="eastAsia"/>
                <w:b w:val="0"/>
                <w:bCs/>
                <w:sz w:val="24"/>
                <w:highlight w:val="none"/>
                <w:u w:val="none"/>
                <w:lang w:eastAsia="zh-CN"/>
              </w:rPr>
              <w:t>满足《餐饮业油烟污染物排放标准》（DB41/1604-2018）要求的1.5mg/m</w:t>
            </w:r>
            <w:r>
              <w:rPr>
                <w:rFonts w:hint="eastAsia"/>
                <w:b w:val="0"/>
                <w:bCs/>
                <w:sz w:val="24"/>
                <w:highlight w:val="none"/>
                <w:u w:val="none"/>
                <w:vertAlign w:val="superscript"/>
                <w:lang w:eastAsia="zh-CN"/>
              </w:rPr>
              <w:t>3</w:t>
            </w:r>
            <w:r>
              <w:rPr>
                <w:rFonts w:hint="eastAsia" w:ascii="宋体" w:hAnsi="宋体" w:cs="宋体"/>
                <w:sz w:val="24"/>
              </w:rPr>
              <w:t>。</w:t>
            </w:r>
          </w:p>
          <w:p>
            <w:pPr>
              <w:spacing w:line="520" w:lineRule="exact"/>
              <w:ind w:firstLine="480" w:firstLineChars="200"/>
              <w:rPr>
                <w:rFonts w:hint="eastAsia" w:eastAsia="宋体"/>
                <w:lang w:eastAsia="zh-CN"/>
              </w:rPr>
            </w:pPr>
            <w:r>
              <w:rPr>
                <w:rFonts w:hint="eastAsia" w:ascii="宋体" w:hAnsi="宋体" w:cs="宋体"/>
                <w:sz w:val="24"/>
              </w:rPr>
              <w:t>油炸锅以天然气为燃料，</w:t>
            </w:r>
            <w:r>
              <w:rPr>
                <w:rFonts w:hint="eastAsia"/>
                <w:sz w:val="24"/>
              </w:rPr>
              <w:t>经计算</w:t>
            </w:r>
            <w:r>
              <w:rPr>
                <w:rFonts w:hint="eastAsia"/>
                <w:kern w:val="0"/>
                <w:sz w:val="24"/>
              </w:rPr>
              <w:t>废气量为9.6万m</w:t>
            </w:r>
            <w:r>
              <w:rPr>
                <w:rFonts w:hint="eastAsia"/>
                <w:kern w:val="0"/>
                <w:sz w:val="24"/>
                <w:vertAlign w:val="superscript"/>
              </w:rPr>
              <w:t>3</w:t>
            </w:r>
            <w:r>
              <w:rPr>
                <w:rFonts w:hint="eastAsia"/>
                <w:kern w:val="0"/>
                <w:sz w:val="24"/>
              </w:rPr>
              <w:t>/a，颗粒物排放量为0.015t/a，排放浓度为11.2mg/m</w:t>
            </w:r>
            <w:r>
              <w:rPr>
                <w:rFonts w:hint="eastAsia"/>
                <w:kern w:val="0"/>
                <w:sz w:val="24"/>
                <w:vertAlign w:val="superscript"/>
              </w:rPr>
              <w:t>3</w:t>
            </w:r>
            <w:r>
              <w:rPr>
                <w:rFonts w:hint="eastAsia"/>
                <w:kern w:val="0"/>
                <w:sz w:val="24"/>
              </w:rPr>
              <w:t>，SO</w:t>
            </w:r>
            <w:r>
              <w:rPr>
                <w:rFonts w:hint="eastAsia"/>
                <w:kern w:val="0"/>
                <w:sz w:val="24"/>
                <w:vertAlign w:val="subscript"/>
              </w:rPr>
              <w:t>2</w:t>
            </w:r>
            <w:r>
              <w:rPr>
                <w:rFonts w:hint="eastAsia"/>
                <w:kern w:val="0"/>
                <w:sz w:val="24"/>
              </w:rPr>
              <w:t>排放量为0.0384t/a，排放浓度为28.6mg/m</w:t>
            </w:r>
            <w:r>
              <w:rPr>
                <w:rFonts w:hint="eastAsia"/>
                <w:kern w:val="0"/>
                <w:sz w:val="24"/>
                <w:vertAlign w:val="superscript"/>
              </w:rPr>
              <w:t>3</w:t>
            </w:r>
            <w:r>
              <w:rPr>
                <w:rFonts w:hint="eastAsia"/>
                <w:kern w:val="0"/>
                <w:sz w:val="24"/>
              </w:rPr>
              <w:t>，NO</w:t>
            </w:r>
            <w:r>
              <w:rPr>
                <w:rFonts w:hint="eastAsia"/>
                <w:kern w:val="0"/>
                <w:sz w:val="24"/>
                <w:vertAlign w:val="subscript"/>
              </w:rPr>
              <w:t>X</w:t>
            </w:r>
            <w:r>
              <w:rPr>
                <w:rFonts w:hint="eastAsia"/>
                <w:kern w:val="0"/>
                <w:sz w:val="24"/>
              </w:rPr>
              <w:t>排放量为0.18t/a，排放浓度为134.0mg/m</w:t>
            </w:r>
            <w:r>
              <w:rPr>
                <w:rFonts w:hint="eastAsia"/>
                <w:kern w:val="0"/>
                <w:sz w:val="24"/>
                <w:vertAlign w:val="superscript"/>
              </w:rPr>
              <w:t>3</w:t>
            </w:r>
            <w:r>
              <w:rPr>
                <w:rFonts w:hint="eastAsia"/>
                <w:kern w:val="0"/>
                <w:sz w:val="24"/>
              </w:rPr>
              <w:t>，废气经15m高的排气筒（P3）高空排</w:t>
            </w:r>
            <w:r>
              <w:rPr>
                <w:rFonts w:hint="eastAsia" w:ascii="宋体" w:hAnsi="宋体" w:cs="宋体"/>
                <w:sz w:val="24"/>
              </w:rPr>
              <w:t>放。满足《锅炉大气污染物排放标准》（GB13271-2014）。综上，本项目废气采取评价提出的相应污染防治对策与措施，可做到废气达标排放，满足周围敏感点环境质量要求，对周围大气环境影响较小。</w:t>
            </w:r>
          </w:p>
          <w:p>
            <w:pPr>
              <w:spacing w:line="520" w:lineRule="exact"/>
              <w:ind w:firstLine="482" w:firstLineChars="200"/>
              <w:rPr>
                <w:rFonts w:hint="eastAsia" w:ascii="宋体" w:hAnsi="宋体" w:cs="宋体"/>
                <w:b/>
                <w:sz w:val="24"/>
              </w:rPr>
            </w:pPr>
          </w:p>
          <w:p>
            <w:pPr>
              <w:spacing w:line="520" w:lineRule="exact"/>
              <w:ind w:firstLine="482" w:firstLineChars="200"/>
              <w:rPr>
                <w:rFonts w:hint="eastAsia" w:ascii="宋体" w:hAnsi="宋体" w:cs="宋体"/>
                <w:b/>
                <w:sz w:val="24"/>
              </w:rPr>
            </w:pPr>
            <w:r>
              <w:rPr>
                <w:rFonts w:hint="eastAsia" w:ascii="宋体" w:hAnsi="宋体" w:cs="宋体"/>
                <w:b/>
                <w:sz w:val="24"/>
              </w:rPr>
              <w:t>5.2水环境影响分析结论</w:t>
            </w:r>
          </w:p>
          <w:p>
            <w:pPr>
              <w:spacing w:line="520" w:lineRule="exact"/>
              <w:ind w:firstLine="480" w:firstLineChars="200"/>
              <w:rPr>
                <w:rFonts w:hint="eastAsia" w:ascii="宋体" w:hAnsi="宋体" w:cs="宋体"/>
                <w:sz w:val="24"/>
              </w:rPr>
            </w:pPr>
            <w:r>
              <w:rPr>
                <w:rFonts w:hint="eastAsia" w:ascii="宋体" w:hAnsi="宋体" w:cs="宋体"/>
                <w:sz w:val="24"/>
              </w:rPr>
              <w:t>本项目用水主要为员工办公生活产生的生活污水，生活污水经化粪池收集处理后，由项目单位定期清运，用于沤制农家肥，不外排，本项目无生产废水外排。</w:t>
            </w:r>
          </w:p>
          <w:p>
            <w:pPr>
              <w:spacing w:line="520" w:lineRule="exact"/>
              <w:ind w:firstLine="482" w:firstLineChars="200"/>
              <w:rPr>
                <w:rFonts w:hint="eastAsia" w:ascii="宋体" w:hAnsi="宋体" w:cs="宋体"/>
                <w:b/>
                <w:sz w:val="24"/>
              </w:rPr>
            </w:pPr>
            <w:r>
              <w:rPr>
                <w:rFonts w:hint="eastAsia" w:ascii="宋体" w:hAnsi="宋体" w:cs="宋体"/>
                <w:b/>
                <w:sz w:val="24"/>
              </w:rPr>
              <w:t>5.3噪声影响分析结论</w:t>
            </w:r>
            <w:r>
              <w:rPr>
                <w:rFonts w:hint="eastAsia" w:ascii="宋体" w:hAnsi="宋体" w:cs="宋体"/>
                <w:b/>
                <w:sz w:val="24"/>
              </w:rPr>
              <w:tab/>
            </w:r>
          </w:p>
          <w:p>
            <w:pPr>
              <w:spacing w:line="520" w:lineRule="exact"/>
              <w:ind w:firstLine="480" w:firstLineChars="200"/>
              <w:rPr>
                <w:rFonts w:hint="eastAsia" w:ascii="宋体" w:hAnsi="宋体" w:cs="宋体"/>
                <w:sz w:val="24"/>
              </w:rPr>
            </w:pPr>
            <w:r>
              <w:rPr>
                <w:rFonts w:hint="eastAsia"/>
                <w:sz w:val="24"/>
              </w:rPr>
              <w:t>运营期</w:t>
            </w:r>
            <w:r>
              <w:rPr>
                <w:bCs/>
                <w:sz w:val="24"/>
              </w:rPr>
              <w:t>主要为</w:t>
            </w:r>
            <w:r>
              <w:rPr>
                <w:rFonts w:hint="eastAsia"/>
                <w:sz w:val="24"/>
              </w:rPr>
              <w:t>挤出机</w:t>
            </w:r>
            <w:r>
              <w:rPr>
                <w:sz w:val="24"/>
              </w:rPr>
              <w:t>、</w:t>
            </w:r>
            <w:r>
              <w:rPr>
                <w:rFonts w:hint="eastAsia"/>
                <w:sz w:val="24"/>
              </w:rPr>
              <w:t>拌面机</w:t>
            </w:r>
            <w:r>
              <w:rPr>
                <w:sz w:val="24"/>
              </w:rPr>
              <w:t>、</w:t>
            </w:r>
            <w:r>
              <w:rPr>
                <w:rFonts w:hint="eastAsia"/>
                <w:sz w:val="24"/>
              </w:rPr>
              <w:t>膨化机、拌料机、成型机</w:t>
            </w:r>
            <w:r>
              <w:rPr>
                <w:bCs/>
                <w:sz w:val="24"/>
              </w:rPr>
              <w:t>等运行过程中产生的噪声</w:t>
            </w:r>
            <w:r>
              <w:rPr>
                <w:rFonts w:hint="eastAsia" w:ascii="宋体" w:hAnsi="宋体" w:cs="宋体"/>
                <w:sz w:val="24"/>
              </w:rPr>
              <w:t>，噪声源强在75～90dB(A)之间，经采取减振垫、厂房隔音等措施，项目厂界可以达到《工业企业厂界环境噪声排放标准》（GB12348-2008）2类标准。</w:t>
            </w:r>
          </w:p>
          <w:p>
            <w:pPr>
              <w:spacing w:line="520" w:lineRule="exact"/>
              <w:ind w:firstLine="482" w:firstLineChars="200"/>
              <w:rPr>
                <w:rFonts w:hint="eastAsia" w:ascii="宋体" w:hAnsi="宋体" w:cs="宋体"/>
                <w:b/>
                <w:sz w:val="24"/>
              </w:rPr>
            </w:pPr>
            <w:r>
              <w:rPr>
                <w:rFonts w:hint="eastAsia" w:ascii="宋体" w:hAnsi="宋体" w:cs="宋体"/>
                <w:b/>
                <w:sz w:val="24"/>
              </w:rPr>
              <w:t>5.4固废影响分析结论</w:t>
            </w:r>
          </w:p>
          <w:p>
            <w:pPr>
              <w:spacing w:line="520" w:lineRule="exact"/>
              <w:ind w:firstLine="480" w:firstLineChars="200"/>
              <w:rPr>
                <w:rFonts w:hint="eastAsia"/>
                <w:sz w:val="24"/>
              </w:rPr>
            </w:pPr>
            <w:r>
              <w:rPr>
                <w:rFonts w:hint="eastAsia"/>
                <w:sz w:val="24"/>
              </w:rPr>
              <w:t>本工程产生的固体废物包括生活垃圾和生产固废，均为一般固废。生活垃圾产生量为</w:t>
            </w:r>
            <w:r>
              <w:rPr>
                <w:rFonts w:hint="eastAsia"/>
                <w:sz w:val="24"/>
                <w:highlight w:val="none"/>
                <w:lang w:eastAsia="zh-CN"/>
              </w:rPr>
              <w:t>4.02</w:t>
            </w:r>
            <w:r>
              <w:rPr>
                <w:rFonts w:hint="eastAsia"/>
                <w:sz w:val="24"/>
                <w:highlight w:val="none"/>
                <w:lang w:val="en-US" w:eastAsia="zh-CN"/>
              </w:rPr>
              <w:t>t/a</w:t>
            </w:r>
            <w:r>
              <w:rPr>
                <w:rFonts w:hint="eastAsia"/>
                <w:sz w:val="24"/>
                <w:highlight w:val="none"/>
              </w:rPr>
              <w:t>，</w:t>
            </w:r>
            <w:r>
              <w:rPr>
                <w:rFonts w:hint="eastAsia"/>
                <w:sz w:val="24"/>
              </w:rPr>
              <w:t>定期由环卫部门清运；废包装材料产生量为8t/a，集中收集后定期出售给废品收购站；废油产生量为24t/a，定期交由废油脂集中处置单位回收处置；废油渣产生量为3t/a，采用固定容器进行收集，及时外售给养殖场等生产单位作饲料。固废合理处理后对环境影响很小，措施可行。</w:t>
            </w:r>
          </w:p>
          <w:p>
            <w:pPr>
              <w:spacing w:line="520" w:lineRule="exact"/>
              <w:ind w:firstLine="480" w:firstLineChars="200"/>
              <w:rPr>
                <w:rFonts w:hint="eastAsia"/>
                <w:bCs/>
                <w:sz w:val="24"/>
                <w:highlight w:val="none"/>
              </w:rPr>
            </w:pPr>
            <w:r>
              <w:rPr>
                <w:bCs/>
                <w:sz w:val="24"/>
              </w:rPr>
              <w:t>评价结论：本项目的建设符合国家产业政策和城乡发展规划，在严格执行有关环保法规和“三同时”制度，落实本环评提出的污染防治措施后，污染物能够达标排放，从环境保护角度而言</w:t>
            </w:r>
            <w:r>
              <w:rPr>
                <w:bCs/>
                <w:sz w:val="24"/>
                <w:highlight w:val="none"/>
              </w:rPr>
              <w:t>，项目选址合理，建设可行。</w:t>
            </w:r>
          </w:p>
          <w:p>
            <w:pPr>
              <w:spacing w:line="520" w:lineRule="exact"/>
              <w:ind w:firstLine="480" w:firstLineChars="200"/>
              <w:rPr>
                <w:rFonts w:hint="eastAsia" w:ascii="宋体" w:hAnsi="宋体" w:cs="宋体"/>
                <w:b/>
                <w:sz w:val="24"/>
                <w:highlight w:val="none"/>
              </w:rPr>
            </w:pPr>
            <w:r>
              <w:rPr>
                <w:rFonts w:hint="eastAsia"/>
                <w:sz w:val="24"/>
                <w:highlight w:val="none"/>
              </w:rPr>
              <w:t>二</w:t>
            </w:r>
            <w:r>
              <w:rPr>
                <w:rFonts w:hint="eastAsia" w:ascii="宋体" w:hAnsi="宋体" w:cs="宋体"/>
                <w:b/>
                <w:sz w:val="24"/>
                <w:highlight w:val="none"/>
              </w:rPr>
              <w:t>、建议</w:t>
            </w:r>
          </w:p>
          <w:p>
            <w:pPr>
              <w:keepNext/>
              <w:keepLines/>
              <w:spacing w:line="520" w:lineRule="exact"/>
              <w:ind w:firstLine="480" w:firstLineChars="200"/>
              <w:rPr>
                <w:rFonts w:hint="eastAsia"/>
                <w:sz w:val="24"/>
                <w:highlight w:val="none"/>
              </w:rPr>
            </w:pPr>
            <w:r>
              <w:rPr>
                <w:rFonts w:hint="eastAsia"/>
                <w:sz w:val="24"/>
                <w:highlight w:val="none"/>
              </w:rPr>
              <w:t>1、总量控制指标：</w:t>
            </w:r>
          </w:p>
          <w:p>
            <w:pPr>
              <w:keepNext/>
              <w:keepLines/>
              <w:spacing w:line="520" w:lineRule="exact"/>
              <w:ind w:firstLine="480" w:firstLineChars="200"/>
              <w:rPr>
                <w:sz w:val="24"/>
                <w:highlight w:val="none"/>
              </w:rPr>
            </w:pPr>
            <w:r>
              <w:rPr>
                <w:sz w:val="24"/>
                <w:highlight w:val="none"/>
              </w:rPr>
              <w:t>本项目总量控制指标为SO</w:t>
            </w:r>
            <w:r>
              <w:rPr>
                <w:sz w:val="24"/>
                <w:highlight w:val="none"/>
                <w:vertAlign w:val="subscript"/>
              </w:rPr>
              <w:t>2</w:t>
            </w:r>
            <w:r>
              <w:rPr>
                <w:sz w:val="24"/>
                <w:highlight w:val="none"/>
              </w:rPr>
              <w:t xml:space="preserve"> </w:t>
            </w:r>
            <w:r>
              <w:rPr>
                <w:rFonts w:hint="eastAsia"/>
                <w:sz w:val="24"/>
                <w:highlight w:val="none"/>
              </w:rPr>
              <w:t>0.0384</w:t>
            </w:r>
            <w:r>
              <w:rPr>
                <w:sz w:val="24"/>
                <w:highlight w:val="none"/>
              </w:rPr>
              <w:t>t/a，NOx</w:t>
            </w:r>
            <w:r>
              <w:rPr>
                <w:rFonts w:hint="eastAsia"/>
                <w:sz w:val="24"/>
                <w:highlight w:val="none"/>
              </w:rPr>
              <w:t>0.18</w:t>
            </w:r>
            <w:r>
              <w:rPr>
                <w:sz w:val="24"/>
                <w:highlight w:val="none"/>
              </w:rPr>
              <w:t>t/a，COD 0t/a，氨氮 0t/a。</w:t>
            </w:r>
          </w:p>
          <w:p>
            <w:pPr>
              <w:keepNext/>
              <w:keepLines/>
              <w:spacing w:line="520" w:lineRule="exact"/>
              <w:ind w:firstLine="480" w:firstLineChars="200"/>
              <w:rPr>
                <w:rFonts w:hint="eastAsia"/>
                <w:sz w:val="24"/>
                <w:highlight w:val="none"/>
              </w:rPr>
            </w:pPr>
            <w:r>
              <w:rPr>
                <w:rFonts w:hint="eastAsia"/>
                <w:sz w:val="24"/>
                <w:highlight w:val="none"/>
              </w:rPr>
              <w:t>2、项目卫生防护距离为50m，</w:t>
            </w:r>
            <w:r>
              <w:rPr>
                <w:sz w:val="24"/>
                <w:highlight w:val="none"/>
              </w:rPr>
              <w:t>建议规划部门在卫生防护距离内不准再规划学校、医院、居民区等环境敏感点。</w:t>
            </w:r>
          </w:p>
          <w:p>
            <w:pPr>
              <w:keepNext/>
              <w:keepLines/>
              <w:spacing w:line="520" w:lineRule="exact"/>
              <w:ind w:firstLine="480" w:firstLineChars="200"/>
              <w:rPr>
                <w:sz w:val="24"/>
                <w:highlight w:val="none"/>
              </w:rPr>
            </w:pPr>
            <w:r>
              <w:rPr>
                <w:rFonts w:hint="eastAsia"/>
                <w:sz w:val="24"/>
                <w:highlight w:val="none"/>
              </w:rPr>
              <w:t>3</w:t>
            </w:r>
            <w:r>
              <w:rPr>
                <w:sz w:val="24"/>
                <w:highlight w:val="none"/>
              </w:rPr>
              <w:t>、设备要定期检查、维修，确保噪声达标排放；</w:t>
            </w:r>
          </w:p>
          <w:p>
            <w:pPr>
              <w:keepNext/>
              <w:keepLines/>
              <w:spacing w:line="520" w:lineRule="exact"/>
              <w:ind w:firstLine="480" w:firstLineChars="200"/>
              <w:rPr>
                <w:sz w:val="24"/>
                <w:highlight w:val="none"/>
              </w:rPr>
            </w:pPr>
            <w:r>
              <w:rPr>
                <w:rFonts w:hint="eastAsia"/>
                <w:sz w:val="24"/>
                <w:highlight w:val="none"/>
              </w:rPr>
              <w:t>4</w:t>
            </w:r>
            <w:r>
              <w:rPr>
                <w:sz w:val="24"/>
                <w:highlight w:val="none"/>
              </w:rPr>
              <w:t>、健全一套完善的环境管理制度，并严格按管理制度执行；</w:t>
            </w:r>
          </w:p>
          <w:p>
            <w:pPr>
              <w:keepNext/>
              <w:keepLines/>
              <w:spacing w:line="520" w:lineRule="exact"/>
              <w:ind w:firstLine="480" w:firstLineChars="200"/>
              <w:rPr>
                <w:sz w:val="24"/>
                <w:highlight w:val="none"/>
              </w:rPr>
            </w:pPr>
            <w:r>
              <w:rPr>
                <w:rFonts w:hint="eastAsia"/>
                <w:sz w:val="24"/>
                <w:highlight w:val="none"/>
              </w:rPr>
              <w:t>5</w:t>
            </w:r>
            <w:r>
              <w:rPr>
                <w:sz w:val="24"/>
                <w:highlight w:val="none"/>
              </w:rPr>
              <w:t>、加强生产管理，提高员工生产操作的规范性，以减少不必要的物料浪费现象，从而减少污染物的产生量；</w:t>
            </w:r>
          </w:p>
          <w:p>
            <w:pPr>
              <w:keepNext/>
              <w:keepLines/>
              <w:spacing w:line="520" w:lineRule="exact"/>
              <w:ind w:firstLine="480" w:firstLineChars="200"/>
              <w:rPr>
                <w:sz w:val="24"/>
                <w:highlight w:val="none"/>
              </w:rPr>
            </w:pPr>
            <w:r>
              <w:rPr>
                <w:rFonts w:hint="eastAsia"/>
                <w:sz w:val="24"/>
                <w:highlight w:val="none"/>
              </w:rPr>
              <w:t>6</w:t>
            </w:r>
            <w:r>
              <w:rPr>
                <w:sz w:val="24"/>
                <w:highlight w:val="none"/>
              </w:rPr>
              <w:t>、确保环评建议的各项污染防治措施落到实处，切实履行好“三同时”制度；</w:t>
            </w:r>
          </w:p>
          <w:p>
            <w:pPr>
              <w:keepNext/>
              <w:keepLines/>
              <w:spacing w:line="520" w:lineRule="exact"/>
              <w:ind w:firstLine="480" w:firstLineChars="200"/>
              <w:rPr>
                <w:sz w:val="24"/>
                <w:highlight w:val="none"/>
              </w:rPr>
            </w:pPr>
            <w:r>
              <w:rPr>
                <w:rFonts w:hint="eastAsia"/>
                <w:sz w:val="24"/>
                <w:highlight w:val="none"/>
              </w:rPr>
              <w:t>7</w:t>
            </w:r>
            <w:r>
              <w:rPr>
                <w:sz w:val="24"/>
                <w:highlight w:val="none"/>
              </w:rPr>
              <w:t>、关心并积极听取可能受项目环境影响的附近人员、单位的反映，定期向当地环保部门汇报项目环境保护工作的情况，同时接受环境保护部门的监督和管理。遵守有关环境法律、法规，树立良好的企业形象，实现经济效益与社会效益、环境效益相统一。</w:t>
            </w:r>
          </w:p>
          <w:p>
            <w:pPr>
              <w:spacing w:line="520" w:lineRule="exact"/>
              <w:ind w:firstLine="472" w:firstLineChars="196"/>
              <w:rPr>
                <w:b/>
                <w:sz w:val="24"/>
                <w:highlight w:val="green"/>
              </w:rPr>
            </w:pPr>
          </w:p>
          <w:p>
            <w:pPr>
              <w:spacing w:line="280" w:lineRule="atLeast"/>
              <w:rPr>
                <w:b/>
                <w:sz w:val="24"/>
              </w:rPr>
            </w:pPr>
          </w:p>
        </w:tc>
      </w:tr>
    </w:tbl>
    <w:p>
      <w:pPr>
        <w:spacing w:line="60" w:lineRule="exact"/>
        <w:rPr>
          <w:sz w:val="24"/>
        </w:rPr>
      </w:pPr>
    </w:p>
    <w:tbl>
      <w:tblPr>
        <w:tblStyle w:val="28"/>
        <w:tblW w:w="928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317" w:hRule="atLeast"/>
          <w:jc w:val="center"/>
        </w:trPr>
        <w:tc>
          <w:tcPr>
            <w:tcW w:w="9286" w:type="dxa"/>
            <w:vAlign w:val="top"/>
          </w:tcPr>
          <w:p>
            <w:pPr>
              <w:spacing w:before="240"/>
              <w:rPr>
                <w:sz w:val="24"/>
              </w:rPr>
            </w:pPr>
            <w:r>
              <w:rPr>
                <w:sz w:val="24"/>
              </w:rPr>
              <w:t>审批意见：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pacing w:before="240"/>
              <w:rPr>
                <w:sz w:val="24"/>
              </w:rPr>
            </w:pPr>
          </w:p>
          <w:p>
            <w:pPr>
              <w:rPr>
                <w:sz w:val="24"/>
              </w:rPr>
            </w:pPr>
          </w:p>
          <w:p>
            <w:pPr>
              <w:rPr>
                <w:sz w:val="24"/>
              </w:rPr>
            </w:pPr>
          </w:p>
          <w:p>
            <w:pPr>
              <w:rPr>
                <w:sz w:val="24"/>
              </w:rPr>
            </w:pPr>
          </w:p>
          <w:p>
            <w:pPr>
              <w:rPr>
                <w:sz w:val="24"/>
              </w:rPr>
            </w:pPr>
            <w:r>
              <w:rPr>
                <w:sz w:val="24"/>
              </w:rPr>
              <w:t>经办人：</w:t>
            </w:r>
          </w:p>
          <w:p>
            <w:pPr>
              <w:jc w:val="center"/>
              <w:rPr>
                <w:sz w:val="24"/>
              </w:rPr>
            </w:pPr>
            <w:r>
              <w:rPr>
                <w:sz w:val="24"/>
              </w:rPr>
              <w:t xml:space="preserve">                          公章</w:t>
            </w:r>
          </w:p>
          <w:p>
            <w:pPr>
              <w:rPr>
                <w:sz w:val="24"/>
              </w:rPr>
            </w:pPr>
          </w:p>
          <w:p>
            <w:pPr>
              <w:jc w:val="center"/>
              <w:rPr>
                <w:sz w:val="24"/>
              </w:rPr>
            </w:pPr>
            <w:r>
              <w:rPr>
                <w:sz w:val="24"/>
              </w:rPr>
              <w:t xml:space="preserve">                            年   月   日</w:t>
            </w:r>
          </w:p>
        </w:tc>
      </w:tr>
    </w:tbl>
    <w:p>
      <w:r>
        <w:drawing>
          <wp:inline distT="0" distB="0" distL="114300" distR="114300">
            <wp:extent cx="4923790" cy="6933565"/>
            <wp:effectExtent l="0" t="0" r="10160" b="635"/>
            <wp:docPr id="1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pic:cNvPicPr>
                      <a:picLocks noChangeAspect="1"/>
                    </pic:cNvPicPr>
                  </pic:nvPicPr>
                  <pic:blipFill>
                    <a:blip r:embed="rId34"/>
                    <a:stretch>
                      <a:fillRect/>
                    </a:stretch>
                  </pic:blipFill>
                  <pic:spPr>
                    <a:xfrm>
                      <a:off x="0" y="0"/>
                      <a:ext cx="4923790" cy="6933565"/>
                    </a:xfrm>
                    <a:prstGeom prst="rect">
                      <a:avLst/>
                    </a:prstGeom>
                    <a:noFill/>
                    <a:ln w="9525">
                      <a:noFill/>
                    </a:ln>
                  </pic:spPr>
                </pic:pic>
              </a:graphicData>
            </a:graphic>
          </wp:inline>
        </w:drawing>
      </w:r>
      <w:r>
        <w:drawing>
          <wp:inline distT="0" distB="0" distL="114300" distR="114300">
            <wp:extent cx="4952365" cy="6800215"/>
            <wp:effectExtent l="0" t="0" r="635" b="635"/>
            <wp:docPr id="1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
                    <pic:cNvPicPr>
                      <a:picLocks noChangeAspect="1"/>
                    </pic:cNvPicPr>
                  </pic:nvPicPr>
                  <pic:blipFill>
                    <a:blip r:embed="rId35"/>
                    <a:stretch>
                      <a:fillRect/>
                    </a:stretch>
                  </pic:blipFill>
                  <pic:spPr>
                    <a:xfrm>
                      <a:off x="0" y="0"/>
                      <a:ext cx="4952365" cy="6800215"/>
                    </a:xfrm>
                    <a:prstGeom prst="rect">
                      <a:avLst/>
                    </a:prstGeom>
                    <a:noFill/>
                    <a:ln w="9525">
                      <a:noFill/>
                    </a:ln>
                  </pic:spPr>
                </pic:pic>
              </a:graphicData>
            </a:graphic>
          </wp:inline>
        </w:drawing>
      </w:r>
      <w:r>
        <w:drawing>
          <wp:inline distT="0" distB="0" distL="114300" distR="114300">
            <wp:extent cx="4933315" cy="7047865"/>
            <wp:effectExtent l="0" t="0" r="635" b="635"/>
            <wp:docPr id="1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pic:cNvPicPr>
                      <a:picLocks noChangeAspect="1"/>
                    </pic:cNvPicPr>
                  </pic:nvPicPr>
                  <pic:blipFill>
                    <a:blip r:embed="rId36"/>
                    <a:stretch>
                      <a:fillRect/>
                    </a:stretch>
                  </pic:blipFill>
                  <pic:spPr>
                    <a:xfrm>
                      <a:off x="0" y="0"/>
                      <a:ext cx="4933315" cy="7047865"/>
                    </a:xfrm>
                    <a:prstGeom prst="rect">
                      <a:avLst/>
                    </a:prstGeom>
                    <a:noFill/>
                    <a:ln w="9525">
                      <a:noFill/>
                    </a:ln>
                  </pic:spPr>
                </pic:pic>
              </a:graphicData>
            </a:graphic>
          </wp:inline>
        </w:drawing>
      </w:r>
      <w:r>
        <w:drawing>
          <wp:inline distT="0" distB="0" distL="114300" distR="114300">
            <wp:extent cx="4961890" cy="6981190"/>
            <wp:effectExtent l="0" t="0" r="10160" b="10160"/>
            <wp:docPr id="1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3"/>
                    <pic:cNvPicPr>
                      <a:picLocks noChangeAspect="1"/>
                    </pic:cNvPicPr>
                  </pic:nvPicPr>
                  <pic:blipFill>
                    <a:blip r:embed="rId37"/>
                    <a:stretch>
                      <a:fillRect/>
                    </a:stretch>
                  </pic:blipFill>
                  <pic:spPr>
                    <a:xfrm>
                      <a:off x="0" y="0"/>
                      <a:ext cx="4961890" cy="6981190"/>
                    </a:xfrm>
                    <a:prstGeom prst="rect">
                      <a:avLst/>
                    </a:prstGeom>
                    <a:noFill/>
                    <a:ln w="9525">
                      <a:noFill/>
                    </a:ln>
                  </pic:spPr>
                </pic:pic>
              </a:graphicData>
            </a:graphic>
          </wp:inline>
        </w:drawing>
      </w:r>
      <w:r>
        <w:drawing>
          <wp:inline distT="0" distB="0" distL="114300" distR="114300">
            <wp:extent cx="4961890" cy="7000240"/>
            <wp:effectExtent l="0" t="0" r="10160" b="10160"/>
            <wp:docPr id="10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4"/>
                    <pic:cNvPicPr>
                      <a:picLocks noChangeAspect="1"/>
                    </pic:cNvPicPr>
                  </pic:nvPicPr>
                  <pic:blipFill>
                    <a:blip r:embed="rId38"/>
                    <a:stretch>
                      <a:fillRect/>
                    </a:stretch>
                  </pic:blipFill>
                  <pic:spPr>
                    <a:xfrm>
                      <a:off x="0" y="0"/>
                      <a:ext cx="4961890" cy="7000240"/>
                    </a:xfrm>
                    <a:prstGeom prst="rect">
                      <a:avLst/>
                    </a:prstGeom>
                    <a:noFill/>
                    <a:ln w="9525">
                      <a:noFill/>
                    </a:ln>
                  </pic:spPr>
                </pic:pic>
              </a:graphicData>
            </a:graphic>
          </wp:inline>
        </w:drawing>
      </w:r>
      <w:r>
        <w:drawing>
          <wp:inline distT="0" distB="0" distL="114300" distR="114300">
            <wp:extent cx="4961890" cy="6971665"/>
            <wp:effectExtent l="0" t="0" r="10160" b="635"/>
            <wp:docPr id="10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5"/>
                    <pic:cNvPicPr>
                      <a:picLocks noChangeAspect="1"/>
                    </pic:cNvPicPr>
                  </pic:nvPicPr>
                  <pic:blipFill>
                    <a:blip r:embed="rId39"/>
                    <a:stretch>
                      <a:fillRect/>
                    </a:stretch>
                  </pic:blipFill>
                  <pic:spPr>
                    <a:xfrm>
                      <a:off x="0" y="0"/>
                      <a:ext cx="4961890" cy="6971665"/>
                    </a:xfrm>
                    <a:prstGeom prst="rect">
                      <a:avLst/>
                    </a:prstGeom>
                    <a:noFill/>
                    <a:ln w="9525">
                      <a:noFill/>
                    </a:ln>
                  </pic:spPr>
                </pic:pic>
              </a:graphicData>
            </a:graphic>
          </wp:inline>
        </w:drawing>
      </w:r>
      <w:r>
        <w:rPr>
          <w:rFonts w:hint="eastAsia" w:eastAsia="宋体"/>
          <w:lang w:eastAsia="zh-CN"/>
        </w:rPr>
        <w:drawing>
          <wp:inline distT="0" distB="0" distL="114300" distR="114300">
            <wp:extent cx="5267960" cy="7450455"/>
            <wp:effectExtent l="0" t="0" r="8890" b="17145"/>
            <wp:docPr id="110" name="图片 16" descr="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6" descr="备案"/>
                    <pic:cNvPicPr>
                      <a:picLocks noChangeAspect="1"/>
                    </pic:cNvPicPr>
                  </pic:nvPicPr>
                  <pic:blipFill>
                    <a:blip r:embed="rId40"/>
                    <a:stretch>
                      <a:fillRect/>
                    </a:stretch>
                  </pic:blipFill>
                  <pic:spPr>
                    <a:xfrm>
                      <a:off x="0" y="0"/>
                      <a:ext cx="5267960" cy="7450455"/>
                    </a:xfrm>
                    <a:prstGeom prst="rect">
                      <a:avLst/>
                    </a:prstGeom>
                    <a:noFill/>
                    <a:ln w="9525">
                      <a:noFill/>
                    </a:ln>
                  </pic:spPr>
                </pic:pic>
              </a:graphicData>
            </a:graphic>
          </wp:inline>
        </w:drawing>
      </w:r>
      <w:r>
        <w:rPr>
          <w:rFonts w:hint="eastAsia" w:eastAsia="宋体"/>
          <w:lang w:eastAsia="zh-CN"/>
        </w:rPr>
        <w:drawing>
          <wp:inline distT="0" distB="0" distL="114300" distR="114300">
            <wp:extent cx="5714365" cy="8354695"/>
            <wp:effectExtent l="0" t="0" r="635" b="8255"/>
            <wp:docPr id="111" name="图片 17" descr="土地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descr="土地证明"/>
                    <pic:cNvPicPr>
                      <a:picLocks noChangeAspect="1"/>
                    </pic:cNvPicPr>
                  </pic:nvPicPr>
                  <pic:blipFill>
                    <a:blip r:embed="rId41"/>
                    <a:srcRect l="-24"/>
                    <a:stretch>
                      <a:fillRect/>
                    </a:stretch>
                  </pic:blipFill>
                  <pic:spPr>
                    <a:xfrm>
                      <a:off x="0" y="0"/>
                      <a:ext cx="5714365" cy="8354695"/>
                    </a:xfrm>
                    <a:prstGeom prst="rect">
                      <a:avLst/>
                    </a:prstGeom>
                    <a:noFill/>
                    <a:ln w="9525">
                      <a:noFill/>
                    </a:ln>
                  </pic:spPr>
                </pic:pic>
              </a:graphicData>
            </a:graphic>
          </wp:inline>
        </w:drawing>
      </w:r>
      <w:r>
        <w:rPr>
          <w:rFonts w:hint="eastAsia" w:eastAsia="宋体"/>
          <w:lang w:eastAsia="zh-CN"/>
        </w:rPr>
        <w:drawing>
          <wp:inline distT="0" distB="0" distL="114300" distR="114300">
            <wp:extent cx="5267325" cy="7051675"/>
            <wp:effectExtent l="0" t="0" r="9525" b="15875"/>
            <wp:docPr id="112" name="图片 18" descr="规划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 descr="规划证明"/>
                    <pic:cNvPicPr>
                      <a:picLocks noChangeAspect="1"/>
                    </pic:cNvPicPr>
                  </pic:nvPicPr>
                  <pic:blipFill>
                    <a:blip r:embed="rId42"/>
                    <a:srcRect l="-24"/>
                    <a:stretch>
                      <a:fillRect/>
                    </a:stretch>
                  </pic:blipFill>
                  <pic:spPr>
                    <a:xfrm>
                      <a:off x="0" y="0"/>
                      <a:ext cx="5267325" cy="7051675"/>
                    </a:xfrm>
                    <a:prstGeom prst="rect">
                      <a:avLst/>
                    </a:prstGeom>
                    <a:noFill/>
                    <a:ln w="9525">
                      <a:noFill/>
                    </a:ln>
                  </pic:spPr>
                </pic:pic>
              </a:graphicData>
            </a:graphic>
          </wp:inline>
        </w:drawing>
      </w:r>
      <w:r>
        <w:rPr>
          <w:rFonts w:hint="eastAsia" w:eastAsia="宋体"/>
          <w:lang w:eastAsia="zh-CN"/>
        </w:rPr>
        <w:drawing>
          <wp:inline distT="0" distB="0" distL="114300" distR="114300">
            <wp:extent cx="5267960" cy="7450455"/>
            <wp:effectExtent l="0" t="0" r="8890" b="17145"/>
            <wp:docPr id="113" name="图片 19" descr="测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9" descr="测绘图"/>
                    <pic:cNvPicPr>
                      <a:picLocks noChangeAspect="1"/>
                    </pic:cNvPicPr>
                  </pic:nvPicPr>
                  <pic:blipFill>
                    <a:blip r:embed="rId43"/>
                    <a:stretch>
                      <a:fillRect/>
                    </a:stretch>
                  </pic:blipFill>
                  <pic:spPr>
                    <a:xfrm>
                      <a:off x="0" y="0"/>
                      <a:ext cx="5267960" cy="7450455"/>
                    </a:xfrm>
                    <a:prstGeom prst="rect">
                      <a:avLst/>
                    </a:prstGeom>
                    <a:noFill/>
                    <a:ln w="9525">
                      <a:noFill/>
                    </a:ln>
                  </pic:spPr>
                </pic:pic>
              </a:graphicData>
            </a:graphic>
          </wp:inline>
        </w:drawing>
      </w:r>
      <w:r>
        <w:rPr>
          <w:rFonts w:hint="eastAsia" w:eastAsia="宋体"/>
          <w:lang w:eastAsia="zh-CN"/>
        </w:rPr>
        <w:drawing>
          <wp:inline distT="0" distB="0" distL="114300" distR="114300">
            <wp:extent cx="5267960" cy="7450455"/>
            <wp:effectExtent l="0" t="0" r="8890" b="17145"/>
            <wp:docPr id="114" name="图片 20" descr="界址坐标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0" descr="界址坐标点"/>
                    <pic:cNvPicPr>
                      <a:picLocks noChangeAspect="1"/>
                    </pic:cNvPicPr>
                  </pic:nvPicPr>
                  <pic:blipFill>
                    <a:blip r:embed="rId44"/>
                    <a:stretch>
                      <a:fillRect/>
                    </a:stretch>
                  </pic:blipFill>
                  <pic:spPr>
                    <a:xfrm>
                      <a:off x="0" y="0"/>
                      <a:ext cx="5267960" cy="7450455"/>
                    </a:xfrm>
                    <a:prstGeom prst="rect">
                      <a:avLst/>
                    </a:prstGeom>
                    <a:noFill/>
                    <a:ln w="9525">
                      <a:noFill/>
                    </a:ln>
                  </pic:spPr>
                </pic:pic>
              </a:graphicData>
            </a:graphic>
          </wp:inline>
        </w:drawing>
      </w:r>
      <w:r>
        <w:rPr>
          <w:rFonts w:hint="eastAsia" w:eastAsia="宋体"/>
          <w:lang w:eastAsia="zh-CN"/>
        </w:rPr>
        <w:drawing>
          <wp:inline distT="0" distB="0" distL="114300" distR="114300">
            <wp:extent cx="5300980" cy="8850630"/>
            <wp:effectExtent l="0" t="0" r="13970" b="7620"/>
            <wp:docPr id="115" name="图片 21" descr="引用水源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1" descr="引用水源证明"/>
                    <pic:cNvPicPr>
                      <a:picLocks noChangeAspect="1"/>
                    </pic:cNvPicPr>
                  </pic:nvPicPr>
                  <pic:blipFill>
                    <a:blip r:embed="rId45"/>
                    <a:srcRect l="-24"/>
                    <a:stretch>
                      <a:fillRect/>
                    </a:stretch>
                  </pic:blipFill>
                  <pic:spPr>
                    <a:xfrm>
                      <a:off x="0" y="0"/>
                      <a:ext cx="5300980" cy="8850630"/>
                    </a:xfrm>
                    <a:prstGeom prst="rect">
                      <a:avLst/>
                    </a:prstGeom>
                    <a:noFill/>
                    <a:ln w="9525">
                      <a:noFill/>
                    </a:ln>
                  </pic:spPr>
                </pic:pic>
              </a:graphicData>
            </a:graphic>
          </wp:inline>
        </w:drawing>
      </w:r>
      <w:r>
        <w:drawing>
          <wp:inline distT="0" distB="0" distL="114300" distR="114300">
            <wp:extent cx="5295265" cy="7295515"/>
            <wp:effectExtent l="0" t="0" r="635" b="635"/>
            <wp:docPr id="1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2"/>
                    <pic:cNvPicPr>
                      <a:picLocks noChangeAspect="1"/>
                    </pic:cNvPicPr>
                  </pic:nvPicPr>
                  <pic:blipFill>
                    <a:blip r:embed="rId46"/>
                    <a:stretch>
                      <a:fillRect/>
                    </a:stretch>
                  </pic:blipFill>
                  <pic:spPr>
                    <a:xfrm>
                      <a:off x="0" y="0"/>
                      <a:ext cx="5295265" cy="7295515"/>
                    </a:xfrm>
                    <a:prstGeom prst="rect">
                      <a:avLst/>
                    </a:prstGeom>
                    <a:noFill/>
                    <a:ln w="9525">
                      <a:noFill/>
                    </a:ln>
                  </pic:spPr>
                </pic:pic>
              </a:graphicData>
            </a:graphic>
          </wp:inline>
        </w:drawing>
      </w:r>
      <w:r>
        <w:drawing>
          <wp:inline distT="0" distB="0" distL="114300" distR="114300">
            <wp:extent cx="5446395" cy="7494270"/>
            <wp:effectExtent l="0" t="0" r="1905" b="11430"/>
            <wp:docPr id="1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
                    <pic:cNvPicPr>
                      <a:picLocks noChangeAspect="1"/>
                    </pic:cNvPicPr>
                  </pic:nvPicPr>
                  <pic:blipFill>
                    <a:blip r:embed="rId47"/>
                    <a:stretch>
                      <a:fillRect/>
                    </a:stretch>
                  </pic:blipFill>
                  <pic:spPr>
                    <a:xfrm>
                      <a:off x="0" y="0"/>
                      <a:ext cx="5446395" cy="7494270"/>
                    </a:xfrm>
                    <a:prstGeom prst="rect">
                      <a:avLst/>
                    </a:prstGeom>
                    <a:noFill/>
                    <a:ln w="9525">
                      <a:noFill/>
                    </a:ln>
                  </pic:spPr>
                </pic:pic>
              </a:graphicData>
            </a:graphic>
          </wp:inline>
        </w:drawing>
      </w:r>
      <w:r>
        <w:drawing>
          <wp:inline distT="0" distB="0" distL="114300" distR="114300">
            <wp:extent cx="4847590" cy="6704965"/>
            <wp:effectExtent l="0" t="0" r="10160" b="635"/>
            <wp:docPr id="1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4"/>
                    <pic:cNvPicPr>
                      <a:picLocks noChangeAspect="1"/>
                    </pic:cNvPicPr>
                  </pic:nvPicPr>
                  <pic:blipFill>
                    <a:blip r:embed="rId48"/>
                    <a:stretch>
                      <a:fillRect/>
                    </a:stretch>
                  </pic:blipFill>
                  <pic:spPr>
                    <a:xfrm>
                      <a:off x="0" y="0"/>
                      <a:ext cx="4847590" cy="6704965"/>
                    </a:xfrm>
                    <a:prstGeom prst="rect">
                      <a:avLst/>
                    </a:prstGeom>
                    <a:noFill/>
                    <a:ln w="9525">
                      <a:noFill/>
                    </a:ln>
                  </pic:spPr>
                </pic:pic>
              </a:graphicData>
            </a:graphic>
          </wp:inline>
        </w:drawing>
      </w:r>
      <w:r>
        <w:drawing>
          <wp:inline distT="0" distB="0" distL="114300" distR="114300">
            <wp:extent cx="5209540" cy="7480935"/>
            <wp:effectExtent l="0" t="0" r="10160" b="5715"/>
            <wp:docPr id="1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5"/>
                    <pic:cNvPicPr>
                      <a:picLocks noChangeAspect="1"/>
                    </pic:cNvPicPr>
                  </pic:nvPicPr>
                  <pic:blipFill>
                    <a:blip r:embed="rId49"/>
                    <a:stretch>
                      <a:fillRect/>
                    </a:stretch>
                  </pic:blipFill>
                  <pic:spPr>
                    <a:xfrm>
                      <a:off x="0" y="0"/>
                      <a:ext cx="5209540" cy="7480935"/>
                    </a:xfrm>
                    <a:prstGeom prst="rect">
                      <a:avLst/>
                    </a:prstGeom>
                    <a:noFill/>
                    <a:ln w="9525">
                      <a:noFill/>
                    </a:ln>
                  </pic:spPr>
                </pic:pic>
              </a:graphicData>
            </a:graphic>
          </wp:inline>
        </w:drawing>
      </w:r>
      <w:r>
        <w:drawing>
          <wp:inline distT="0" distB="0" distL="114300" distR="114300">
            <wp:extent cx="4771390" cy="6590665"/>
            <wp:effectExtent l="0" t="0" r="10160" b="635"/>
            <wp:docPr id="12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6"/>
                    <pic:cNvPicPr>
                      <a:picLocks noChangeAspect="1"/>
                    </pic:cNvPicPr>
                  </pic:nvPicPr>
                  <pic:blipFill>
                    <a:blip r:embed="rId50"/>
                    <a:stretch>
                      <a:fillRect/>
                    </a:stretch>
                  </pic:blipFill>
                  <pic:spPr>
                    <a:xfrm>
                      <a:off x="0" y="0"/>
                      <a:ext cx="4771390" cy="6590665"/>
                    </a:xfrm>
                    <a:prstGeom prst="rect">
                      <a:avLst/>
                    </a:prstGeom>
                    <a:noFill/>
                    <a:ln w="9525">
                      <a:noFill/>
                    </a:ln>
                  </pic:spPr>
                </pic:pic>
              </a:graphicData>
            </a:graphic>
          </wp:inline>
        </w:drawing>
      </w:r>
      <w:r>
        <w:drawing>
          <wp:inline distT="0" distB="0" distL="114300" distR="114300">
            <wp:extent cx="4742815" cy="6609715"/>
            <wp:effectExtent l="0" t="0" r="635" b="635"/>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51"/>
                    <a:stretch>
                      <a:fillRect/>
                    </a:stretch>
                  </pic:blipFill>
                  <pic:spPr>
                    <a:xfrm>
                      <a:off x="0" y="0"/>
                      <a:ext cx="4742815" cy="6609715"/>
                    </a:xfrm>
                    <a:prstGeom prst="rect">
                      <a:avLst/>
                    </a:prstGeom>
                    <a:noFill/>
                    <a:ln w="9525">
                      <a:noFill/>
                    </a:ln>
                  </pic:spPr>
                </pic:pic>
              </a:graphicData>
            </a:graphic>
          </wp:inline>
        </w:drawing>
      </w:r>
      <w:r>
        <w:drawing>
          <wp:inline distT="0" distB="0" distL="114300" distR="114300">
            <wp:extent cx="4552315" cy="6914515"/>
            <wp:effectExtent l="0" t="0" r="635" b="635"/>
            <wp:docPr id="1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8"/>
                    <pic:cNvPicPr>
                      <a:picLocks noChangeAspect="1"/>
                    </pic:cNvPicPr>
                  </pic:nvPicPr>
                  <pic:blipFill>
                    <a:blip r:embed="rId52"/>
                    <a:stretch>
                      <a:fillRect/>
                    </a:stretch>
                  </pic:blipFill>
                  <pic:spPr>
                    <a:xfrm>
                      <a:off x="0" y="0"/>
                      <a:ext cx="4552315" cy="6914515"/>
                    </a:xfrm>
                    <a:prstGeom prst="rect">
                      <a:avLst/>
                    </a:prstGeom>
                    <a:noFill/>
                    <a:ln w="9525">
                      <a:noFill/>
                    </a:ln>
                  </pic:spPr>
                </pic:pic>
              </a:graphicData>
            </a:graphic>
          </wp:inline>
        </w:drawing>
      </w:r>
    </w:p>
    <w:p>
      <w:pPr>
        <w:pStyle w:val="2"/>
      </w:pPr>
    </w:p>
    <w:p/>
    <w:p>
      <w:bookmarkStart w:id="9" w:name="_GoBack"/>
      <w:bookmarkEnd w:id="9"/>
    </w:p>
    <w:sectPr>
      <w:footerReference r:id="rId4"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Open Sans">
    <w:altName w:val="Segoe Print"/>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ihVJqR0CAAAjBAAA&#10;DgAAAAAAAAABACAAAAAfAQAAZHJzL2Uyb0RvYy54bWxQSwUGAAAAAAYABgBZAQAArg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CKzI+HHAIAACQEAAAO&#10;AAAAAAAAAAEAIAAAAB8BAABkcnMvZTJvRG9jLnhtbFBLBQYAAAAABgAGAFkBAACt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52BE3"/>
    <w:multiLevelType w:val="multilevel"/>
    <w:tmpl w:val="29752BE3"/>
    <w:lvl w:ilvl="0" w:tentative="0">
      <w:start w:val="1"/>
      <w:numFmt w:val="bullet"/>
      <w:lvlText w:val=""/>
      <w:lvlJc w:val="left"/>
      <w:pPr>
        <w:tabs>
          <w:tab w:val="left" w:pos="554"/>
        </w:tabs>
        <w:ind w:left="554" w:hanging="420"/>
      </w:pPr>
      <w:rPr>
        <w:rFonts w:hint="default" w:ascii="Wingdings" w:hAnsi="Wingdings"/>
      </w:rPr>
    </w:lvl>
    <w:lvl w:ilvl="1" w:tentative="0">
      <w:start w:val="1"/>
      <w:numFmt w:val="bullet"/>
      <w:lvlText w:val=""/>
      <w:lvlJc w:val="left"/>
      <w:pPr>
        <w:tabs>
          <w:tab w:val="left" w:pos="974"/>
        </w:tabs>
        <w:ind w:left="974" w:hanging="420"/>
      </w:pPr>
      <w:rPr>
        <w:rFonts w:hint="default" w:ascii="Wingdings" w:hAnsi="Wingdings"/>
      </w:rPr>
    </w:lvl>
    <w:lvl w:ilvl="2" w:tentative="0">
      <w:start w:val="1"/>
      <w:numFmt w:val="bullet"/>
      <w:lvlText w:val=""/>
      <w:lvlJc w:val="left"/>
      <w:pPr>
        <w:tabs>
          <w:tab w:val="left" w:pos="1394"/>
        </w:tabs>
        <w:ind w:left="1394" w:hanging="420"/>
      </w:pPr>
      <w:rPr>
        <w:rFonts w:hint="default" w:ascii="Wingdings" w:hAnsi="Wingdings"/>
      </w:rPr>
    </w:lvl>
    <w:lvl w:ilvl="3" w:tentative="0">
      <w:start w:val="1"/>
      <w:numFmt w:val="bullet"/>
      <w:lvlText w:val=""/>
      <w:lvlJc w:val="left"/>
      <w:pPr>
        <w:tabs>
          <w:tab w:val="left" w:pos="1814"/>
        </w:tabs>
        <w:ind w:left="1814" w:hanging="420"/>
      </w:pPr>
      <w:rPr>
        <w:rFonts w:hint="default" w:ascii="Wingdings" w:hAnsi="Wingdings"/>
      </w:rPr>
    </w:lvl>
    <w:lvl w:ilvl="4" w:tentative="0">
      <w:start w:val="1"/>
      <w:numFmt w:val="bullet"/>
      <w:lvlText w:val=""/>
      <w:lvlJc w:val="left"/>
      <w:pPr>
        <w:tabs>
          <w:tab w:val="left" w:pos="2234"/>
        </w:tabs>
        <w:ind w:left="2234" w:hanging="420"/>
      </w:pPr>
      <w:rPr>
        <w:rFonts w:hint="default" w:ascii="Wingdings" w:hAnsi="Wingdings"/>
      </w:rPr>
    </w:lvl>
    <w:lvl w:ilvl="5" w:tentative="0">
      <w:start w:val="1"/>
      <w:numFmt w:val="bullet"/>
      <w:lvlText w:val=""/>
      <w:lvlJc w:val="left"/>
      <w:pPr>
        <w:tabs>
          <w:tab w:val="left" w:pos="2654"/>
        </w:tabs>
        <w:ind w:left="2654" w:hanging="420"/>
      </w:pPr>
      <w:rPr>
        <w:rFonts w:hint="default" w:ascii="Wingdings" w:hAnsi="Wingdings"/>
      </w:rPr>
    </w:lvl>
    <w:lvl w:ilvl="6" w:tentative="0">
      <w:start w:val="1"/>
      <w:numFmt w:val="bullet"/>
      <w:lvlText w:val=""/>
      <w:lvlJc w:val="left"/>
      <w:pPr>
        <w:tabs>
          <w:tab w:val="left" w:pos="3074"/>
        </w:tabs>
        <w:ind w:left="3074" w:hanging="420"/>
      </w:pPr>
      <w:rPr>
        <w:rFonts w:hint="default" w:ascii="Wingdings" w:hAnsi="Wingdings"/>
      </w:rPr>
    </w:lvl>
    <w:lvl w:ilvl="7" w:tentative="0">
      <w:start w:val="1"/>
      <w:numFmt w:val="bullet"/>
      <w:lvlText w:val=""/>
      <w:lvlJc w:val="left"/>
      <w:pPr>
        <w:tabs>
          <w:tab w:val="left" w:pos="3494"/>
        </w:tabs>
        <w:ind w:left="3494" w:hanging="420"/>
      </w:pPr>
      <w:rPr>
        <w:rFonts w:hint="default" w:ascii="Wingdings" w:hAnsi="Wingdings"/>
      </w:rPr>
    </w:lvl>
    <w:lvl w:ilvl="8" w:tentative="0">
      <w:start w:val="1"/>
      <w:numFmt w:val="bullet"/>
      <w:lvlText w:val=""/>
      <w:lvlJc w:val="left"/>
      <w:pPr>
        <w:tabs>
          <w:tab w:val="left" w:pos="3914"/>
        </w:tabs>
        <w:ind w:left="3914" w:hanging="420"/>
      </w:pPr>
      <w:rPr>
        <w:rFonts w:hint="default" w:ascii="Wingdings" w:hAnsi="Wingdings"/>
      </w:rPr>
    </w:lvl>
  </w:abstractNum>
  <w:abstractNum w:abstractNumId="1">
    <w:nsid w:val="47F076EA"/>
    <w:multiLevelType w:val="singleLevel"/>
    <w:tmpl w:val="47F076EA"/>
    <w:lvl w:ilvl="0" w:tentative="0">
      <w:start w:val="1"/>
      <w:numFmt w:val="decimal"/>
      <w:suff w:val="nothing"/>
      <w:lvlText w:val="%1、"/>
      <w:lvlJc w:val="left"/>
    </w:lvl>
  </w:abstractNum>
  <w:abstractNum w:abstractNumId="2">
    <w:nsid w:val="53087318"/>
    <w:multiLevelType w:val="singleLevel"/>
    <w:tmpl w:val="53087318"/>
    <w:lvl w:ilvl="0" w:tentative="0">
      <w:start w:val="1"/>
      <w:numFmt w:val="decimal"/>
      <w:suff w:val="nothing"/>
      <w:lvlText w:val="%1、"/>
      <w:lvlJc w:val="left"/>
    </w:lvl>
  </w:abstractNum>
  <w:abstractNum w:abstractNumId="3">
    <w:nsid w:val="5444BF05"/>
    <w:multiLevelType w:val="singleLevel"/>
    <w:tmpl w:val="5444BF05"/>
    <w:lvl w:ilvl="0" w:tentative="0">
      <w:start w:val="2"/>
      <w:numFmt w:val="decimal"/>
      <w:suff w:val="nothing"/>
      <w:lvlText w:val="（%1）"/>
      <w:lvlJc w:val="left"/>
    </w:lvl>
  </w:abstractNum>
  <w:abstractNum w:abstractNumId="4">
    <w:nsid w:val="5C0F881D"/>
    <w:multiLevelType w:val="singleLevel"/>
    <w:tmpl w:val="5C0F881D"/>
    <w:lvl w:ilvl="0" w:tentative="0">
      <w:start w:val="1"/>
      <w:numFmt w:val="decimal"/>
      <w:suff w:val="nothing"/>
      <w:lvlText w:val="（%1）"/>
      <w:lvlJc w:val="left"/>
    </w:lvl>
  </w:abstractNum>
  <w:num w:numId="1">
    <w:abstractNumId w:val="2"/>
  </w:num>
  <w:num w:numId="2">
    <w:abstractNumId w:val="0"/>
  </w:num>
  <w:num w:numId="3">
    <w:abstractNumId w:val="1"/>
  </w:num>
  <w:num w:numId="4">
    <w:abstractNumId w:val="4"/>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zjd">
    <w15:presenceInfo w15:providerId="None" w15:userId="Xzjd"/>
  </w15:person>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C86"/>
    <w:rsid w:val="000427E2"/>
    <w:rsid w:val="000479FB"/>
    <w:rsid w:val="000817EC"/>
    <w:rsid w:val="000A36F5"/>
    <w:rsid w:val="000E20EC"/>
    <w:rsid w:val="000E4CAC"/>
    <w:rsid w:val="001123A9"/>
    <w:rsid w:val="00113A1F"/>
    <w:rsid w:val="00124F17"/>
    <w:rsid w:val="00166437"/>
    <w:rsid w:val="0017500F"/>
    <w:rsid w:val="001A357B"/>
    <w:rsid w:val="00200B81"/>
    <w:rsid w:val="00222802"/>
    <w:rsid w:val="00294ABC"/>
    <w:rsid w:val="002E1D6F"/>
    <w:rsid w:val="003105EC"/>
    <w:rsid w:val="003114A8"/>
    <w:rsid w:val="00315DE1"/>
    <w:rsid w:val="00317D14"/>
    <w:rsid w:val="00330626"/>
    <w:rsid w:val="00350596"/>
    <w:rsid w:val="003B32C2"/>
    <w:rsid w:val="003B4B03"/>
    <w:rsid w:val="003E69E1"/>
    <w:rsid w:val="00411D6A"/>
    <w:rsid w:val="0044497D"/>
    <w:rsid w:val="00445EE9"/>
    <w:rsid w:val="00473BD2"/>
    <w:rsid w:val="0049062C"/>
    <w:rsid w:val="00496EF0"/>
    <w:rsid w:val="004B3BEE"/>
    <w:rsid w:val="00520997"/>
    <w:rsid w:val="0055603F"/>
    <w:rsid w:val="00567BF5"/>
    <w:rsid w:val="005749DB"/>
    <w:rsid w:val="00584564"/>
    <w:rsid w:val="005A2B58"/>
    <w:rsid w:val="005D3B1A"/>
    <w:rsid w:val="005F2583"/>
    <w:rsid w:val="00644B27"/>
    <w:rsid w:val="0065310A"/>
    <w:rsid w:val="00684638"/>
    <w:rsid w:val="006A4322"/>
    <w:rsid w:val="006B5528"/>
    <w:rsid w:val="006C51D5"/>
    <w:rsid w:val="006C7D08"/>
    <w:rsid w:val="006D79F6"/>
    <w:rsid w:val="006E3780"/>
    <w:rsid w:val="007174CB"/>
    <w:rsid w:val="00751413"/>
    <w:rsid w:val="0076633C"/>
    <w:rsid w:val="007718A2"/>
    <w:rsid w:val="007748D7"/>
    <w:rsid w:val="00793FAF"/>
    <w:rsid w:val="007A2C8D"/>
    <w:rsid w:val="007A66E4"/>
    <w:rsid w:val="007B316F"/>
    <w:rsid w:val="007B71C2"/>
    <w:rsid w:val="007C239F"/>
    <w:rsid w:val="007C5017"/>
    <w:rsid w:val="0081320D"/>
    <w:rsid w:val="0083771B"/>
    <w:rsid w:val="00852C9C"/>
    <w:rsid w:val="008601C7"/>
    <w:rsid w:val="008C21A6"/>
    <w:rsid w:val="00922D49"/>
    <w:rsid w:val="009401C7"/>
    <w:rsid w:val="009601C9"/>
    <w:rsid w:val="00984BCA"/>
    <w:rsid w:val="009C67CF"/>
    <w:rsid w:val="009F6ED8"/>
    <w:rsid w:val="00A13B38"/>
    <w:rsid w:val="00A46259"/>
    <w:rsid w:val="00A47401"/>
    <w:rsid w:val="00A71F3B"/>
    <w:rsid w:val="00A8258A"/>
    <w:rsid w:val="00A90334"/>
    <w:rsid w:val="00AB249D"/>
    <w:rsid w:val="00AB56D3"/>
    <w:rsid w:val="00B07D3E"/>
    <w:rsid w:val="00B75308"/>
    <w:rsid w:val="00B9551A"/>
    <w:rsid w:val="00BA41E1"/>
    <w:rsid w:val="00BF64C0"/>
    <w:rsid w:val="00BF77D3"/>
    <w:rsid w:val="00C14D75"/>
    <w:rsid w:val="00C91027"/>
    <w:rsid w:val="00C9113A"/>
    <w:rsid w:val="00CA3B1D"/>
    <w:rsid w:val="00CB0042"/>
    <w:rsid w:val="00CD227A"/>
    <w:rsid w:val="00CE7F3F"/>
    <w:rsid w:val="00D160C7"/>
    <w:rsid w:val="00D27CFE"/>
    <w:rsid w:val="00D3591E"/>
    <w:rsid w:val="00D642CD"/>
    <w:rsid w:val="00D65485"/>
    <w:rsid w:val="00D732D3"/>
    <w:rsid w:val="00D95477"/>
    <w:rsid w:val="00DA23FF"/>
    <w:rsid w:val="00DD6025"/>
    <w:rsid w:val="00DD66F5"/>
    <w:rsid w:val="00DD6835"/>
    <w:rsid w:val="00E02A19"/>
    <w:rsid w:val="00E21B5F"/>
    <w:rsid w:val="00E60CC0"/>
    <w:rsid w:val="00E7164F"/>
    <w:rsid w:val="00E87DE4"/>
    <w:rsid w:val="00E90B1D"/>
    <w:rsid w:val="00EB2C79"/>
    <w:rsid w:val="00EB7DC7"/>
    <w:rsid w:val="00ED34AB"/>
    <w:rsid w:val="00EE55DF"/>
    <w:rsid w:val="00F0497C"/>
    <w:rsid w:val="00F22723"/>
    <w:rsid w:val="00F31CCA"/>
    <w:rsid w:val="00F403AE"/>
    <w:rsid w:val="00F55C3C"/>
    <w:rsid w:val="00F61250"/>
    <w:rsid w:val="00F61638"/>
    <w:rsid w:val="00FA2FDB"/>
    <w:rsid w:val="00FB4A2C"/>
    <w:rsid w:val="00FB7F93"/>
    <w:rsid w:val="00FE1349"/>
    <w:rsid w:val="00FE3622"/>
    <w:rsid w:val="00FE7CAF"/>
    <w:rsid w:val="01001918"/>
    <w:rsid w:val="01015ECC"/>
    <w:rsid w:val="010234BE"/>
    <w:rsid w:val="01031A56"/>
    <w:rsid w:val="010C1182"/>
    <w:rsid w:val="01207B81"/>
    <w:rsid w:val="01213346"/>
    <w:rsid w:val="01274319"/>
    <w:rsid w:val="01276107"/>
    <w:rsid w:val="01283EF6"/>
    <w:rsid w:val="012A5B92"/>
    <w:rsid w:val="014D43B6"/>
    <w:rsid w:val="014F446F"/>
    <w:rsid w:val="01547B3F"/>
    <w:rsid w:val="01551E65"/>
    <w:rsid w:val="01663515"/>
    <w:rsid w:val="01683742"/>
    <w:rsid w:val="01705CDC"/>
    <w:rsid w:val="0177662F"/>
    <w:rsid w:val="0177783B"/>
    <w:rsid w:val="017B40F2"/>
    <w:rsid w:val="018677C7"/>
    <w:rsid w:val="0189797F"/>
    <w:rsid w:val="0191782E"/>
    <w:rsid w:val="01942E78"/>
    <w:rsid w:val="019B64F3"/>
    <w:rsid w:val="019C486D"/>
    <w:rsid w:val="01A80383"/>
    <w:rsid w:val="01AB7C39"/>
    <w:rsid w:val="01C54AE1"/>
    <w:rsid w:val="01D542DE"/>
    <w:rsid w:val="01E259C6"/>
    <w:rsid w:val="01E649FB"/>
    <w:rsid w:val="01F12D18"/>
    <w:rsid w:val="02137C82"/>
    <w:rsid w:val="021450A3"/>
    <w:rsid w:val="021E30BD"/>
    <w:rsid w:val="02215239"/>
    <w:rsid w:val="02242F78"/>
    <w:rsid w:val="022B0F4D"/>
    <w:rsid w:val="022C6AAB"/>
    <w:rsid w:val="022D514C"/>
    <w:rsid w:val="02304E95"/>
    <w:rsid w:val="02306B83"/>
    <w:rsid w:val="02381615"/>
    <w:rsid w:val="023A2D45"/>
    <w:rsid w:val="023F2407"/>
    <w:rsid w:val="02417037"/>
    <w:rsid w:val="0247642D"/>
    <w:rsid w:val="024C2D7A"/>
    <w:rsid w:val="02613CE9"/>
    <w:rsid w:val="02643EEA"/>
    <w:rsid w:val="026513B0"/>
    <w:rsid w:val="02691160"/>
    <w:rsid w:val="027162F9"/>
    <w:rsid w:val="027C21C5"/>
    <w:rsid w:val="027C5CAB"/>
    <w:rsid w:val="028A256A"/>
    <w:rsid w:val="028E30A6"/>
    <w:rsid w:val="0296573B"/>
    <w:rsid w:val="02985764"/>
    <w:rsid w:val="029B1F9A"/>
    <w:rsid w:val="02A00B3E"/>
    <w:rsid w:val="02C03C88"/>
    <w:rsid w:val="02C05FFF"/>
    <w:rsid w:val="02C10A6A"/>
    <w:rsid w:val="02DF2625"/>
    <w:rsid w:val="02F62129"/>
    <w:rsid w:val="030131D8"/>
    <w:rsid w:val="03062E58"/>
    <w:rsid w:val="030727A7"/>
    <w:rsid w:val="030E1660"/>
    <w:rsid w:val="03125B37"/>
    <w:rsid w:val="03182A30"/>
    <w:rsid w:val="031B1A50"/>
    <w:rsid w:val="031D42E1"/>
    <w:rsid w:val="03317E05"/>
    <w:rsid w:val="03354780"/>
    <w:rsid w:val="033A3A48"/>
    <w:rsid w:val="0347683D"/>
    <w:rsid w:val="035140E4"/>
    <w:rsid w:val="036B2ECD"/>
    <w:rsid w:val="03794A51"/>
    <w:rsid w:val="037A5976"/>
    <w:rsid w:val="037D400F"/>
    <w:rsid w:val="03820482"/>
    <w:rsid w:val="0386458E"/>
    <w:rsid w:val="03877A82"/>
    <w:rsid w:val="038A00BF"/>
    <w:rsid w:val="038A3D3A"/>
    <w:rsid w:val="038D60DA"/>
    <w:rsid w:val="03A43BBE"/>
    <w:rsid w:val="03A96314"/>
    <w:rsid w:val="03AE25F8"/>
    <w:rsid w:val="03B735A9"/>
    <w:rsid w:val="03BD3387"/>
    <w:rsid w:val="03BF44CE"/>
    <w:rsid w:val="03C03B26"/>
    <w:rsid w:val="03CD6735"/>
    <w:rsid w:val="03CF1CFA"/>
    <w:rsid w:val="03D53D9C"/>
    <w:rsid w:val="03EB2AB5"/>
    <w:rsid w:val="03EB7911"/>
    <w:rsid w:val="03F22E88"/>
    <w:rsid w:val="040533FC"/>
    <w:rsid w:val="040A7629"/>
    <w:rsid w:val="040B117F"/>
    <w:rsid w:val="040E7DDB"/>
    <w:rsid w:val="04161689"/>
    <w:rsid w:val="04174E21"/>
    <w:rsid w:val="041F575B"/>
    <w:rsid w:val="04226B52"/>
    <w:rsid w:val="04227B77"/>
    <w:rsid w:val="042679B5"/>
    <w:rsid w:val="042F6117"/>
    <w:rsid w:val="043A5ED8"/>
    <w:rsid w:val="043B0A95"/>
    <w:rsid w:val="044742DA"/>
    <w:rsid w:val="045201B1"/>
    <w:rsid w:val="0454225F"/>
    <w:rsid w:val="045C68FC"/>
    <w:rsid w:val="046134D1"/>
    <w:rsid w:val="0465310F"/>
    <w:rsid w:val="04656419"/>
    <w:rsid w:val="046B690A"/>
    <w:rsid w:val="046E5090"/>
    <w:rsid w:val="046F1E63"/>
    <w:rsid w:val="046F3D44"/>
    <w:rsid w:val="04703B99"/>
    <w:rsid w:val="047740E8"/>
    <w:rsid w:val="04883196"/>
    <w:rsid w:val="04896391"/>
    <w:rsid w:val="049932A3"/>
    <w:rsid w:val="049F542D"/>
    <w:rsid w:val="04A262B7"/>
    <w:rsid w:val="04A47E55"/>
    <w:rsid w:val="04A90C5D"/>
    <w:rsid w:val="04B15742"/>
    <w:rsid w:val="04B265E9"/>
    <w:rsid w:val="04B3502A"/>
    <w:rsid w:val="04B763F2"/>
    <w:rsid w:val="04BF25C8"/>
    <w:rsid w:val="04C449DB"/>
    <w:rsid w:val="04CA077A"/>
    <w:rsid w:val="04CB2AB5"/>
    <w:rsid w:val="04CF1733"/>
    <w:rsid w:val="04D01139"/>
    <w:rsid w:val="04D10B0C"/>
    <w:rsid w:val="04D87F46"/>
    <w:rsid w:val="04D90F27"/>
    <w:rsid w:val="04E05013"/>
    <w:rsid w:val="04E176F1"/>
    <w:rsid w:val="04EB4F0A"/>
    <w:rsid w:val="050A7B10"/>
    <w:rsid w:val="05132722"/>
    <w:rsid w:val="0513361D"/>
    <w:rsid w:val="05147968"/>
    <w:rsid w:val="052C6004"/>
    <w:rsid w:val="052F26F5"/>
    <w:rsid w:val="05490D82"/>
    <w:rsid w:val="05501F65"/>
    <w:rsid w:val="055354FE"/>
    <w:rsid w:val="055820FB"/>
    <w:rsid w:val="0563777F"/>
    <w:rsid w:val="056D44EE"/>
    <w:rsid w:val="05725845"/>
    <w:rsid w:val="05746AB2"/>
    <w:rsid w:val="057A12CA"/>
    <w:rsid w:val="059B3DBA"/>
    <w:rsid w:val="05A85811"/>
    <w:rsid w:val="05A95EBE"/>
    <w:rsid w:val="05AC09ED"/>
    <w:rsid w:val="05AF5086"/>
    <w:rsid w:val="05B233E2"/>
    <w:rsid w:val="05B428E5"/>
    <w:rsid w:val="05BD5683"/>
    <w:rsid w:val="05BE19E1"/>
    <w:rsid w:val="05C147B3"/>
    <w:rsid w:val="05C151C6"/>
    <w:rsid w:val="05C4039A"/>
    <w:rsid w:val="05CE3469"/>
    <w:rsid w:val="05D52601"/>
    <w:rsid w:val="05E92848"/>
    <w:rsid w:val="05EA490D"/>
    <w:rsid w:val="05EC0EC3"/>
    <w:rsid w:val="05FE189E"/>
    <w:rsid w:val="06000361"/>
    <w:rsid w:val="060E2FE5"/>
    <w:rsid w:val="060F50BF"/>
    <w:rsid w:val="06121235"/>
    <w:rsid w:val="061654A3"/>
    <w:rsid w:val="061929CC"/>
    <w:rsid w:val="061A2F9E"/>
    <w:rsid w:val="06362188"/>
    <w:rsid w:val="06371430"/>
    <w:rsid w:val="063E049A"/>
    <w:rsid w:val="0650660A"/>
    <w:rsid w:val="06782E2D"/>
    <w:rsid w:val="068B4A11"/>
    <w:rsid w:val="068E04B4"/>
    <w:rsid w:val="068E6A4E"/>
    <w:rsid w:val="06A36F76"/>
    <w:rsid w:val="06B057F5"/>
    <w:rsid w:val="06B65A20"/>
    <w:rsid w:val="06B960A6"/>
    <w:rsid w:val="06CA4FFA"/>
    <w:rsid w:val="06D13FB3"/>
    <w:rsid w:val="06DC7E2E"/>
    <w:rsid w:val="06DE0F8F"/>
    <w:rsid w:val="06E35BB3"/>
    <w:rsid w:val="07034583"/>
    <w:rsid w:val="07124608"/>
    <w:rsid w:val="0716217B"/>
    <w:rsid w:val="0721076E"/>
    <w:rsid w:val="0721384B"/>
    <w:rsid w:val="07270355"/>
    <w:rsid w:val="07283B5D"/>
    <w:rsid w:val="073E7713"/>
    <w:rsid w:val="07411350"/>
    <w:rsid w:val="075147E3"/>
    <w:rsid w:val="075E4123"/>
    <w:rsid w:val="075F6F3D"/>
    <w:rsid w:val="076269B6"/>
    <w:rsid w:val="07681A26"/>
    <w:rsid w:val="07707C52"/>
    <w:rsid w:val="07731999"/>
    <w:rsid w:val="0774493A"/>
    <w:rsid w:val="077D3D9D"/>
    <w:rsid w:val="078C5AB5"/>
    <w:rsid w:val="07922FD5"/>
    <w:rsid w:val="07941C3F"/>
    <w:rsid w:val="079543BD"/>
    <w:rsid w:val="07967AAF"/>
    <w:rsid w:val="079C2694"/>
    <w:rsid w:val="07AD151D"/>
    <w:rsid w:val="07B46C6D"/>
    <w:rsid w:val="07BA1F90"/>
    <w:rsid w:val="07CF2194"/>
    <w:rsid w:val="07DB46A3"/>
    <w:rsid w:val="07E000D8"/>
    <w:rsid w:val="07E36C23"/>
    <w:rsid w:val="07EE4088"/>
    <w:rsid w:val="07EE6381"/>
    <w:rsid w:val="07F03F11"/>
    <w:rsid w:val="07F815AE"/>
    <w:rsid w:val="07FD04BE"/>
    <w:rsid w:val="07FD51C4"/>
    <w:rsid w:val="07FE63F8"/>
    <w:rsid w:val="08063DD0"/>
    <w:rsid w:val="08086845"/>
    <w:rsid w:val="08243802"/>
    <w:rsid w:val="082A4545"/>
    <w:rsid w:val="08303D67"/>
    <w:rsid w:val="083D1F89"/>
    <w:rsid w:val="083D43D0"/>
    <w:rsid w:val="083E204B"/>
    <w:rsid w:val="084106F3"/>
    <w:rsid w:val="084B57BA"/>
    <w:rsid w:val="085A15EF"/>
    <w:rsid w:val="085B22A2"/>
    <w:rsid w:val="08661E4F"/>
    <w:rsid w:val="08687BCE"/>
    <w:rsid w:val="086B6856"/>
    <w:rsid w:val="086F328F"/>
    <w:rsid w:val="08765FF0"/>
    <w:rsid w:val="08777F89"/>
    <w:rsid w:val="087844D3"/>
    <w:rsid w:val="0886283A"/>
    <w:rsid w:val="0886678B"/>
    <w:rsid w:val="088B3E3F"/>
    <w:rsid w:val="088D2520"/>
    <w:rsid w:val="08A07C0C"/>
    <w:rsid w:val="08A54E61"/>
    <w:rsid w:val="08A675C7"/>
    <w:rsid w:val="08AB5AE7"/>
    <w:rsid w:val="08AE6746"/>
    <w:rsid w:val="08B74F3A"/>
    <w:rsid w:val="08C00855"/>
    <w:rsid w:val="08C05F7E"/>
    <w:rsid w:val="08C311EF"/>
    <w:rsid w:val="08C55436"/>
    <w:rsid w:val="08D108F6"/>
    <w:rsid w:val="08EB2B8D"/>
    <w:rsid w:val="08EB6657"/>
    <w:rsid w:val="08F56818"/>
    <w:rsid w:val="09020276"/>
    <w:rsid w:val="0902282F"/>
    <w:rsid w:val="090347EC"/>
    <w:rsid w:val="090E66E4"/>
    <w:rsid w:val="09193991"/>
    <w:rsid w:val="091A4416"/>
    <w:rsid w:val="09290DC8"/>
    <w:rsid w:val="092A569D"/>
    <w:rsid w:val="092C5F6B"/>
    <w:rsid w:val="093A33A9"/>
    <w:rsid w:val="093A5B14"/>
    <w:rsid w:val="095C1F07"/>
    <w:rsid w:val="096604B6"/>
    <w:rsid w:val="09671CD7"/>
    <w:rsid w:val="09672542"/>
    <w:rsid w:val="096D471E"/>
    <w:rsid w:val="09703693"/>
    <w:rsid w:val="09721290"/>
    <w:rsid w:val="098A59A3"/>
    <w:rsid w:val="098F6D3B"/>
    <w:rsid w:val="09973489"/>
    <w:rsid w:val="099804CF"/>
    <w:rsid w:val="099F45AB"/>
    <w:rsid w:val="09AD37FE"/>
    <w:rsid w:val="09B36976"/>
    <w:rsid w:val="09B53DD3"/>
    <w:rsid w:val="09BD120F"/>
    <w:rsid w:val="09C666FD"/>
    <w:rsid w:val="09CA6800"/>
    <w:rsid w:val="09CB2A42"/>
    <w:rsid w:val="09D638BF"/>
    <w:rsid w:val="09D7606E"/>
    <w:rsid w:val="09E2193A"/>
    <w:rsid w:val="09E96C9C"/>
    <w:rsid w:val="09EA33B9"/>
    <w:rsid w:val="09F5794E"/>
    <w:rsid w:val="0A041764"/>
    <w:rsid w:val="0A094708"/>
    <w:rsid w:val="0A0D2868"/>
    <w:rsid w:val="0A0F082E"/>
    <w:rsid w:val="0A223F11"/>
    <w:rsid w:val="0A2A2D0A"/>
    <w:rsid w:val="0A345CA3"/>
    <w:rsid w:val="0A3738B1"/>
    <w:rsid w:val="0A3B59E8"/>
    <w:rsid w:val="0A3C4EA9"/>
    <w:rsid w:val="0A3F24BF"/>
    <w:rsid w:val="0A421AD7"/>
    <w:rsid w:val="0A490BB6"/>
    <w:rsid w:val="0A4E1E15"/>
    <w:rsid w:val="0A56394F"/>
    <w:rsid w:val="0A567FD7"/>
    <w:rsid w:val="0A5902D5"/>
    <w:rsid w:val="0A6270BD"/>
    <w:rsid w:val="0A675626"/>
    <w:rsid w:val="0A694DC8"/>
    <w:rsid w:val="0A695024"/>
    <w:rsid w:val="0A702057"/>
    <w:rsid w:val="0A724EBD"/>
    <w:rsid w:val="0A774024"/>
    <w:rsid w:val="0A83556F"/>
    <w:rsid w:val="0A8C32CC"/>
    <w:rsid w:val="0A8E203C"/>
    <w:rsid w:val="0A9014E1"/>
    <w:rsid w:val="0A997F8B"/>
    <w:rsid w:val="0A9D40CE"/>
    <w:rsid w:val="0AAC4164"/>
    <w:rsid w:val="0AB6435F"/>
    <w:rsid w:val="0AC07C7A"/>
    <w:rsid w:val="0AC11EB6"/>
    <w:rsid w:val="0AC83735"/>
    <w:rsid w:val="0ADA442C"/>
    <w:rsid w:val="0ADC18CB"/>
    <w:rsid w:val="0ADC3B32"/>
    <w:rsid w:val="0AE16BBD"/>
    <w:rsid w:val="0AE44414"/>
    <w:rsid w:val="0AE81B43"/>
    <w:rsid w:val="0AF80010"/>
    <w:rsid w:val="0AFF379F"/>
    <w:rsid w:val="0B002E68"/>
    <w:rsid w:val="0B00671A"/>
    <w:rsid w:val="0B0128F5"/>
    <w:rsid w:val="0B030B45"/>
    <w:rsid w:val="0B0D4846"/>
    <w:rsid w:val="0B0F5C0A"/>
    <w:rsid w:val="0B137936"/>
    <w:rsid w:val="0B1D26B4"/>
    <w:rsid w:val="0B222455"/>
    <w:rsid w:val="0B2B4F7D"/>
    <w:rsid w:val="0B2B756B"/>
    <w:rsid w:val="0B2E7474"/>
    <w:rsid w:val="0B3771DC"/>
    <w:rsid w:val="0B3C351D"/>
    <w:rsid w:val="0B3F040E"/>
    <w:rsid w:val="0B4A64CE"/>
    <w:rsid w:val="0B4F36D5"/>
    <w:rsid w:val="0B747DD2"/>
    <w:rsid w:val="0B7C041B"/>
    <w:rsid w:val="0B7D6AF1"/>
    <w:rsid w:val="0B9367D1"/>
    <w:rsid w:val="0B96115B"/>
    <w:rsid w:val="0B9D08F5"/>
    <w:rsid w:val="0B9E2379"/>
    <w:rsid w:val="0BA03ED4"/>
    <w:rsid w:val="0BAC4966"/>
    <w:rsid w:val="0BB43970"/>
    <w:rsid w:val="0BBA1E70"/>
    <w:rsid w:val="0BBA77F4"/>
    <w:rsid w:val="0BEA1507"/>
    <w:rsid w:val="0BEE5F50"/>
    <w:rsid w:val="0BF15990"/>
    <w:rsid w:val="0BF22CA7"/>
    <w:rsid w:val="0BF3676B"/>
    <w:rsid w:val="0BF53932"/>
    <w:rsid w:val="0C020CC2"/>
    <w:rsid w:val="0C05721F"/>
    <w:rsid w:val="0C0877F8"/>
    <w:rsid w:val="0C176D1E"/>
    <w:rsid w:val="0C2A7A8C"/>
    <w:rsid w:val="0C2C496A"/>
    <w:rsid w:val="0C316708"/>
    <w:rsid w:val="0C317B5B"/>
    <w:rsid w:val="0C3A536A"/>
    <w:rsid w:val="0C3A6CE9"/>
    <w:rsid w:val="0C3C10BF"/>
    <w:rsid w:val="0C442F44"/>
    <w:rsid w:val="0C463838"/>
    <w:rsid w:val="0C4676F4"/>
    <w:rsid w:val="0C4B652C"/>
    <w:rsid w:val="0C4F0CE0"/>
    <w:rsid w:val="0C5328FD"/>
    <w:rsid w:val="0C560B46"/>
    <w:rsid w:val="0C594198"/>
    <w:rsid w:val="0C5C1036"/>
    <w:rsid w:val="0C6B1C96"/>
    <w:rsid w:val="0C6E0A58"/>
    <w:rsid w:val="0C716332"/>
    <w:rsid w:val="0C78301C"/>
    <w:rsid w:val="0C7C062F"/>
    <w:rsid w:val="0C7D26B7"/>
    <w:rsid w:val="0C804F9A"/>
    <w:rsid w:val="0C8614EA"/>
    <w:rsid w:val="0C864139"/>
    <w:rsid w:val="0C8C26A1"/>
    <w:rsid w:val="0C8E5DF4"/>
    <w:rsid w:val="0C91420C"/>
    <w:rsid w:val="0C980D0E"/>
    <w:rsid w:val="0CC602A5"/>
    <w:rsid w:val="0CC77513"/>
    <w:rsid w:val="0CC8031F"/>
    <w:rsid w:val="0CC83DD4"/>
    <w:rsid w:val="0CCC61F5"/>
    <w:rsid w:val="0CCD598A"/>
    <w:rsid w:val="0CCE71FB"/>
    <w:rsid w:val="0CD7449F"/>
    <w:rsid w:val="0D004991"/>
    <w:rsid w:val="0D02057E"/>
    <w:rsid w:val="0D023422"/>
    <w:rsid w:val="0D0B2D98"/>
    <w:rsid w:val="0D0D1A35"/>
    <w:rsid w:val="0D0E4AB7"/>
    <w:rsid w:val="0D1470E3"/>
    <w:rsid w:val="0D1F7C5B"/>
    <w:rsid w:val="0D2143A8"/>
    <w:rsid w:val="0D3073B1"/>
    <w:rsid w:val="0D3319D9"/>
    <w:rsid w:val="0D3672D3"/>
    <w:rsid w:val="0D3A4132"/>
    <w:rsid w:val="0D404180"/>
    <w:rsid w:val="0D437949"/>
    <w:rsid w:val="0D493DF4"/>
    <w:rsid w:val="0D4A2888"/>
    <w:rsid w:val="0D4F2148"/>
    <w:rsid w:val="0D577AC6"/>
    <w:rsid w:val="0D5A38AA"/>
    <w:rsid w:val="0D602A48"/>
    <w:rsid w:val="0D603E1F"/>
    <w:rsid w:val="0D637E2B"/>
    <w:rsid w:val="0D70315F"/>
    <w:rsid w:val="0D7903B8"/>
    <w:rsid w:val="0D8B2388"/>
    <w:rsid w:val="0D8B68C1"/>
    <w:rsid w:val="0D9015D9"/>
    <w:rsid w:val="0D9A1BFF"/>
    <w:rsid w:val="0DAE5D69"/>
    <w:rsid w:val="0DB62ABC"/>
    <w:rsid w:val="0DB97E24"/>
    <w:rsid w:val="0DC767DA"/>
    <w:rsid w:val="0DD478AB"/>
    <w:rsid w:val="0DD64624"/>
    <w:rsid w:val="0DD70FD3"/>
    <w:rsid w:val="0DE241B0"/>
    <w:rsid w:val="0DE77BEF"/>
    <w:rsid w:val="0DF65EA7"/>
    <w:rsid w:val="0E0557DA"/>
    <w:rsid w:val="0E065854"/>
    <w:rsid w:val="0E074108"/>
    <w:rsid w:val="0E0A1F43"/>
    <w:rsid w:val="0E0D7517"/>
    <w:rsid w:val="0E1922BA"/>
    <w:rsid w:val="0E1943CD"/>
    <w:rsid w:val="0E1A1120"/>
    <w:rsid w:val="0E205CE2"/>
    <w:rsid w:val="0E251B38"/>
    <w:rsid w:val="0E27249D"/>
    <w:rsid w:val="0E2E79F7"/>
    <w:rsid w:val="0E2F6BA8"/>
    <w:rsid w:val="0E3468D5"/>
    <w:rsid w:val="0E431FF5"/>
    <w:rsid w:val="0E443F3F"/>
    <w:rsid w:val="0E5601F9"/>
    <w:rsid w:val="0E566E15"/>
    <w:rsid w:val="0E5824CC"/>
    <w:rsid w:val="0E663DBF"/>
    <w:rsid w:val="0E7268FE"/>
    <w:rsid w:val="0E781908"/>
    <w:rsid w:val="0E7C27C2"/>
    <w:rsid w:val="0E856F7C"/>
    <w:rsid w:val="0E897AFD"/>
    <w:rsid w:val="0E9063C2"/>
    <w:rsid w:val="0E963884"/>
    <w:rsid w:val="0E98543F"/>
    <w:rsid w:val="0E9F0FE7"/>
    <w:rsid w:val="0EA40DE2"/>
    <w:rsid w:val="0EA45831"/>
    <w:rsid w:val="0EAB5A76"/>
    <w:rsid w:val="0EB349D6"/>
    <w:rsid w:val="0EBA0D2A"/>
    <w:rsid w:val="0EBC6E99"/>
    <w:rsid w:val="0EBF2415"/>
    <w:rsid w:val="0ED016A3"/>
    <w:rsid w:val="0ED15EF6"/>
    <w:rsid w:val="0EDA3035"/>
    <w:rsid w:val="0EEA54E4"/>
    <w:rsid w:val="0EEF17FF"/>
    <w:rsid w:val="0EF450C3"/>
    <w:rsid w:val="0EFD31A9"/>
    <w:rsid w:val="0EFE670D"/>
    <w:rsid w:val="0F0C0BCA"/>
    <w:rsid w:val="0F0E5EA9"/>
    <w:rsid w:val="0F1102F8"/>
    <w:rsid w:val="0F15310C"/>
    <w:rsid w:val="0F173D62"/>
    <w:rsid w:val="0F213C06"/>
    <w:rsid w:val="0F2C577D"/>
    <w:rsid w:val="0F341D0A"/>
    <w:rsid w:val="0F3B4246"/>
    <w:rsid w:val="0F3D5C52"/>
    <w:rsid w:val="0F3F2829"/>
    <w:rsid w:val="0F3F7DCF"/>
    <w:rsid w:val="0F477941"/>
    <w:rsid w:val="0F4912F1"/>
    <w:rsid w:val="0F540E9E"/>
    <w:rsid w:val="0F562525"/>
    <w:rsid w:val="0F5734E5"/>
    <w:rsid w:val="0F5B5335"/>
    <w:rsid w:val="0F6017CF"/>
    <w:rsid w:val="0F627C31"/>
    <w:rsid w:val="0F67607B"/>
    <w:rsid w:val="0F7A7B74"/>
    <w:rsid w:val="0F7D5BCE"/>
    <w:rsid w:val="0F826520"/>
    <w:rsid w:val="0F873F2C"/>
    <w:rsid w:val="0F8A37F7"/>
    <w:rsid w:val="0F8A4BCE"/>
    <w:rsid w:val="0F94076B"/>
    <w:rsid w:val="0F9B3B05"/>
    <w:rsid w:val="0F9D33CA"/>
    <w:rsid w:val="0FA46981"/>
    <w:rsid w:val="0FA6031E"/>
    <w:rsid w:val="0FA71B39"/>
    <w:rsid w:val="0FCB0308"/>
    <w:rsid w:val="0FD2595B"/>
    <w:rsid w:val="0FD56D07"/>
    <w:rsid w:val="0FE076A8"/>
    <w:rsid w:val="0FE41AB6"/>
    <w:rsid w:val="0FE9172B"/>
    <w:rsid w:val="0FF36CD3"/>
    <w:rsid w:val="0FF85D46"/>
    <w:rsid w:val="100B2E43"/>
    <w:rsid w:val="101A7578"/>
    <w:rsid w:val="10217234"/>
    <w:rsid w:val="1026050F"/>
    <w:rsid w:val="10265ED7"/>
    <w:rsid w:val="102D21C5"/>
    <w:rsid w:val="103B050E"/>
    <w:rsid w:val="103F711A"/>
    <w:rsid w:val="10452661"/>
    <w:rsid w:val="104F27BE"/>
    <w:rsid w:val="1057753D"/>
    <w:rsid w:val="105D3AA5"/>
    <w:rsid w:val="10655E52"/>
    <w:rsid w:val="10703194"/>
    <w:rsid w:val="107053D2"/>
    <w:rsid w:val="107C2301"/>
    <w:rsid w:val="10967F39"/>
    <w:rsid w:val="1099173A"/>
    <w:rsid w:val="109D4C42"/>
    <w:rsid w:val="109E0F2B"/>
    <w:rsid w:val="10A55AB6"/>
    <w:rsid w:val="10A94344"/>
    <w:rsid w:val="10BB41D7"/>
    <w:rsid w:val="10CA20F0"/>
    <w:rsid w:val="10CC6195"/>
    <w:rsid w:val="10CD3B7C"/>
    <w:rsid w:val="10CF5B98"/>
    <w:rsid w:val="10D27E96"/>
    <w:rsid w:val="10D8391A"/>
    <w:rsid w:val="10E83132"/>
    <w:rsid w:val="10E92474"/>
    <w:rsid w:val="10EE6613"/>
    <w:rsid w:val="10F82A33"/>
    <w:rsid w:val="10FF1DF3"/>
    <w:rsid w:val="11013A9B"/>
    <w:rsid w:val="111C0A24"/>
    <w:rsid w:val="112140B4"/>
    <w:rsid w:val="1131579C"/>
    <w:rsid w:val="113469DB"/>
    <w:rsid w:val="11352B8A"/>
    <w:rsid w:val="11374205"/>
    <w:rsid w:val="11377A70"/>
    <w:rsid w:val="1164341B"/>
    <w:rsid w:val="116B3AAD"/>
    <w:rsid w:val="116C6EF0"/>
    <w:rsid w:val="11717681"/>
    <w:rsid w:val="117716C1"/>
    <w:rsid w:val="11800AC8"/>
    <w:rsid w:val="118751CF"/>
    <w:rsid w:val="118C33F1"/>
    <w:rsid w:val="118E6D15"/>
    <w:rsid w:val="119814E5"/>
    <w:rsid w:val="119B420B"/>
    <w:rsid w:val="11AE585A"/>
    <w:rsid w:val="11B35001"/>
    <w:rsid w:val="11B63790"/>
    <w:rsid w:val="11BB6710"/>
    <w:rsid w:val="11BD37D3"/>
    <w:rsid w:val="11C87186"/>
    <w:rsid w:val="11D000AB"/>
    <w:rsid w:val="11E2266F"/>
    <w:rsid w:val="11E40D19"/>
    <w:rsid w:val="11EA65A4"/>
    <w:rsid w:val="11F434E7"/>
    <w:rsid w:val="11FE3667"/>
    <w:rsid w:val="12043FE9"/>
    <w:rsid w:val="121002E8"/>
    <w:rsid w:val="1217100A"/>
    <w:rsid w:val="122063DB"/>
    <w:rsid w:val="122D460E"/>
    <w:rsid w:val="1243305F"/>
    <w:rsid w:val="124A3FB8"/>
    <w:rsid w:val="12574135"/>
    <w:rsid w:val="12610B83"/>
    <w:rsid w:val="12632F93"/>
    <w:rsid w:val="12697276"/>
    <w:rsid w:val="127009AA"/>
    <w:rsid w:val="127E5E29"/>
    <w:rsid w:val="128144DB"/>
    <w:rsid w:val="12850052"/>
    <w:rsid w:val="128E03C0"/>
    <w:rsid w:val="12960435"/>
    <w:rsid w:val="12984C82"/>
    <w:rsid w:val="12AE5578"/>
    <w:rsid w:val="12B2125D"/>
    <w:rsid w:val="12B63157"/>
    <w:rsid w:val="12B90501"/>
    <w:rsid w:val="12BD16C6"/>
    <w:rsid w:val="12BF65B8"/>
    <w:rsid w:val="12C41D21"/>
    <w:rsid w:val="12D25E5F"/>
    <w:rsid w:val="12D66368"/>
    <w:rsid w:val="12DE21E8"/>
    <w:rsid w:val="12E2072D"/>
    <w:rsid w:val="12EE19DE"/>
    <w:rsid w:val="12F143CD"/>
    <w:rsid w:val="13064792"/>
    <w:rsid w:val="130655ED"/>
    <w:rsid w:val="13120D1A"/>
    <w:rsid w:val="131B4E1B"/>
    <w:rsid w:val="13380A84"/>
    <w:rsid w:val="13461714"/>
    <w:rsid w:val="134F4B1B"/>
    <w:rsid w:val="13534E29"/>
    <w:rsid w:val="13580588"/>
    <w:rsid w:val="1363664E"/>
    <w:rsid w:val="137A57F1"/>
    <w:rsid w:val="137F545E"/>
    <w:rsid w:val="13806FF7"/>
    <w:rsid w:val="13814CAB"/>
    <w:rsid w:val="138F0D21"/>
    <w:rsid w:val="13B16C78"/>
    <w:rsid w:val="13B676FD"/>
    <w:rsid w:val="13BE7CDC"/>
    <w:rsid w:val="13C901FE"/>
    <w:rsid w:val="13D0503E"/>
    <w:rsid w:val="13D128A7"/>
    <w:rsid w:val="13E67C36"/>
    <w:rsid w:val="13EF3BC7"/>
    <w:rsid w:val="13FB4BC3"/>
    <w:rsid w:val="140761D9"/>
    <w:rsid w:val="141C68AB"/>
    <w:rsid w:val="14200014"/>
    <w:rsid w:val="14247D87"/>
    <w:rsid w:val="142B5545"/>
    <w:rsid w:val="142C2DA4"/>
    <w:rsid w:val="143F4E45"/>
    <w:rsid w:val="145038C6"/>
    <w:rsid w:val="1457389C"/>
    <w:rsid w:val="14623B73"/>
    <w:rsid w:val="14685C50"/>
    <w:rsid w:val="147374C2"/>
    <w:rsid w:val="1475139F"/>
    <w:rsid w:val="148460D2"/>
    <w:rsid w:val="148C6970"/>
    <w:rsid w:val="149C49CE"/>
    <w:rsid w:val="14A25B51"/>
    <w:rsid w:val="14AA270C"/>
    <w:rsid w:val="14BE5215"/>
    <w:rsid w:val="14C96EBA"/>
    <w:rsid w:val="14CF1B1F"/>
    <w:rsid w:val="14D35762"/>
    <w:rsid w:val="14D762B7"/>
    <w:rsid w:val="14E542AE"/>
    <w:rsid w:val="14E66C7B"/>
    <w:rsid w:val="14EA65FE"/>
    <w:rsid w:val="14EE7B45"/>
    <w:rsid w:val="14FA5F4A"/>
    <w:rsid w:val="15046222"/>
    <w:rsid w:val="151549E6"/>
    <w:rsid w:val="15247A97"/>
    <w:rsid w:val="152C64CA"/>
    <w:rsid w:val="152D5A36"/>
    <w:rsid w:val="1530723D"/>
    <w:rsid w:val="15420C54"/>
    <w:rsid w:val="154728C1"/>
    <w:rsid w:val="15494038"/>
    <w:rsid w:val="154B0882"/>
    <w:rsid w:val="1552584B"/>
    <w:rsid w:val="15556516"/>
    <w:rsid w:val="1556055A"/>
    <w:rsid w:val="155A7192"/>
    <w:rsid w:val="155D5F7C"/>
    <w:rsid w:val="155F62E4"/>
    <w:rsid w:val="15633C32"/>
    <w:rsid w:val="15640031"/>
    <w:rsid w:val="15677635"/>
    <w:rsid w:val="157E3F75"/>
    <w:rsid w:val="157F3E8E"/>
    <w:rsid w:val="15802646"/>
    <w:rsid w:val="15820E80"/>
    <w:rsid w:val="158A53C1"/>
    <w:rsid w:val="15911F63"/>
    <w:rsid w:val="15A5620A"/>
    <w:rsid w:val="15AE5632"/>
    <w:rsid w:val="15B1193F"/>
    <w:rsid w:val="15B646FC"/>
    <w:rsid w:val="15C51297"/>
    <w:rsid w:val="15C5144A"/>
    <w:rsid w:val="15FE707D"/>
    <w:rsid w:val="16016639"/>
    <w:rsid w:val="16023C40"/>
    <w:rsid w:val="160D01CD"/>
    <w:rsid w:val="16133DC9"/>
    <w:rsid w:val="161F401A"/>
    <w:rsid w:val="1621252A"/>
    <w:rsid w:val="162A787F"/>
    <w:rsid w:val="162B6A49"/>
    <w:rsid w:val="16302245"/>
    <w:rsid w:val="16317672"/>
    <w:rsid w:val="163212DB"/>
    <w:rsid w:val="163D6D9F"/>
    <w:rsid w:val="1645379F"/>
    <w:rsid w:val="1646158C"/>
    <w:rsid w:val="165630AE"/>
    <w:rsid w:val="165B69DA"/>
    <w:rsid w:val="165E7C05"/>
    <w:rsid w:val="166E62C6"/>
    <w:rsid w:val="166F5660"/>
    <w:rsid w:val="1670377B"/>
    <w:rsid w:val="1686735A"/>
    <w:rsid w:val="169518CE"/>
    <w:rsid w:val="169E6DAC"/>
    <w:rsid w:val="16A00AA4"/>
    <w:rsid w:val="16A16421"/>
    <w:rsid w:val="16AB733A"/>
    <w:rsid w:val="16B6039C"/>
    <w:rsid w:val="16C5546F"/>
    <w:rsid w:val="16C94B71"/>
    <w:rsid w:val="16C96177"/>
    <w:rsid w:val="16E17DD2"/>
    <w:rsid w:val="16E20EF0"/>
    <w:rsid w:val="16E3167B"/>
    <w:rsid w:val="16E97459"/>
    <w:rsid w:val="16EB6E5A"/>
    <w:rsid w:val="16ED66F9"/>
    <w:rsid w:val="16F06F85"/>
    <w:rsid w:val="16F71FF8"/>
    <w:rsid w:val="16FD0204"/>
    <w:rsid w:val="17006891"/>
    <w:rsid w:val="17102C91"/>
    <w:rsid w:val="1711586B"/>
    <w:rsid w:val="17186B2A"/>
    <w:rsid w:val="171B111A"/>
    <w:rsid w:val="172D326F"/>
    <w:rsid w:val="1730360D"/>
    <w:rsid w:val="17312274"/>
    <w:rsid w:val="17370C02"/>
    <w:rsid w:val="17453A65"/>
    <w:rsid w:val="174E7303"/>
    <w:rsid w:val="17615143"/>
    <w:rsid w:val="17703457"/>
    <w:rsid w:val="1771207A"/>
    <w:rsid w:val="177527C3"/>
    <w:rsid w:val="17804053"/>
    <w:rsid w:val="178B07B6"/>
    <w:rsid w:val="179A24D8"/>
    <w:rsid w:val="179D7EE1"/>
    <w:rsid w:val="17A33C93"/>
    <w:rsid w:val="17AF1FDC"/>
    <w:rsid w:val="17B4183B"/>
    <w:rsid w:val="17BD284A"/>
    <w:rsid w:val="17C0051C"/>
    <w:rsid w:val="17C04E66"/>
    <w:rsid w:val="17C3206B"/>
    <w:rsid w:val="17C47A1E"/>
    <w:rsid w:val="17D348F3"/>
    <w:rsid w:val="17D96D64"/>
    <w:rsid w:val="17DD4C0C"/>
    <w:rsid w:val="17DF5E2F"/>
    <w:rsid w:val="17EB30FA"/>
    <w:rsid w:val="17EE78E9"/>
    <w:rsid w:val="17EF37B3"/>
    <w:rsid w:val="17F21C32"/>
    <w:rsid w:val="17FB4C5B"/>
    <w:rsid w:val="17FE28EE"/>
    <w:rsid w:val="180462F5"/>
    <w:rsid w:val="180D20A2"/>
    <w:rsid w:val="180F6965"/>
    <w:rsid w:val="181074F0"/>
    <w:rsid w:val="18110BE0"/>
    <w:rsid w:val="181B0537"/>
    <w:rsid w:val="18250871"/>
    <w:rsid w:val="183E2E9A"/>
    <w:rsid w:val="18476AC3"/>
    <w:rsid w:val="18487E85"/>
    <w:rsid w:val="184F548E"/>
    <w:rsid w:val="18505C91"/>
    <w:rsid w:val="18530325"/>
    <w:rsid w:val="185A626A"/>
    <w:rsid w:val="18635019"/>
    <w:rsid w:val="186A57E9"/>
    <w:rsid w:val="186E3A89"/>
    <w:rsid w:val="186F68C2"/>
    <w:rsid w:val="187B765D"/>
    <w:rsid w:val="18811A55"/>
    <w:rsid w:val="18840155"/>
    <w:rsid w:val="188446EC"/>
    <w:rsid w:val="188938AB"/>
    <w:rsid w:val="18A61AB5"/>
    <w:rsid w:val="18A904BC"/>
    <w:rsid w:val="18B04B96"/>
    <w:rsid w:val="18B15A61"/>
    <w:rsid w:val="18B20FDF"/>
    <w:rsid w:val="18B958B8"/>
    <w:rsid w:val="18BB5762"/>
    <w:rsid w:val="18C03F45"/>
    <w:rsid w:val="18C31CF7"/>
    <w:rsid w:val="18E15D60"/>
    <w:rsid w:val="18E81816"/>
    <w:rsid w:val="18F26BAD"/>
    <w:rsid w:val="18F81A0A"/>
    <w:rsid w:val="190E0247"/>
    <w:rsid w:val="190E6F48"/>
    <w:rsid w:val="19175609"/>
    <w:rsid w:val="191E45CC"/>
    <w:rsid w:val="1933034D"/>
    <w:rsid w:val="1944372C"/>
    <w:rsid w:val="194E422F"/>
    <w:rsid w:val="19564B29"/>
    <w:rsid w:val="195D1077"/>
    <w:rsid w:val="196307C6"/>
    <w:rsid w:val="19691073"/>
    <w:rsid w:val="196C24CB"/>
    <w:rsid w:val="196D360D"/>
    <w:rsid w:val="196F4602"/>
    <w:rsid w:val="19721D80"/>
    <w:rsid w:val="19747F66"/>
    <w:rsid w:val="197D6F1B"/>
    <w:rsid w:val="197E78B0"/>
    <w:rsid w:val="19892F83"/>
    <w:rsid w:val="198C19F3"/>
    <w:rsid w:val="198D31C8"/>
    <w:rsid w:val="19914E9C"/>
    <w:rsid w:val="19917EDC"/>
    <w:rsid w:val="19920491"/>
    <w:rsid w:val="199671AE"/>
    <w:rsid w:val="199D112F"/>
    <w:rsid w:val="19A13388"/>
    <w:rsid w:val="19A330FA"/>
    <w:rsid w:val="19BB6D27"/>
    <w:rsid w:val="19BC0FA9"/>
    <w:rsid w:val="19BC2958"/>
    <w:rsid w:val="19BD3CD0"/>
    <w:rsid w:val="19C814A0"/>
    <w:rsid w:val="19D329CC"/>
    <w:rsid w:val="19D33AE3"/>
    <w:rsid w:val="19D9740D"/>
    <w:rsid w:val="19E33C64"/>
    <w:rsid w:val="19F0122B"/>
    <w:rsid w:val="19FC1AC1"/>
    <w:rsid w:val="1A012835"/>
    <w:rsid w:val="1A022076"/>
    <w:rsid w:val="1A041B62"/>
    <w:rsid w:val="1A084A96"/>
    <w:rsid w:val="1A0D7B14"/>
    <w:rsid w:val="1A23581E"/>
    <w:rsid w:val="1A2437C1"/>
    <w:rsid w:val="1A246CC2"/>
    <w:rsid w:val="1A2C1094"/>
    <w:rsid w:val="1A2E5CCF"/>
    <w:rsid w:val="1A360805"/>
    <w:rsid w:val="1A387ADE"/>
    <w:rsid w:val="1A470A1C"/>
    <w:rsid w:val="1A487AB3"/>
    <w:rsid w:val="1A5A74C1"/>
    <w:rsid w:val="1A6010F0"/>
    <w:rsid w:val="1A6E1BF9"/>
    <w:rsid w:val="1A705BF0"/>
    <w:rsid w:val="1A711D5F"/>
    <w:rsid w:val="1A755538"/>
    <w:rsid w:val="1A755B66"/>
    <w:rsid w:val="1A780DDF"/>
    <w:rsid w:val="1A804A00"/>
    <w:rsid w:val="1A873977"/>
    <w:rsid w:val="1A8A1CFD"/>
    <w:rsid w:val="1AA63ADB"/>
    <w:rsid w:val="1AAF0206"/>
    <w:rsid w:val="1AB46C3A"/>
    <w:rsid w:val="1AB80344"/>
    <w:rsid w:val="1ABC3CA4"/>
    <w:rsid w:val="1ACF1098"/>
    <w:rsid w:val="1AD3318B"/>
    <w:rsid w:val="1AD5255E"/>
    <w:rsid w:val="1AD80E88"/>
    <w:rsid w:val="1AE522D1"/>
    <w:rsid w:val="1AE85A6C"/>
    <w:rsid w:val="1AE95836"/>
    <w:rsid w:val="1AEB71AB"/>
    <w:rsid w:val="1AFB6003"/>
    <w:rsid w:val="1B041FF0"/>
    <w:rsid w:val="1B06045D"/>
    <w:rsid w:val="1B091B1C"/>
    <w:rsid w:val="1B0C595B"/>
    <w:rsid w:val="1B106FCA"/>
    <w:rsid w:val="1B276EA5"/>
    <w:rsid w:val="1B463E8B"/>
    <w:rsid w:val="1B564372"/>
    <w:rsid w:val="1B5C24B0"/>
    <w:rsid w:val="1B5F7ECE"/>
    <w:rsid w:val="1B6D6EC2"/>
    <w:rsid w:val="1B7E52B8"/>
    <w:rsid w:val="1B7F3DC0"/>
    <w:rsid w:val="1B827149"/>
    <w:rsid w:val="1B876152"/>
    <w:rsid w:val="1B8D5841"/>
    <w:rsid w:val="1B8F0313"/>
    <w:rsid w:val="1B8F0EDA"/>
    <w:rsid w:val="1B906A6D"/>
    <w:rsid w:val="1B911454"/>
    <w:rsid w:val="1B974309"/>
    <w:rsid w:val="1BA005BC"/>
    <w:rsid w:val="1BA05E83"/>
    <w:rsid w:val="1BA82A53"/>
    <w:rsid w:val="1BA8306E"/>
    <w:rsid w:val="1BAB0EF9"/>
    <w:rsid w:val="1BB21B9B"/>
    <w:rsid w:val="1BB2228A"/>
    <w:rsid w:val="1BC77E9C"/>
    <w:rsid w:val="1BCA375B"/>
    <w:rsid w:val="1BD0314B"/>
    <w:rsid w:val="1BE42114"/>
    <w:rsid w:val="1BE952D5"/>
    <w:rsid w:val="1BF62AD3"/>
    <w:rsid w:val="1BFD6D4E"/>
    <w:rsid w:val="1C0119DD"/>
    <w:rsid w:val="1C013653"/>
    <w:rsid w:val="1C097A4B"/>
    <w:rsid w:val="1C1A5725"/>
    <w:rsid w:val="1C2008EB"/>
    <w:rsid w:val="1C347228"/>
    <w:rsid w:val="1C3E46DF"/>
    <w:rsid w:val="1C3F6E7C"/>
    <w:rsid w:val="1C4105FD"/>
    <w:rsid w:val="1C4F6033"/>
    <w:rsid w:val="1C6F3AEE"/>
    <w:rsid w:val="1C831D79"/>
    <w:rsid w:val="1CB01A72"/>
    <w:rsid w:val="1CB262C7"/>
    <w:rsid w:val="1CB64E7D"/>
    <w:rsid w:val="1CB878B9"/>
    <w:rsid w:val="1CC96D2B"/>
    <w:rsid w:val="1CD07A99"/>
    <w:rsid w:val="1CD90381"/>
    <w:rsid w:val="1CD92D11"/>
    <w:rsid w:val="1CD96678"/>
    <w:rsid w:val="1CE14659"/>
    <w:rsid w:val="1CE25A9F"/>
    <w:rsid w:val="1CE468ED"/>
    <w:rsid w:val="1CE515C9"/>
    <w:rsid w:val="1CF46CB9"/>
    <w:rsid w:val="1CFB574B"/>
    <w:rsid w:val="1D046F41"/>
    <w:rsid w:val="1D165185"/>
    <w:rsid w:val="1D221DF1"/>
    <w:rsid w:val="1D2605A5"/>
    <w:rsid w:val="1D2D2CC7"/>
    <w:rsid w:val="1D300756"/>
    <w:rsid w:val="1D3D3656"/>
    <w:rsid w:val="1D40182A"/>
    <w:rsid w:val="1D405329"/>
    <w:rsid w:val="1D49365B"/>
    <w:rsid w:val="1D496364"/>
    <w:rsid w:val="1D4C1A56"/>
    <w:rsid w:val="1D5C6F93"/>
    <w:rsid w:val="1D622404"/>
    <w:rsid w:val="1D677606"/>
    <w:rsid w:val="1D68100A"/>
    <w:rsid w:val="1D740BD4"/>
    <w:rsid w:val="1D7804EC"/>
    <w:rsid w:val="1D7E173E"/>
    <w:rsid w:val="1D803421"/>
    <w:rsid w:val="1D806C5E"/>
    <w:rsid w:val="1D811989"/>
    <w:rsid w:val="1D826114"/>
    <w:rsid w:val="1D826F5D"/>
    <w:rsid w:val="1D8630C0"/>
    <w:rsid w:val="1D8710E7"/>
    <w:rsid w:val="1D8B2861"/>
    <w:rsid w:val="1D8F2F7E"/>
    <w:rsid w:val="1D92371A"/>
    <w:rsid w:val="1D943A3B"/>
    <w:rsid w:val="1D977658"/>
    <w:rsid w:val="1D985678"/>
    <w:rsid w:val="1D9F54B2"/>
    <w:rsid w:val="1DA6048A"/>
    <w:rsid w:val="1DA75113"/>
    <w:rsid w:val="1DAF750A"/>
    <w:rsid w:val="1DBA4753"/>
    <w:rsid w:val="1DBC4974"/>
    <w:rsid w:val="1DBF0E58"/>
    <w:rsid w:val="1DBF0FB1"/>
    <w:rsid w:val="1DC479C5"/>
    <w:rsid w:val="1DC722C5"/>
    <w:rsid w:val="1DE24DBE"/>
    <w:rsid w:val="1DE516EF"/>
    <w:rsid w:val="1DE85768"/>
    <w:rsid w:val="1DEF635F"/>
    <w:rsid w:val="1DF151F6"/>
    <w:rsid w:val="1DF713E6"/>
    <w:rsid w:val="1DF93544"/>
    <w:rsid w:val="1E11775A"/>
    <w:rsid w:val="1E1758DB"/>
    <w:rsid w:val="1E1D12C6"/>
    <w:rsid w:val="1E223F23"/>
    <w:rsid w:val="1E3B2DA8"/>
    <w:rsid w:val="1E402FD1"/>
    <w:rsid w:val="1E464C3C"/>
    <w:rsid w:val="1E5E640D"/>
    <w:rsid w:val="1E603A68"/>
    <w:rsid w:val="1E6876E3"/>
    <w:rsid w:val="1E773874"/>
    <w:rsid w:val="1E785F90"/>
    <w:rsid w:val="1E792531"/>
    <w:rsid w:val="1E83740A"/>
    <w:rsid w:val="1E875E3F"/>
    <w:rsid w:val="1E902857"/>
    <w:rsid w:val="1E935450"/>
    <w:rsid w:val="1E9441E5"/>
    <w:rsid w:val="1E94764A"/>
    <w:rsid w:val="1EA5295E"/>
    <w:rsid w:val="1EA53F4D"/>
    <w:rsid w:val="1EAA3671"/>
    <w:rsid w:val="1EAC293C"/>
    <w:rsid w:val="1EAD468C"/>
    <w:rsid w:val="1EB414D1"/>
    <w:rsid w:val="1EC3691E"/>
    <w:rsid w:val="1EC40F98"/>
    <w:rsid w:val="1EC51DCD"/>
    <w:rsid w:val="1EC83FE6"/>
    <w:rsid w:val="1ECA0C3E"/>
    <w:rsid w:val="1ED715DC"/>
    <w:rsid w:val="1EDA4F39"/>
    <w:rsid w:val="1EE93243"/>
    <w:rsid w:val="1EF47BE0"/>
    <w:rsid w:val="1EF62A60"/>
    <w:rsid w:val="1EFA02DA"/>
    <w:rsid w:val="1F0275E3"/>
    <w:rsid w:val="1F0B1A72"/>
    <w:rsid w:val="1F0D399D"/>
    <w:rsid w:val="1F140B15"/>
    <w:rsid w:val="1F155F13"/>
    <w:rsid w:val="1F16294F"/>
    <w:rsid w:val="1F1F0077"/>
    <w:rsid w:val="1F26694C"/>
    <w:rsid w:val="1F2A6F09"/>
    <w:rsid w:val="1F2C5C92"/>
    <w:rsid w:val="1F2E3578"/>
    <w:rsid w:val="1F2E4446"/>
    <w:rsid w:val="1F3337CE"/>
    <w:rsid w:val="1F34416D"/>
    <w:rsid w:val="1F3664DC"/>
    <w:rsid w:val="1F3D4C9B"/>
    <w:rsid w:val="1F3E6BB2"/>
    <w:rsid w:val="1F46778C"/>
    <w:rsid w:val="1F4A263D"/>
    <w:rsid w:val="1F5B7E2E"/>
    <w:rsid w:val="1F697A31"/>
    <w:rsid w:val="1F6C5988"/>
    <w:rsid w:val="1F754C58"/>
    <w:rsid w:val="1F84409F"/>
    <w:rsid w:val="1F84542A"/>
    <w:rsid w:val="1F88425D"/>
    <w:rsid w:val="1F890A23"/>
    <w:rsid w:val="1F945823"/>
    <w:rsid w:val="1F960811"/>
    <w:rsid w:val="1F9957C1"/>
    <w:rsid w:val="1FD44309"/>
    <w:rsid w:val="1FD475FE"/>
    <w:rsid w:val="1FD5747B"/>
    <w:rsid w:val="1FDA269B"/>
    <w:rsid w:val="1FDB30CE"/>
    <w:rsid w:val="1FE36EDE"/>
    <w:rsid w:val="1FE7341F"/>
    <w:rsid w:val="1FE93DAD"/>
    <w:rsid w:val="1FF24A2D"/>
    <w:rsid w:val="20186DE7"/>
    <w:rsid w:val="20227AAE"/>
    <w:rsid w:val="20237FE4"/>
    <w:rsid w:val="202E1312"/>
    <w:rsid w:val="2039185F"/>
    <w:rsid w:val="20401946"/>
    <w:rsid w:val="20442348"/>
    <w:rsid w:val="20460ABE"/>
    <w:rsid w:val="20477621"/>
    <w:rsid w:val="204C52A5"/>
    <w:rsid w:val="204E3D9D"/>
    <w:rsid w:val="205731E8"/>
    <w:rsid w:val="206B395C"/>
    <w:rsid w:val="20732A32"/>
    <w:rsid w:val="20736FFA"/>
    <w:rsid w:val="208A22FB"/>
    <w:rsid w:val="208A675F"/>
    <w:rsid w:val="208D695C"/>
    <w:rsid w:val="20A35C53"/>
    <w:rsid w:val="20BB2391"/>
    <w:rsid w:val="20C03EDF"/>
    <w:rsid w:val="20C16804"/>
    <w:rsid w:val="20CA7B82"/>
    <w:rsid w:val="20DF0902"/>
    <w:rsid w:val="20E31216"/>
    <w:rsid w:val="20EC1627"/>
    <w:rsid w:val="20EC7205"/>
    <w:rsid w:val="20EE43A2"/>
    <w:rsid w:val="20EF1955"/>
    <w:rsid w:val="20F1329E"/>
    <w:rsid w:val="20F27A75"/>
    <w:rsid w:val="2105402B"/>
    <w:rsid w:val="210824B6"/>
    <w:rsid w:val="210965FD"/>
    <w:rsid w:val="210A0793"/>
    <w:rsid w:val="21125D02"/>
    <w:rsid w:val="2116630D"/>
    <w:rsid w:val="21167989"/>
    <w:rsid w:val="2119330D"/>
    <w:rsid w:val="21264685"/>
    <w:rsid w:val="21303941"/>
    <w:rsid w:val="21432058"/>
    <w:rsid w:val="21514503"/>
    <w:rsid w:val="21594C3F"/>
    <w:rsid w:val="21663A7F"/>
    <w:rsid w:val="21682FBD"/>
    <w:rsid w:val="216D6971"/>
    <w:rsid w:val="21711D88"/>
    <w:rsid w:val="217275BB"/>
    <w:rsid w:val="21825C89"/>
    <w:rsid w:val="21851B72"/>
    <w:rsid w:val="21852B2B"/>
    <w:rsid w:val="218F2D4A"/>
    <w:rsid w:val="219A5F81"/>
    <w:rsid w:val="21A00E02"/>
    <w:rsid w:val="21A35D28"/>
    <w:rsid w:val="21A41D28"/>
    <w:rsid w:val="21A64D43"/>
    <w:rsid w:val="21B1163E"/>
    <w:rsid w:val="21B87F2D"/>
    <w:rsid w:val="21B968CA"/>
    <w:rsid w:val="21BB11C1"/>
    <w:rsid w:val="21BC0FEB"/>
    <w:rsid w:val="21BD5823"/>
    <w:rsid w:val="21DF1BE6"/>
    <w:rsid w:val="21EC7650"/>
    <w:rsid w:val="21EE70F2"/>
    <w:rsid w:val="21EF26A8"/>
    <w:rsid w:val="220E2201"/>
    <w:rsid w:val="22136407"/>
    <w:rsid w:val="2218387C"/>
    <w:rsid w:val="221B26A1"/>
    <w:rsid w:val="221C2D28"/>
    <w:rsid w:val="222A27F8"/>
    <w:rsid w:val="2236311E"/>
    <w:rsid w:val="223A5D54"/>
    <w:rsid w:val="223B7110"/>
    <w:rsid w:val="223D4B0A"/>
    <w:rsid w:val="223D6189"/>
    <w:rsid w:val="223F6886"/>
    <w:rsid w:val="224469D9"/>
    <w:rsid w:val="22461089"/>
    <w:rsid w:val="224B682E"/>
    <w:rsid w:val="22507A05"/>
    <w:rsid w:val="225B6014"/>
    <w:rsid w:val="226208AF"/>
    <w:rsid w:val="22670A75"/>
    <w:rsid w:val="22681618"/>
    <w:rsid w:val="226A0BE6"/>
    <w:rsid w:val="228719B0"/>
    <w:rsid w:val="228B7E79"/>
    <w:rsid w:val="228C68C8"/>
    <w:rsid w:val="228D0A1B"/>
    <w:rsid w:val="229549C3"/>
    <w:rsid w:val="22A3275E"/>
    <w:rsid w:val="22A935B0"/>
    <w:rsid w:val="22AE4947"/>
    <w:rsid w:val="22BC2808"/>
    <w:rsid w:val="22BD7984"/>
    <w:rsid w:val="22C56F57"/>
    <w:rsid w:val="22C6017A"/>
    <w:rsid w:val="22D457AE"/>
    <w:rsid w:val="22E268EE"/>
    <w:rsid w:val="22E977C0"/>
    <w:rsid w:val="22EB7658"/>
    <w:rsid w:val="22F14B23"/>
    <w:rsid w:val="23037033"/>
    <w:rsid w:val="230C4A56"/>
    <w:rsid w:val="23175C00"/>
    <w:rsid w:val="23180CBC"/>
    <w:rsid w:val="23200898"/>
    <w:rsid w:val="233735A3"/>
    <w:rsid w:val="23377764"/>
    <w:rsid w:val="235A39AF"/>
    <w:rsid w:val="23610A54"/>
    <w:rsid w:val="23622D67"/>
    <w:rsid w:val="236315EF"/>
    <w:rsid w:val="236F5C84"/>
    <w:rsid w:val="237152CF"/>
    <w:rsid w:val="237A48DC"/>
    <w:rsid w:val="237E4C78"/>
    <w:rsid w:val="23952E2F"/>
    <w:rsid w:val="239762CA"/>
    <w:rsid w:val="239C6F7A"/>
    <w:rsid w:val="23A54998"/>
    <w:rsid w:val="23A97D08"/>
    <w:rsid w:val="23B00A47"/>
    <w:rsid w:val="23B14E24"/>
    <w:rsid w:val="23B575BE"/>
    <w:rsid w:val="23B70982"/>
    <w:rsid w:val="23B87B59"/>
    <w:rsid w:val="23CB519F"/>
    <w:rsid w:val="23D1352E"/>
    <w:rsid w:val="23D90AF3"/>
    <w:rsid w:val="23DE0747"/>
    <w:rsid w:val="23DE45E7"/>
    <w:rsid w:val="23E67600"/>
    <w:rsid w:val="23E81430"/>
    <w:rsid w:val="23E83656"/>
    <w:rsid w:val="23EB0A4F"/>
    <w:rsid w:val="23EB2B18"/>
    <w:rsid w:val="23FB720C"/>
    <w:rsid w:val="24030C15"/>
    <w:rsid w:val="240F5891"/>
    <w:rsid w:val="2422680C"/>
    <w:rsid w:val="243F675B"/>
    <w:rsid w:val="24420785"/>
    <w:rsid w:val="24470686"/>
    <w:rsid w:val="244C176F"/>
    <w:rsid w:val="24551CF6"/>
    <w:rsid w:val="24574733"/>
    <w:rsid w:val="24586476"/>
    <w:rsid w:val="246A1A30"/>
    <w:rsid w:val="247353C7"/>
    <w:rsid w:val="248B0252"/>
    <w:rsid w:val="2490037A"/>
    <w:rsid w:val="249742A5"/>
    <w:rsid w:val="24A65A65"/>
    <w:rsid w:val="24A93D60"/>
    <w:rsid w:val="24B12BAF"/>
    <w:rsid w:val="24B97721"/>
    <w:rsid w:val="24BE3185"/>
    <w:rsid w:val="24C10181"/>
    <w:rsid w:val="24C46364"/>
    <w:rsid w:val="24D13932"/>
    <w:rsid w:val="24DC6B7A"/>
    <w:rsid w:val="24EC00EF"/>
    <w:rsid w:val="24ED4C3F"/>
    <w:rsid w:val="24F2591D"/>
    <w:rsid w:val="24F4392F"/>
    <w:rsid w:val="24FA3C77"/>
    <w:rsid w:val="251409C5"/>
    <w:rsid w:val="25212525"/>
    <w:rsid w:val="252E4D6B"/>
    <w:rsid w:val="252F0956"/>
    <w:rsid w:val="252F5AD5"/>
    <w:rsid w:val="25491960"/>
    <w:rsid w:val="255A29AE"/>
    <w:rsid w:val="258500F7"/>
    <w:rsid w:val="25880AC7"/>
    <w:rsid w:val="258B1F72"/>
    <w:rsid w:val="258C19E8"/>
    <w:rsid w:val="258E2A5D"/>
    <w:rsid w:val="25A163D1"/>
    <w:rsid w:val="25B92F29"/>
    <w:rsid w:val="25BB7391"/>
    <w:rsid w:val="25D04D16"/>
    <w:rsid w:val="25D420DB"/>
    <w:rsid w:val="25D66314"/>
    <w:rsid w:val="25DA411D"/>
    <w:rsid w:val="25DC3046"/>
    <w:rsid w:val="25F90EA7"/>
    <w:rsid w:val="25F94E99"/>
    <w:rsid w:val="26046D5F"/>
    <w:rsid w:val="260A12F1"/>
    <w:rsid w:val="260D09A6"/>
    <w:rsid w:val="260D6816"/>
    <w:rsid w:val="261177C1"/>
    <w:rsid w:val="2613241C"/>
    <w:rsid w:val="261940F7"/>
    <w:rsid w:val="261F28C2"/>
    <w:rsid w:val="262D526E"/>
    <w:rsid w:val="26315D39"/>
    <w:rsid w:val="263408D8"/>
    <w:rsid w:val="265303C8"/>
    <w:rsid w:val="26577AFF"/>
    <w:rsid w:val="26712575"/>
    <w:rsid w:val="267761E9"/>
    <w:rsid w:val="26784004"/>
    <w:rsid w:val="268B4755"/>
    <w:rsid w:val="26921EBA"/>
    <w:rsid w:val="26AE11BA"/>
    <w:rsid w:val="26B17905"/>
    <w:rsid w:val="26B44796"/>
    <w:rsid w:val="26B52E09"/>
    <w:rsid w:val="26B6052D"/>
    <w:rsid w:val="26BB427C"/>
    <w:rsid w:val="26C12084"/>
    <w:rsid w:val="26C330BC"/>
    <w:rsid w:val="26C46722"/>
    <w:rsid w:val="26C75376"/>
    <w:rsid w:val="26CD7C66"/>
    <w:rsid w:val="26D15B37"/>
    <w:rsid w:val="26D677DC"/>
    <w:rsid w:val="26D81990"/>
    <w:rsid w:val="26D87337"/>
    <w:rsid w:val="26DD4956"/>
    <w:rsid w:val="26E079D9"/>
    <w:rsid w:val="26E2531F"/>
    <w:rsid w:val="26E63679"/>
    <w:rsid w:val="26E6595F"/>
    <w:rsid w:val="26E95199"/>
    <w:rsid w:val="26EF2707"/>
    <w:rsid w:val="27010B71"/>
    <w:rsid w:val="27013DDD"/>
    <w:rsid w:val="2704029C"/>
    <w:rsid w:val="27192F54"/>
    <w:rsid w:val="271D2A54"/>
    <w:rsid w:val="271D4289"/>
    <w:rsid w:val="272206D2"/>
    <w:rsid w:val="272254F3"/>
    <w:rsid w:val="272262DD"/>
    <w:rsid w:val="273D0942"/>
    <w:rsid w:val="274073E6"/>
    <w:rsid w:val="2745682F"/>
    <w:rsid w:val="274643CE"/>
    <w:rsid w:val="274707E3"/>
    <w:rsid w:val="2747127B"/>
    <w:rsid w:val="27482CD3"/>
    <w:rsid w:val="27492E94"/>
    <w:rsid w:val="27496045"/>
    <w:rsid w:val="274C58A1"/>
    <w:rsid w:val="276168BC"/>
    <w:rsid w:val="276F29F5"/>
    <w:rsid w:val="278E6AC8"/>
    <w:rsid w:val="279711FA"/>
    <w:rsid w:val="279D6C2E"/>
    <w:rsid w:val="279F31EA"/>
    <w:rsid w:val="27A67EDA"/>
    <w:rsid w:val="27B86BD7"/>
    <w:rsid w:val="27C64FFE"/>
    <w:rsid w:val="27C72266"/>
    <w:rsid w:val="27CA677A"/>
    <w:rsid w:val="27CD62CE"/>
    <w:rsid w:val="27E70850"/>
    <w:rsid w:val="27F100F6"/>
    <w:rsid w:val="27F4284D"/>
    <w:rsid w:val="27F91811"/>
    <w:rsid w:val="27FB2129"/>
    <w:rsid w:val="2801188A"/>
    <w:rsid w:val="280C2F35"/>
    <w:rsid w:val="281B6C4D"/>
    <w:rsid w:val="28245A47"/>
    <w:rsid w:val="28284815"/>
    <w:rsid w:val="282B4CE0"/>
    <w:rsid w:val="282D145B"/>
    <w:rsid w:val="282E6D5B"/>
    <w:rsid w:val="283F4062"/>
    <w:rsid w:val="28532834"/>
    <w:rsid w:val="2866531A"/>
    <w:rsid w:val="286E1F03"/>
    <w:rsid w:val="287075D7"/>
    <w:rsid w:val="28750F84"/>
    <w:rsid w:val="287E605B"/>
    <w:rsid w:val="287F28BE"/>
    <w:rsid w:val="28946A2E"/>
    <w:rsid w:val="289B2F15"/>
    <w:rsid w:val="28A27146"/>
    <w:rsid w:val="28B65635"/>
    <w:rsid w:val="28BB728F"/>
    <w:rsid w:val="28D37307"/>
    <w:rsid w:val="28DC421D"/>
    <w:rsid w:val="28EA51CB"/>
    <w:rsid w:val="28EC464B"/>
    <w:rsid w:val="28F30327"/>
    <w:rsid w:val="28F45255"/>
    <w:rsid w:val="28FD25D8"/>
    <w:rsid w:val="28FD76BF"/>
    <w:rsid w:val="28FF25AB"/>
    <w:rsid w:val="29015F6C"/>
    <w:rsid w:val="290773FD"/>
    <w:rsid w:val="29134097"/>
    <w:rsid w:val="29144819"/>
    <w:rsid w:val="29160E65"/>
    <w:rsid w:val="2917798F"/>
    <w:rsid w:val="29366B2D"/>
    <w:rsid w:val="293E4689"/>
    <w:rsid w:val="2943545C"/>
    <w:rsid w:val="294D66B8"/>
    <w:rsid w:val="295512B4"/>
    <w:rsid w:val="29607095"/>
    <w:rsid w:val="29610052"/>
    <w:rsid w:val="29697642"/>
    <w:rsid w:val="296A425C"/>
    <w:rsid w:val="296E3B7A"/>
    <w:rsid w:val="296F4827"/>
    <w:rsid w:val="29701B5E"/>
    <w:rsid w:val="29763DE9"/>
    <w:rsid w:val="2987431B"/>
    <w:rsid w:val="29920908"/>
    <w:rsid w:val="29970D16"/>
    <w:rsid w:val="29971577"/>
    <w:rsid w:val="29997396"/>
    <w:rsid w:val="29AB4304"/>
    <w:rsid w:val="29B111AA"/>
    <w:rsid w:val="29B774F0"/>
    <w:rsid w:val="29BB77C8"/>
    <w:rsid w:val="29BC4D54"/>
    <w:rsid w:val="29CB24F5"/>
    <w:rsid w:val="29D722C3"/>
    <w:rsid w:val="29DF6DFE"/>
    <w:rsid w:val="29EE7D2F"/>
    <w:rsid w:val="29FA051E"/>
    <w:rsid w:val="29FB0A93"/>
    <w:rsid w:val="2A0E1023"/>
    <w:rsid w:val="2A18243D"/>
    <w:rsid w:val="2A18655C"/>
    <w:rsid w:val="2A1C6FBF"/>
    <w:rsid w:val="2A251FF0"/>
    <w:rsid w:val="2A26037B"/>
    <w:rsid w:val="2A2D296A"/>
    <w:rsid w:val="2A321343"/>
    <w:rsid w:val="2A366FCE"/>
    <w:rsid w:val="2A3A16EF"/>
    <w:rsid w:val="2A3A77B9"/>
    <w:rsid w:val="2A3A7AA6"/>
    <w:rsid w:val="2A3E7067"/>
    <w:rsid w:val="2A3F451E"/>
    <w:rsid w:val="2A4D620C"/>
    <w:rsid w:val="2A502E86"/>
    <w:rsid w:val="2A5E1AC9"/>
    <w:rsid w:val="2A65365A"/>
    <w:rsid w:val="2A6C6076"/>
    <w:rsid w:val="2A7B58E7"/>
    <w:rsid w:val="2A7D4926"/>
    <w:rsid w:val="2A9226FA"/>
    <w:rsid w:val="2A944403"/>
    <w:rsid w:val="2A981BD1"/>
    <w:rsid w:val="2AAF1140"/>
    <w:rsid w:val="2ABD7964"/>
    <w:rsid w:val="2ABE29BC"/>
    <w:rsid w:val="2AC23738"/>
    <w:rsid w:val="2ACB0649"/>
    <w:rsid w:val="2ACC2B60"/>
    <w:rsid w:val="2AD332E0"/>
    <w:rsid w:val="2AD9367A"/>
    <w:rsid w:val="2ADE756D"/>
    <w:rsid w:val="2B026CC9"/>
    <w:rsid w:val="2B1924C0"/>
    <w:rsid w:val="2B1D4782"/>
    <w:rsid w:val="2B1E02ED"/>
    <w:rsid w:val="2B1E72AB"/>
    <w:rsid w:val="2B2E0A62"/>
    <w:rsid w:val="2B2F1A1C"/>
    <w:rsid w:val="2B45231D"/>
    <w:rsid w:val="2B6420B2"/>
    <w:rsid w:val="2B70142B"/>
    <w:rsid w:val="2B76097E"/>
    <w:rsid w:val="2B8B6F7C"/>
    <w:rsid w:val="2B904FAA"/>
    <w:rsid w:val="2B9A1F88"/>
    <w:rsid w:val="2B9E4E04"/>
    <w:rsid w:val="2BA84B86"/>
    <w:rsid w:val="2BAC164F"/>
    <w:rsid w:val="2BB72078"/>
    <w:rsid w:val="2BB81F1B"/>
    <w:rsid w:val="2BC34F3C"/>
    <w:rsid w:val="2BC51315"/>
    <w:rsid w:val="2BD070B5"/>
    <w:rsid w:val="2BD923CC"/>
    <w:rsid w:val="2BE13B7A"/>
    <w:rsid w:val="2BE55DFE"/>
    <w:rsid w:val="2BEA1C20"/>
    <w:rsid w:val="2BED0017"/>
    <w:rsid w:val="2BEF51C3"/>
    <w:rsid w:val="2BF56865"/>
    <w:rsid w:val="2BFC2B58"/>
    <w:rsid w:val="2C0344F4"/>
    <w:rsid w:val="2C076F43"/>
    <w:rsid w:val="2C256BC3"/>
    <w:rsid w:val="2C283A52"/>
    <w:rsid w:val="2C2E189B"/>
    <w:rsid w:val="2C3C4C66"/>
    <w:rsid w:val="2C495CC8"/>
    <w:rsid w:val="2C4E5F4D"/>
    <w:rsid w:val="2C523113"/>
    <w:rsid w:val="2C612DD1"/>
    <w:rsid w:val="2C6A14CA"/>
    <w:rsid w:val="2C6B275C"/>
    <w:rsid w:val="2C6B4BE2"/>
    <w:rsid w:val="2C6D2096"/>
    <w:rsid w:val="2C743DE1"/>
    <w:rsid w:val="2C7662C3"/>
    <w:rsid w:val="2C7A13FA"/>
    <w:rsid w:val="2C845139"/>
    <w:rsid w:val="2C8B60E8"/>
    <w:rsid w:val="2C9D6253"/>
    <w:rsid w:val="2CA156AF"/>
    <w:rsid w:val="2CA52D86"/>
    <w:rsid w:val="2CA562FD"/>
    <w:rsid w:val="2CA66169"/>
    <w:rsid w:val="2CB21517"/>
    <w:rsid w:val="2CB2362D"/>
    <w:rsid w:val="2CC22AB9"/>
    <w:rsid w:val="2CC30E08"/>
    <w:rsid w:val="2CCB4080"/>
    <w:rsid w:val="2CCB4379"/>
    <w:rsid w:val="2CE17E44"/>
    <w:rsid w:val="2CE208A9"/>
    <w:rsid w:val="2CE658AC"/>
    <w:rsid w:val="2CF07EFE"/>
    <w:rsid w:val="2CFA55C8"/>
    <w:rsid w:val="2D005D9E"/>
    <w:rsid w:val="2D042C77"/>
    <w:rsid w:val="2D0C5C9C"/>
    <w:rsid w:val="2D107E26"/>
    <w:rsid w:val="2D167750"/>
    <w:rsid w:val="2D1A1EFF"/>
    <w:rsid w:val="2D212BFA"/>
    <w:rsid w:val="2D316387"/>
    <w:rsid w:val="2D362B1F"/>
    <w:rsid w:val="2D6A653A"/>
    <w:rsid w:val="2D6A7941"/>
    <w:rsid w:val="2D74389A"/>
    <w:rsid w:val="2D7520E3"/>
    <w:rsid w:val="2D7650B2"/>
    <w:rsid w:val="2D767FCD"/>
    <w:rsid w:val="2D7756C2"/>
    <w:rsid w:val="2D786DA5"/>
    <w:rsid w:val="2D7C0E14"/>
    <w:rsid w:val="2D7E55C9"/>
    <w:rsid w:val="2D8014D8"/>
    <w:rsid w:val="2D836E67"/>
    <w:rsid w:val="2D936FC3"/>
    <w:rsid w:val="2D9510BD"/>
    <w:rsid w:val="2D9A5DCC"/>
    <w:rsid w:val="2DA7128C"/>
    <w:rsid w:val="2DAA03C9"/>
    <w:rsid w:val="2DAB562B"/>
    <w:rsid w:val="2DB313EE"/>
    <w:rsid w:val="2DBF5138"/>
    <w:rsid w:val="2DC3317B"/>
    <w:rsid w:val="2DCD7F77"/>
    <w:rsid w:val="2DD34349"/>
    <w:rsid w:val="2DEA3C78"/>
    <w:rsid w:val="2DEA5E34"/>
    <w:rsid w:val="2DED6837"/>
    <w:rsid w:val="2E051C00"/>
    <w:rsid w:val="2E1C0BC2"/>
    <w:rsid w:val="2E2D4D9C"/>
    <w:rsid w:val="2E3B49AB"/>
    <w:rsid w:val="2E4C54A2"/>
    <w:rsid w:val="2E6B6033"/>
    <w:rsid w:val="2E6B63F8"/>
    <w:rsid w:val="2E7459FF"/>
    <w:rsid w:val="2E754C7A"/>
    <w:rsid w:val="2E786885"/>
    <w:rsid w:val="2E7B7998"/>
    <w:rsid w:val="2E875768"/>
    <w:rsid w:val="2E9B2304"/>
    <w:rsid w:val="2EB511B5"/>
    <w:rsid w:val="2EBF1EDF"/>
    <w:rsid w:val="2EBF60CC"/>
    <w:rsid w:val="2EC26107"/>
    <w:rsid w:val="2EEC0166"/>
    <w:rsid w:val="2EED36C2"/>
    <w:rsid w:val="2EEF396F"/>
    <w:rsid w:val="2EF95497"/>
    <w:rsid w:val="2EF979B4"/>
    <w:rsid w:val="2F085140"/>
    <w:rsid w:val="2F115692"/>
    <w:rsid w:val="2F136581"/>
    <w:rsid w:val="2F16599A"/>
    <w:rsid w:val="2F170617"/>
    <w:rsid w:val="2F273575"/>
    <w:rsid w:val="2F3340F3"/>
    <w:rsid w:val="2F357AAB"/>
    <w:rsid w:val="2F3F2E70"/>
    <w:rsid w:val="2F4605D0"/>
    <w:rsid w:val="2F4674DE"/>
    <w:rsid w:val="2F631FB4"/>
    <w:rsid w:val="2F6426C3"/>
    <w:rsid w:val="2F6F78C9"/>
    <w:rsid w:val="2F730D60"/>
    <w:rsid w:val="2F830648"/>
    <w:rsid w:val="2F874643"/>
    <w:rsid w:val="2F8B2C64"/>
    <w:rsid w:val="2F8F6997"/>
    <w:rsid w:val="2F946B24"/>
    <w:rsid w:val="2F9B7B41"/>
    <w:rsid w:val="2F9F320A"/>
    <w:rsid w:val="2FA17658"/>
    <w:rsid w:val="2FA47FED"/>
    <w:rsid w:val="2FA97489"/>
    <w:rsid w:val="2FAD1A9F"/>
    <w:rsid w:val="2FC1325F"/>
    <w:rsid w:val="2FC37E89"/>
    <w:rsid w:val="2FC4413C"/>
    <w:rsid w:val="2FD22643"/>
    <w:rsid w:val="2FD23221"/>
    <w:rsid w:val="2FE33BF6"/>
    <w:rsid w:val="2FF10D6B"/>
    <w:rsid w:val="2FF97371"/>
    <w:rsid w:val="300310DE"/>
    <w:rsid w:val="3020216C"/>
    <w:rsid w:val="30237FE3"/>
    <w:rsid w:val="30286363"/>
    <w:rsid w:val="302E6651"/>
    <w:rsid w:val="30394555"/>
    <w:rsid w:val="303D7DBC"/>
    <w:rsid w:val="30402417"/>
    <w:rsid w:val="30440CA4"/>
    <w:rsid w:val="304F2945"/>
    <w:rsid w:val="304F2B25"/>
    <w:rsid w:val="30520510"/>
    <w:rsid w:val="30571FA8"/>
    <w:rsid w:val="30587CC6"/>
    <w:rsid w:val="305A590C"/>
    <w:rsid w:val="30621083"/>
    <w:rsid w:val="306B0D40"/>
    <w:rsid w:val="307B0883"/>
    <w:rsid w:val="307C5FF2"/>
    <w:rsid w:val="307F2656"/>
    <w:rsid w:val="307F5889"/>
    <w:rsid w:val="30805337"/>
    <w:rsid w:val="308B6A1F"/>
    <w:rsid w:val="308F20D3"/>
    <w:rsid w:val="30982BAE"/>
    <w:rsid w:val="30A23377"/>
    <w:rsid w:val="30A2430C"/>
    <w:rsid w:val="30A57B00"/>
    <w:rsid w:val="30B04C05"/>
    <w:rsid w:val="30B17DA4"/>
    <w:rsid w:val="30B679B1"/>
    <w:rsid w:val="30B8499C"/>
    <w:rsid w:val="30C6280F"/>
    <w:rsid w:val="30CA53D2"/>
    <w:rsid w:val="30D3587E"/>
    <w:rsid w:val="30D81E19"/>
    <w:rsid w:val="30DD7E20"/>
    <w:rsid w:val="30EB462A"/>
    <w:rsid w:val="30EB4DF7"/>
    <w:rsid w:val="30F46650"/>
    <w:rsid w:val="30F74D77"/>
    <w:rsid w:val="31025CAB"/>
    <w:rsid w:val="31046C9E"/>
    <w:rsid w:val="3123695D"/>
    <w:rsid w:val="312A211D"/>
    <w:rsid w:val="312E02CD"/>
    <w:rsid w:val="31451771"/>
    <w:rsid w:val="31464F60"/>
    <w:rsid w:val="314C4E9A"/>
    <w:rsid w:val="314D2AFF"/>
    <w:rsid w:val="315309E4"/>
    <w:rsid w:val="3157033B"/>
    <w:rsid w:val="31583E74"/>
    <w:rsid w:val="3160680C"/>
    <w:rsid w:val="31627836"/>
    <w:rsid w:val="316B2A01"/>
    <w:rsid w:val="317103AB"/>
    <w:rsid w:val="317C67E5"/>
    <w:rsid w:val="317D2A22"/>
    <w:rsid w:val="317F7517"/>
    <w:rsid w:val="31836851"/>
    <w:rsid w:val="3185054D"/>
    <w:rsid w:val="318559A8"/>
    <w:rsid w:val="319D1AE1"/>
    <w:rsid w:val="31AA14FF"/>
    <w:rsid w:val="31C3418B"/>
    <w:rsid w:val="31CA32C1"/>
    <w:rsid w:val="31D36404"/>
    <w:rsid w:val="31F448FE"/>
    <w:rsid w:val="31FB21E2"/>
    <w:rsid w:val="31FD16C1"/>
    <w:rsid w:val="32090B3F"/>
    <w:rsid w:val="32093782"/>
    <w:rsid w:val="32147581"/>
    <w:rsid w:val="3222264A"/>
    <w:rsid w:val="32252236"/>
    <w:rsid w:val="322E5EAE"/>
    <w:rsid w:val="32371329"/>
    <w:rsid w:val="323D6AD8"/>
    <w:rsid w:val="323E7026"/>
    <w:rsid w:val="32416DA9"/>
    <w:rsid w:val="32435CF5"/>
    <w:rsid w:val="32446F22"/>
    <w:rsid w:val="324A753A"/>
    <w:rsid w:val="324D02EB"/>
    <w:rsid w:val="324F4958"/>
    <w:rsid w:val="325445BC"/>
    <w:rsid w:val="3256465E"/>
    <w:rsid w:val="326D026D"/>
    <w:rsid w:val="32713907"/>
    <w:rsid w:val="32784742"/>
    <w:rsid w:val="327C50AC"/>
    <w:rsid w:val="32852585"/>
    <w:rsid w:val="32942129"/>
    <w:rsid w:val="32A7153C"/>
    <w:rsid w:val="32AE32DC"/>
    <w:rsid w:val="32B7305C"/>
    <w:rsid w:val="32B83797"/>
    <w:rsid w:val="32CA1C6F"/>
    <w:rsid w:val="32D43434"/>
    <w:rsid w:val="32DD6818"/>
    <w:rsid w:val="32E74AD5"/>
    <w:rsid w:val="32EF6B15"/>
    <w:rsid w:val="33010ADE"/>
    <w:rsid w:val="3305382C"/>
    <w:rsid w:val="3324053E"/>
    <w:rsid w:val="33265C6E"/>
    <w:rsid w:val="332A4789"/>
    <w:rsid w:val="332A7D49"/>
    <w:rsid w:val="333310C3"/>
    <w:rsid w:val="33373F63"/>
    <w:rsid w:val="33465585"/>
    <w:rsid w:val="33486D9D"/>
    <w:rsid w:val="33561474"/>
    <w:rsid w:val="33590BB4"/>
    <w:rsid w:val="33683659"/>
    <w:rsid w:val="337755D8"/>
    <w:rsid w:val="338C40B5"/>
    <w:rsid w:val="338E113B"/>
    <w:rsid w:val="33914E0C"/>
    <w:rsid w:val="33A357BC"/>
    <w:rsid w:val="33B2568B"/>
    <w:rsid w:val="33BB0E54"/>
    <w:rsid w:val="33C26EF2"/>
    <w:rsid w:val="33C7284B"/>
    <w:rsid w:val="33CB4E88"/>
    <w:rsid w:val="33D15AF0"/>
    <w:rsid w:val="33DA4825"/>
    <w:rsid w:val="33DD76E2"/>
    <w:rsid w:val="33DF3C03"/>
    <w:rsid w:val="33E16F05"/>
    <w:rsid w:val="33E721B1"/>
    <w:rsid w:val="33E950AA"/>
    <w:rsid w:val="33F16FB5"/>
    <w:rsid w:val="33F3254B"/>
    <w:rsid w:val="33FA0ADA"/>
    <w:rsid w:val="3406638B"/>
    <w:rsid w:val="34194266"/>
    <w:rsid w:val="341A4510"/>
    <w:rsid w:val="3420031C"/>
    <w:rsid w:val="342270CB"/>
    <w:rsid w:val="34234294"/>
    <w:rsid w:val="342B2591"/>
    <w:rsid w:val="342F430F"/>
    <w:rsid w:val="343B148C"/>
    <w:rsid w:val="34446934"/>
    <w:rsid w:val="344A4002"/>
    <w:rsid w:val="34536FCD"/>
    <w:rsid w:val="34576658"/>
    <w:rsid w:val="345C28C5"/>
    <w:rsid w:val="345E2FF1"/>
    <w:rsid w:val="346224FD"/>
    <w:rsid w:val="346751B2"/>
    <w:rsid w:val="346800F5"/>
    <w:rsid w:val="34704986"/>
    <w:rsid w:val="34773333"/>
    <w:rsid w:val="34790E8E"/>
    <w:rsid w:val="34891D8E"/>
    <w:rsid w:val="34955847"/>
    <w:rsid w:val="349D52AE"/>
    <w:rsid w:val="34A156F8"/>
    <w:rsid w:val="34A60BF2"/>
    <w:rsid w:val="34A61155"/>
    <w:rsid w:val="34A65E42"/>
    <w:rsid w:val="34AD5B5D"/>
    <w:rsid w:val="34B92C20"/>
    <w:rsid w:val="34BA5FEE"/>
    <w:rsid w:val="34C564BE"/>
    <w:rsid w:val="34C87436"/>
    <w:rsid w:val="34CD6FF8"/>
    <w:rsid w:val="34D87EB7"/>
    <w:rsid w:val="34DA3F76"/>
    <w:rsid w:val="34E24875"/>
    <w:rsid w:val="34EF375D"/>
    <w:rsid w:val="34F709E2"/>
    <w:rsid w:val="350C65C8"/>
    <w:rsid w:val="35122E00"/>
    <w:rsid w:val="35177ABF"/>
    <w:rsid w:val="35254131"/>
    <w:rsid w:val="35285402"/>
    <w:rsid w:val="352F7A33"/>
    <w:rsid w:val="353327E1"/>
    <w:rsid w:val="35340A75"/>
    <w:rsid w:val="353F0090"/>
    <w:rsid w:val="3549165B"/>
    <w:rsid w:val="354B0186"/>
    <w:rsid w:val="356B5BEA"/>
    <w:rsid w:val="3574597B"/>
    <w:rsid w:val="35754C76"/>
    <w:rsid w:val="357D480F"/>
    <w:rsid w:val="3588111A"/>
    <w:rsid w:val="358C6695"/>
    <w:rsid w:val="358E44C5"/>
    <w:rsid w:val="359B7A54"/>
    <w:rsid w:val="359E4F22"/>
    <w:rsid w:val="35A76332"/>
    <w:rsid w:val="35A86F41"/>
    <w:rsid w:val="35B1270F"/>
    <w:rsid w:val="35C11205"/>
    <w:rsid w:val="35CE561F"/>
    <w:rsid w:val="35D21D3F"/>
    <w:rsid w:val="35D36C16"/>
    <w:rsid w:val="35D55C92"/>
    <w:rsid w:val="35EA75A2"/>
    <w:rsid w:val="35EF4854"/>
    <w:rsid w:val="35EF6DF2"/>
    <w:rsid w:val="35F83C0A"/>
    <w:rsid w:val="35FC69ED"/>
    <w:rsid w:val="360039E0"/>
    <w:rsid w:val="36044DCB"/>
    <w:rsid w:val="36045DB7"/>
    <w:rsid w:val="36087BE7"/>
    <w:rsid w:val="361211FB"/>
    <w:rsid w:val="36123A11"/>
    <w:rsid w:val="36176F9B"/>
    <w:rsid w:val="361F5DC2"/>
    <w:rsid w:val="36230EEE"/>
    <w:rsid w:val="362B1DB6"/>
    <w:rsid w:val="36367F89"/>
    <w:rsid w:val="36461FBB"/>
    <w:rsid w:val="3656527E"/>
    <w:rsid w:val="36786483"/>
    <w:rsid w:val="368136B6"/>
    <w:rsid w:val="36844166"/>
    <w:rsid w:val="368C53FE"/>
    <w:rsid w:val="368E1D0B"/>
    <w:rsid w:val="369F6F1C"/>
    <w:rsid w:val="36AB2793"/>
    <w:rsid w:val="36B965AF"/>
    <w:rsid w:val="36BB482D"/>
    <w:rsid w:val="36CD43F3"/>
    <w:rsid w:val="36D032A3"/>
    <w:rsid w:val="36D038B2"/>
    <w:rsid w:val="36D23266"/>
    <w:rsid w:val="36EB3961"/>
    <w:rsid w:val="36F20CEB"/>
    <w:rsid w:val="36F53B7D"/>
    <w:rsid w:val="36F55CBB"/>
    <w:rsid w:val="36F64DC2"/>
    <w:rsid w:val="36FA74BF"/>
    <w:rsid w:val="36FE36E9"/>
    <w:rsid w:val="37037654"/>
    <w:rsid w:val="370B6DE3"/>
    <w:rsid w:val="370E41E3"/>
    <w:rsid w:val="371072C9"/>
    <w:rsid w:val="371404FC"/>
    <w:rsid w:val="371F2964"/>
    <w:rsid w:val="37206A57"/>
    <w:rsid w:val="37264B00"/>
    <w:rsid w:val="372D535A"/>
    <w:rsid w:val="372E1A33"/>
    <w:rsid w:val="37362A1B"/>
    <w:rsid w:val="37386D6F"/>
    <w:rsid w:val="374273C8"/>
    <w:rsid w:val="37512804"/>
    <w:rsid w:val="37523126"/>
    <w:rsid w:val="37597C4A"/>
    <w:rsid w:val="376E08A3"/>
    <w:rsid w:val="37750963"/>
    <w:rsid w:val="37751E31"/>
    <w:rsid w:val="3776550C"/>
    <w:rsid w:val="37767936"/>
    <w:rsid w:val="3777416A"/>
    <w:rsid w:val="377F3DDC"/>
    <w:rsid w:val="37840AC3"/>
    <w:rsid w:val="37924A93"/>
    <w:rsid w:val="37945988"/>
    <w:rsid w:val="37A760FE"/>
    <w:rsid w:val="37A90574"/>
    <w:rsid w:val="37B17AE9"/>
    <w:rsid w:val="37BA6B51"/>
    <w:rsid w:val="37BE5683"/>
    <w:rsid w:val="37BE5CA2"/>
    <w:rsid w:val="37C00B90"/>
    <w:rsid w:val="37CD1680"/>
    <w:rsid w:val="37CD42E9"/>
    <w:rsid w:val="37D26C81"/>
    <w:rsid w:val="37D77E55"/>
    <w:rsid w:val="37DA25C3"/>
    <w:rsid w:val="37DA7A17"/>
    <w:rsid w:val="37DF3F58"/>
    <w:rsid w:val="37FE1225"/>
    <w:rsid w:val="38001365"/>
    <w:rsid w:val="380150AF"/>
    <w:rsid w:val="38015659"/>
    <w:rsid w:val="3803058F"/>
    <w:rsid w:val="380728D7"/>
    <w:rsid w:val="381271F4"/>
    <w:rsid w:val="38133839"/>
    <w:rsid w:val="38147E84"/>
    <w:rsid w:val="38264D87"/>
    <w:rsid w:val="382F03A9"/>
    <w:rsid w:val="38327B33"/>
    <w:rsid w:val="38336874"/>
    <w:rsid w:val="38416E39"/>
    <w:rsid w:val="38421946"/>
    <w:rsid w:val="38430543"/>
    <w:rsid w:val="38484F43"/>
    <w:rsid w:val="384F2603"/>
    <w:rsid w:val="38526EA4"/>
    <w:rsid w:val="38562FF0"/>
    <w:rsid w:val="38637D41"/>
    <w:rsid w:val="386914DC"/>
    <w:rsid w:val="38720027"/>
    <w:rsid w:val="388635D0"/>
    <w:rsid w:val="38886A37"/>
    <w:rsid w:val="388F62EE"/>
    <w:rsid w:val="389352D9"/>
    <w:rsid w:val="38940872"/>
    <w:rsid w:val="389B3F37"/>
    <w:rsid w:val="38AF2984"/>
    <w:rsid w:val="38B33C26"/>
    <w:rsid w:val="38B83BDD"/>
    <w:rsid w:val="38C55D79"/>
    <w:rsid w:val="38C81D87"/>
    <w:rsid w:val="38C96BD7"/>
    <w:rsid w:val="38D13ED0"/>
    <w:rsid w:val="38DF6D0C"/>
    <w:rsid w:val="38E10605"/>
    <w:rsid w:val="38E71B98"/>
    <w:rsid w:val="38EA00EF"/>
    <w:rsid w:val="38EE4ED0"/>
    <w:rsid w:val="38F419A9"/>
    <w:rsid w:val="38F823C6"/>
    <w:rsid w:val="390143FD"/>
    <w:rsid w:val="390E0A88"/>
    <w:rsid w:val="391042BF"/>
    <w:rsid w:val="39145B40"/>
    <w:rsid w:val="39262CC9"/>
    <w:rsid w:val="392B4E83"/>
    <w:rsid w:val="392E799D"/>
    <w:rsid w:val="393443FA"/>
    <w:rsid w:val="393446FA"/>
    <w:rsid w:val="39355424"/>
    <w:rsid w:val="393700FB"/>
    <w:rsid w:val="393B089E"/>
    <w:rsid w:val="393F720D"/>
    <w:rsid w:val="394908FD"/>
    <w:rsid w:val="3951224F"/>
    <w:rsid w:val="39512883"/>
    <w:rsid w:val="39581B12"/>
    <w:rsid w:val="396C75D3"/>
    <w:rsid w:val="39787935"/>
    <w:rsid w:val="397A7F76"/>
    <w:rsid w:val="39846DA2"/>
    <w:rsid w:val="39915132"/>
    <w:rsid w:val="399627C3"/>
    <w:rsid w:val="399E4814"/>
    <w:rsid w:val="39AC10DB"/>
    <w:rsid w:val="39AF5311"/>
    <w:rsid w:val="39B94A13"/>
    <w:rsid w:val="39BD4BE1"/>
    <w:rsid w:val="39C411D8"/>
    <w:rsid w:val="39C843EC"/>
    <w:rsid w:val="39CA2709"/>
    <w:rsid w:val="39EC1C14"/>
    <w:rsid w:val="39F976E0"/>
    <w:rsid w:val="39FB3577"/>
    <w:rsid w:val="39FC23F6"/>
    <w:rsid w:val="3A091C22"/>
    <w:rsid w:val="3A095B4E"/>
    <w:rsid w:val="3A170969"/>
    <w:rsid w:val="3A1E7E4F"/>
    <w:rsid w:val="3A213FCF"/>
    <w:rsid w:val="3A21694A"/>
    <w:rsid w:val="3A2422FD"/>
    <w:rsid w:val="3A274AA1"/>
    <w:rsid w:val="3A2A65EF"/>
    <w:rsid w:val="3A2C374F"/>
    <w:rsid w:val="3A3020FA"/>
    <w:rsid w:val="3A34003F"/>
    <w:rsid w:val="3A394938"/>
    <w:rsid w:val="3A3A5A30"/>
    <w:rsid w:val="3A3C0188"/>
    <w:rsid w:val="3A3F7B6A"/>
    <w:rsid w:val="3A412C30"/>
    <w:rsid w:val="3A412C9A"/>
    <w:rsid w:val="3A414C56"/>
    <w:rsid w:val="3A4D13A5"/>
    <w:rsid w:val="3A5B3037"/>
    <w:rsid w:val="3A614655"/>
    <w:rsid w:val="3A641299"/>
    <w:rsid w:val="3A6A35C4"/>
    <w:rsid w:val="3A77010C"/>
    <w:rsid w:val="3A7F2D19"/>
    <w:rsid w:val="3A817C8C"/>
    <w:rsid w:val="3A8F662C"/>
    <w:rsid w:val="3A9071B4"/>
    <w:rsid w:val="3A9724CB"/>
    <w:rsid w:val="3AA122AD"/>
    <w:rsid w:val="3AA362B8"/>
    <w:rsid w:val="3AAE3BE2"/>
    <w:rsid w:val="3AB426AB"/>
    <w:rsid w:val="3AB719CC"/>
    <w:rsid w:val="3AB752B5"/>
    <w:rsid w:val="3AB91551"/>
    <w:rsid w:val="3ABB18F9"/>
    <w:rsid w:val="3ACD4D6F"/>
    <w:rsid w:val="3AD025A4"/>
    <w:rsid w:val="3AD668E3"/>
    <w:rsid w:val="3AE07990"/>
    <w:rsid w:val="3AEB5A37"/>
    <w:rsid w:val="3AEB75D2"/>
    <w:rsid w:val="3AEF249F"/>
    <w:rsid w:val="3AFA71B8"/>
    <w:rsid w:val="3AFC0430"/>
    <w:rsid w:val="3B077757"/>
    <w:rsid w:val="3B0B1F35"/>
    <w:rsid w:val="3B0E1031"/>
    <w:rsid w:val="3B0E75B5"/>
    <w:rsid w:val="3B207026"/>
    <w:rsid w:val="3B31084D"/>
    <w:rsid w:val="3B386A78"/>
    <w:rsid w:val="3B395A3F"/>
    <w:rsid w:val="3B3A32CA"/>
    <w:rsid w:val="3B4B071B"/>
    <w:rsid w:val="3B531FC9"/>
    <w:rsid w:val="3B536F0E"/>
    <w:rsid w:val="3B541906"/>
    <w:rsid w:val="3B594D9D"/>
    <w:rsid w:val="3B5D3B56"/>
    <w:rsid w:val="3B680884"/>
    <w:rsid w:val="3B6E0354"/>
    <w:rsid w:val="3B756E22"/>
    <w:rsid w:val="3B880902"/>
    <w:rsid w:val="3B901114"/>
    <w:rsid w:val="3B932907"/>
    <w:rsid w:val="3B966D48"/>
    <w:rsid w:val="3B980BAD"/>
    <w:rsid w:val="3B981DEA"/>
    <w:rsid w:val="3B993082"/>
    <w:rsid w:val="3B9961DD"/>
    <w:rsid w:val="3BA86174"/>
    <w:rsid w:val="3BAC5992"/>
    <w:rsid w:val="3BAE5B02"/>
    <w:rsid w:val="3BB16BAF"/>
    <w:rsid w:val="3BC2021A"/>
    <w:rsid w:val="3BC81492"/>
    <w:rsid w:val="3BCF7D4A"/>
    <w:rsid w:val="3BD32DD5"/>
    <w:rsid w:val="3BD436EF"/>
    <w:rsid w:val="3BD52A0E"/>
    <w:rsid w:val="3BE06646"/>
    <w:rsid w:val="3BE24E75"/>
    <w:rsid w:val="3BEE2D1C"/>
    <w:rsid w:val="3C0A0ABD"/>
    <w:rsid w:val="3C0A560E"/>
    <w:rsid w:val="3C120812"/>
    <w:rsid w:val="3C171879"/>
    <w:rsid w:val="3C1738DD"/>
    <w:rsid w:val="3C206289"/>
    <w:rsid w:val="3C224EEE"/>
    <w:rsid w:val="3C234AFB"/>
    <w:rsid w:val="3C291324"/>
    <w:rsid w:val="3C2A36EB"/>
    <w:rsid w:val="3C2C0C61"/>
    <w:rsid w:val="3C2D2888"/>
    <w:rsid w:val="3C312B39"/>
    <w:rsid w:val="3C342B3A"/>
    <w:rsid w:val="3C3D0567"/>
    <w:rsid w:val="3C3D74C7"/>
    <w:rsid w:val="3C4B3899"/>
    <w:rsid w:val="3C4D55A1"/>
    <w:rsid w:val="3C517232"/>
    <w:rsid w:val="3C53035B"/>
    <w:rsid w:val="3C556AF3"/>
    <w:rsid w:val="3C5B0B22"/>
    <w:rsid w:val="3C643AFF"/>
    <w:rsid w:val="3C6B592A"/>
    <w:rsid w:val="3C6D0AC5"/>
    <w:rsid w:val="3C6E6632"/>
    <w:rsid w:val="3C7637B4"/>
    <w:rsid w:val="3C7B737E"/>
    <w:rsid w:val="3C7C7062"/>
    <w:rsid w:val="3C7E1146"/>
    <w:rsid w:val="3C816748"/>
    <w:rsid w:val="3C843663"/>
    <w:rsid w:val="3C867DE5"/>
    <w:rsid w:val="3C876A4B"/>
    <w:rsid w:val="3C9A2F69"/>
    <w:rsid w:val="3CA2501E"/>
    <w:rsid w:val="3CA25DBC"/>
    <w:rsid w:val="3CA61381"/>
    <w:rsid w:val="3CB438C1"/>
    <w:rsid w:val="3CBD1616"/>
    <w:rsid w:val="3CC27090"/>
    <w:rsid w:val="3CC37A66"/>
    <w:rsid w:val="3CC74149"/>
    <w:rsid w:val="3CC80B17"/>
    <w:rsid w:val="3CCD0583"/>
    <w:rsid w:val="3CD23AE0"/>
    <w:rsid w:val="3CDC19CE"/>
    <w:rsid w:val="3CE358E4"/>
    <w:rsid w:val="3CE43FA3"/>
    <w:rsid w:val="3CE44D21"/>
    <w:rsid w:val="3CEF4821"/>
    <w:rsid w:val="3CF2632C"/>
    <w:rsid w:val="3CF94E72"/>
    <w:rsid w:val="3D003BED"/>
    <w:rsid w:val="3D010B81"/>
    <w:rsid w:val="3D024D2C"/>
    <w:rsid w:val="3D0F6F22"/>
    <w:rsid w:val="3D1B5F76"/>
    <w:rsid w:val="3D2168A9"/>
    <w:rsid w:val="3D3026E5"/>
    <w:rsid w:val="3D332EAE"/>
    <w:rsid w:val="3D3639A4"/>
    <w:rsid w:val="3D367529"/>
    <w:rsid w:val="3D380E33"/>
    <w:rsid w:val="3D3C276B"/>
    <w:rsid w:val="3D422F34"/>
    <w:rsid w:val="3D5047AF"/>
    <w:rsid w:val="3D5311C6"/>
    <w:rsid w:val="3D55653E"/>
    <w:rsid w:val="3D5A4C0E"/>
    <w:rsid w:val="3D5F6459"/>
    <w:rsid w:val="3D603271"/>
    <w:rsid w:val="3D6258E2"/>
    <w:rsid w:val="3D674E10"/>
    <w:rsid w:val="3D715EFE"/>
    <w:rsid w:val="3D75676B"/>
    <w:rsid w:val="3D775395"/>
    <w:rsid w:val="3D87388A"/>
    <w:rsid w:val="3D8C0CE0"/>
    <w:rsid w:val="3D8D1A50"/>
    <w:rsid w:val="3D980945"/>
    <w:rsid w:val="3DA57360"/>
    <w:rsid w:val="3DAD0B56"/>
    <w:rsid w:val="3DAF34BD"/>
    <w:rsid w:val="3DC34B06"/>
    <w:rsid w:val="3DC53533"/>
    <w:rsid w:val="3DCA17FE"/>
    <w:rsid w:val="3DCF7CB8"/>
    <w:rsid w:val="3DD16655"/>
    <w:rsid w:val="3DE9060E"/>
    <w:rsid w:val="3DED2416"/>
    <w:rsid w:val="3DED742B"/>
    <w:rsid w:val="3DF56994"/>
    <w:rsid w:val="3DFA6214"/>
    <w:rsid w:val="3E087F1D"/>
    <w:rsid w:val="3E14104B"/>
    <w:rsid w:val="3E192AD3"/>
    <w:rsid w:val="3E1F67FC"/>
    <w:rsid w:val="3E2023B6"/>
    <w:rsid w:val="3E213CE6"/>
    <w:rsid w:val="3E227E82"/>
    <w:rsid w:val="3E2A7DC6"/>
    <w:rsid w:val="3E2F01EE"/>
    <w:rsid w:val="3E2F2817"/>
    <w:rsid w:val="3E3B2989"/>
    <w:rsid w:val="3E3B5B51"/>
    <w:rsid w:val="3E3E3B2C"/>
    <w:rsid w:val="3E54119D"/>
    <w:rsid w:val="3E583DFC"/>
    <w:rsid w:val="3E63038F"/>
    <w:rsid w:val="3E67200B"/>
    <w:rsid w:val="3E6A3F97"/>
    <w:rsid w:val="3E6A5B99"/>
    <w:rsid w:val="3E7D125F"/>
    <w:rsid w:val="3E7E1376"/>
    <w:rsid w:val="3E837EE8"/>
    <w:rsid w:val="3E913B56"/>
    <w:rsid w:val="3E953631"/>
    <w:rsid w:val="3E9749A7"/>
    <w:rsid w:val="3E9C19F8"/>
    <w:rsid w:val="3EA21BBB"/>
    <w:rsid w:val="3EA70C0B"/>
    <w:rsid w:val="3EAB3B96"/>
    <w:rsid w:val="3EB40E6B"/>
    <w:rsid w:val="3EBC0FC5"/>
    <w:rsid w:val="3EC445B1"/>
    <w:rsid w:val="3ECD0B30"/>
    <w:rsid w:val="3ECF53B3"/>
    <w:rsid w:val="3ED34EAA"/>
    <w:rsid w:val="3ED70001"/>
    <w:rsid w:val="3EDA4D93"/>
    <w:rsid w:val="3EDC0B7F"/>
    <w:rsid w:val="3EDC3D72"/>
    <w:rsid w:val="3EE038A0"/>
    <w:rsid w:val="3EE84D58"/>
    <w:rsid w:val="3EEA2549"/>
    <w:rsid w:val="3EF24183"/>
    <w:rsid w:val="3EF244CC"/>
    <w:rsid w:val="3EF71ECB"/>
    <w:rsid w:val="3EF906FD"/>
    <w:rsid w:val="3F01018B"/>
    <w:rsid w:val="3F096911"/>
    <w:rsid w:val="3F0D2C90"/>
    <w:rsid w:val="3F150296"/>
    <w:rsid w:val="3F1B6935"/>
    <w:rsid w:val="3F203C38"/>
    <w:rsid w:val="3F27246A"/>
    <w:rsid w:val="3F3139FC"/>
    <w:rsid w:val="3F3A521A"/>
    <w:rsid w:val="3F3D680A"/>
    <w:rsid w:val="3F4276FC"/>
    <w:rsid w:val="3F4D589B"/>
    <w:rsid w:val="3F5D665D"/>
    <w:rsid w:val="3F634AB3"/>
    <w:rsid w:val="3F776BAC"/>
    <w:rsid w:val="3F780165"/>
    <w:rsid w:val="3F7B6909"/>
    <w:rsid w:val="3F7C7253"/>
    <w:rsid w:val="3F873201"/>
    <w:rsid w:val="3F953A90"/>
    <w:rsid w:val="3FA268EB"/>
    <w:rsid w:val="3FBA663B"/>
    <w:rsid w:val="3FD0395C"/>
    <w:rsid w:val="3FD7601A"/>
    <w:rsid w:val="3FE14C58"/>
    <w:rsid w:val="3FEB7A19"/>
    <w:rsid w:val="3FEC6790"/>
    <w:rsid w:val="3FF81049"/>
    <w:rsid w:val="40015CB7"/>
    <w:rsid w:val="400309C8"/>
    <w:rsid w:val="40043B8D"/>
    <w:rsid w:val="4007659A"/>
    <w:rsid w:val="400F3EB9"/>
    <w:rsid w:val="4014367C"/>
    <w:rsid w:val="4021725B"/>
    <w:rsid w:val="40242970"/>
    <w:rsid w:val="402C4A83"/>
    <w:rsid w:val="403D2524"/>
    <w:rsid w:val="406343CF"/>
    <w:rsid w:val="40670329"/>
    <w:rsid w:val="40821C5D"/>
    <w:rsid w:val="40823295"/>
    <w:rsid w:val="408840FC"/>
    <w:rsid w:val="4088704A"/>
    <w:rsid w:val="408C223D"/>
    <w:rsid w:val="409658B7"/>
    <w:rsid w:val="40982249"/>
    <w:rsid w:val="40994A36"/>
    <w:rsid w:val="40A831D3"/>
    <w:rsid w:val="40A83FE2"/>
    <w:rsid w:val="40AB2177"/>
    <w:rsid w:val="40AB27B3"/>
    <w:rsid w:val="40B2753F"/>
    <w:rsid w:val="40B35E16"/>
    <w:rsid w:val="40B66624"/>
    <w:rsid w:val="40B7664C"/>
    <w:rsid w:val="40B766C6"/>
    <w:rsid w:val="40BF03EE"/>
    <w:rsid w:val="40C665CD"/>
    <w:rsid w:val="40CB382B"/>
    <w:rsid w:val="40D8078C"/>
    <w:rsid w:val="40D87B71"/>
    <w:rsid w:val="40DE101C"/>
    <w:rsid w:val="40E91B62"/>
    <w:rsid w:val="40EB5554"/>
    <w:rsid w:val="40F158BD"/>
    <w:rsid w:val="40FE066C"/>
    <w:rsid w:val="41026961"/>
    <w:rsid w:val="41076DC1"/>
    <w:rsid w:val="41157350"/>
    <w:rsid w:val="41247F4F"/>
    <w:rsid w:val="41344D12"/>
    <w:rsid w:val="413C4441"/>
    <w:rsid w:val="4148741D"/>
    <w:rsid w:val="41552070"/>
    <w:rsid w:val="41647884"/>
    <w:rsid w:val="4171419F"/>
    <w:rsid w:val="41727590"/>
    <w:rsid w:val="418A7D53"/>
    <w:rsid w:val="418C219B"/>
    <w:rsid w:val="419E1E6F"/>
    <w:rsid w:val="41B118DC"/>
    <w:rsid w:val="41BC3982"/>
    <w:rsid w:val="41C1347A"/>
    <w:rsid w:val="41C83CCD"/>
    <w:rsid w:val="41CD7C43"/>
    <w:rsid w:val="41D560A1"/>
    <w:rsid w:val="41D568E8"/>
    <w:rsid w:val="41DF79F2"/>
    <w:rsid w:val="41EE783D"/>
    <w:rsid w:val="41F93234"/>
    <w:rsid w:val="41FA12D4"/>
    <w:rsid w:val="41FF1C20"/>
    <w:rsid w:val="42057EBE"/>
    <w:rsid w:val="42065C33"/>
    <w:rsid w:val="42095488"/>
    <w:rsid w:val="420C0C0E"/>
    <w:rsid w:val="422A003B"/>
    <w:rsid w:val="42325F30"/>
    <w:rsid w:val="423E64E2"/>
    <w:rsid w:val="42400DCD"/>
    <w:rsid w:val="42484909"/>
    <w:rsid w:val="4251408F"/>
    <w:rsid w:val="425376E2"/>
    <w:rsid w:val="42706B30"/>
    <w:rsid w:val="4273117F"/>
    <w:rsid w:val="42782810"/>
    <w:rsid w:val="427A583F"/>
    <w:rsid w:val="428E3D55"/>
    <w:rsid w:val="428F235C"/>
    <w:rsid w:val="429C4DBB"/>
    <w:rsid w:val="42A3725E"/>
    <w:rsid w:val="42A85E97"/>
    <w:rsid w:val="42AD300D"/>
    <w:rsid w:val="42D3433A"/>
    <w:rsid w:val="42F057DB"/>
    <w:rsid w:val="42F42A55"/>
    <w:rsid w:val="42FB0FFB"/>
    <w:rsid w:val="42FB381F"/>
    <w:rsid w:val="42FF0DE2"/>
    <w:rsid w:val="43035D81"/>
    <w:rsid w:val="43085BB7"/>
    <w:rsid w:val="431D033C"/>
    <w:rsid w:val="432A0880"/>
    <w:rsid w:val="432D0599"/>
    <w:rsid w:val="43326BCE"/>
    <w:rsid w:val="43342239"/>
    <w:rsid w:val="433C1850"/>
    <w:rsid w:val="433F5AF8"/>
    <w:rsid w:val="4342150D"/>
    <w:rsid w:val="43470E23"/>
    <w:rsid w:val="434F3C51"/>
    <w:rsid w:val="435F4A96"/>
    <w:rsid w:val="43604E7A"/>
    <w:rsid w:val="43746D0B"/>
    <w:rsid w:val="43751B07"/>
    <w:rsid w:val="437F03F4"/>
    <w:rsid w:val="438151B8"/>
    <w:rsid w:val="4389305D"/>
    <w:rsid w:val="438B6F29"/>
    <w:rsid w:val="438D00FB"/>
    <w:rsid w:val="43911F44"/>
    <w:rsid w:val="439D2983"/>
    <w:rsid w:val="43A007D0"/>
    <w:rsid w:val="43A16CF5"/>
    <w:rsid w:val="43A359DA"/>
    <w:rsid w:val="43AA6D47"/>
    <w:rsid w:val="43AB230D"/>
    <w:rsid w:val="43AD6CB3"/>
    <w:rsid w:val="43B14016"/>
    <w:rsid w:val="43B278B9"/>
    <w:rsid w:val="43BE3BB3"/>
    <w:rsid w:val="43BF1B52"/>
    <w:rsid w:val="43C20D1B"/>
    <w:rsid w:val="43CA1605"/>
    <w:rsid w:val="43D503D2"/>
    <w:rsid w:val="43DA4699"/>
    <w:rsid w:val="43E948A7"/>
    <w:rsid w:val="43EB13FF"/>
    <w:rsid w:val="43F228E4"/>
    <w:rsid w:val="43FC2E15"/>
    <w:rsid w:val="44043226"/>
    <w:rsid w:val="44047B0C"/>
    <w:rsid w:val="441B7C2C"/>
    <w:rsid w:val="442F1005"/>
    <w:rsid w:val="44335025"/>
    <w:rsid w:val="44352D92"/>
    <w:rsid w:val="44451564"/>
    <w:rsid w:val="444665E7"/>
    <w:rsid w:val="444C174B"/>
    <w:rsid w:val="44553DC1"/>
    <w:rsid w:val="44587E95"/>
    <w:rsid w:val="445B6595"/>
    <w:rsid w:val="445E0E5E"/>
    <w:rsid w:val="44611B7E"/>
    <w:rsid w:val="446D58F0"/>
    <w:rsid w:val="44753C8B"/>
    <w:rsid w:val="448000CB"/>
    <w:rsid w:val="4488068A"/>
    <w:rsid w:val="448B7859"/>
    <w:rsid w:val="44981D57"/>
    <w:rsid w:val="44A05AB2"/>
    <w:rsid w:val="44A11BC6"/>
    <w:rsid w:val="44A20CC5"/>
    <w:rsid w:val="44A73783"/>
    <w:rsid w:val="44B60D39"/>
    <w:rsid w:val="44C67CCE"/>
    <w:rsid w:val="44C83B67"/>
    <w:rsid w:val="44D04DC7"/>
    <w:rsid w:val="44D332A6"/>
    <w:rsid w:val="44DA60E5"/>
    <w:rsid w:val="44E33135"/>
    <w:rsid w:val="44E915C6"/>
    <w:rsid w:val="44EF78D8"/>
    <w:rsid w:val="45056009"/>
    <w:rsid w:val="450D0633"/>
    <w:rsid w:val="4516187F"/>
    <w:rsid w:val="45345E96"/>
    <w:rsid w:val="45523D21"/>
    <w:rsid w:val="45536CFC"/>
    <w:rsid w:val="455422B7"/>
    <w:rsid w:val="455E2179"/>
    <w:rsid w:val="45651C96"/>
    <w:rsid w:val="456A4517"/>
    <w:rsid w:val="456A4929"/>
    <w:rsid w:val="45711596"/>
    <w:rsid w:val="45791DFC"/>
    <w:rsid w:val="457D18C1"/>
    <w:rsid w:val="457E7D6C"/>
    <w:rsid w:val="45821B96"/>
    <w:rsid w:val="459004F3"/>
    <w:rsid w:val="459274E6"/>
    <w:rsid w:val="459856B8"/>
    <w:rsid w:val="45A158F6"/>
    <w:rsid w:val="45A86263"/>
    <w:rsid w:val="45AC1038"/>
    <w:rsid w:val="45B7594D"/>
    <w:rsid w:val="45BF6887"/>
    <w:rsid w:val="45C20770"/>
    <w:rsid w:val="45DA73DC"/>
    <w:rsid w:val="45E317FC"/>
    <w:rsid w:val="45F26132"/>
    <w:rsid w:val="45F73287"/>
    <w:rsid w:val="45F82DE8"/>
    <w:rsid w:val="462152CF"/>
    <w:rsid w:val="46264E49"/>
    <w:rsid w:val="46315C38"/>
    <w:rsid w:val="463C0504"/>
    <w:rsid w:val="4640663D"/>
    <w:rsid w:val="464D78A9"/>
    <w:rsid w:val="465412E8"/>
    <w:rsid w:val="46576029"/>
    <w:rsid w:val="465D6F8F"/>
    <w:rsid w:val="465F7C88"/>
    <w:rsid w:val="46697B24"/>
    <w:rsid w:val="46755816"/>
    <w:rsid w:val="46773ADA"/>
    <w:rsid w:val="46775A1F"/>
    <w:rsid w:val="467F523B"/>
    <w:rsid w:val="468A267F"/>
    <w:rsid w:val="4692157F"/>
    <w:rsid w:val="46956931"/>
    <w:rsid w:val="46984921"/>
    <w:rsid w:val="469B1628"/>
    <w:rsid w:val="46A00455"/>
    <w:rsid w:val="46A07B4E"/>
    <w:rsid w:val="46A5299A"/>
    <w:rsid w:val="46AC216D"/>
    <w:rsid w:val="46AE2BC3"/>
    <w:rsid w:val="46BD6ED9"/>
    <w:rsid w:val="46C35B7F"/>
    <w:rsid w:val="46C74B6B"/>
    <w:rsid w:val="46CA7698"/>
    <w:rsid w:val="46CF5666"/>
    <w:rsid w:val="46D60ED8"/>
    <w:rsid w:val="46D96B8D"/>
    <w:rsid w:val="46DC2A77"/>
    <w:rsid w:val="46DF633D"/>
    <w:rsid w:val="46F64B56"/>
    <w:rsid w:val="47104C25"/>
    <w:rsid w:val="47150034"/>
    <w:rsid w:val="47181774"/>
    <w:rsid w:val="47196EC5"/>
    <w:rsid w:val="4721168C"/>
    <w:rsid w:val="47253329"/>
    <w:rsid w:val="47285F28"/>
    <w:rsid w:val="473005C4"/>
    <w:rsid w:val="473411C7"/>
    <w:rsid w:val="4736030D"/>
    <w:rsid w:val="473C3851"/>
    <w:rsid w:val="47411D33"/>
    <w:rsid w:val="47415AA5"/>
    <w:rsid w:val="474F01E7"/>
    <w:rsid w:val="47695CA5"/>
    <w:rsid w:val="477357FD"/>
    <w:rsid w:val="477555E5"/>
    <w:rsid w:val="4776207C"/>
    <w:rsid w:val="477E6F0E"/>
    <w:rsid w:val="477F5DD5"/>
    <w:rsid w:val="47935502"/>
    <w:rsid w:val="47942808"/>
    <w:rsid w:val="479F05E2"/>
    <w:rsid w:val="47BC13C5"/>
    <w:rsid w:val="47C03988"/>
    <w:rsid w:val="47C30F37"/>
    <w:rsid w:val="47D30AA6"/>
    <w:rsid w:val="47DE0C9E"/>
    <w:rsid w:val="47E513BA"/>
    <w:rsid w:val="47E910BF"/>
    <w:rsid w:val="47EB42C5"/>
    <w:rsid w:val="47EE51BF"/>
    <w:rsid w:val="47F53319"/>
    <w:rsid w:val="47FD2694"/>
    <w:rsid w:val="48053C01"/>
    <w:rsid w:val="481D6E2A"/>
    <w:rsid w:val="48223F75"/>
    <w:rsid w:val="48236E28"/>
    <w:rsid w:val="482E1194"/>
    <w:rsid w:val="48335144"/>
    <w:rsid w:val="48377809"/>
    <w:rsid w:val="483C2380"/>
    <w:rsid w:val="484D6D79"/>
    <w:rsid w:val="48653C5E"/>
    <w:rsid w:val="486664A2"/>
    <w:rsid w:val="48680A78"/>
    <w:rsid w:val="486E71CB"/>
    <w:rsid w:val="486F6B14"/>
    <w:rsid w:val="48852518"/>
    <w:rsid w:val="488C227B"/>
    <w:rsid w:val="488F3FE5"/>
    <w:rsid w:val="488F6EC9"/>
    <w:rsid w:val="48957B50"/>
    <w:rsid w:val="4897467E"/>
    <w:rsid w:val="48A46FD8"/>
    <w:rsid w:val="48AF5116"/>
    <w:rsid w:val="48B1142A"/>
    <w:rsid w:val="48B35F8E"/>
    <w:rsid w:val="48BF05EF"/>
    <w:rsid w:val="48C91E55"/>
    <w:rsid w:val="48D47E07"/>
    <w:rsid w:val="48E1292E"/>
    <w:rsid w:val="48E5043C"/>
    <w:rsid w:val="48EC4AB1"/>
    <w:rsid w:val="48F32CC5"/>
    <w:rsid w:val="48F5019D"/>
    <w:rsid w:val="48F90640"/>
    <w:rsid w:val="48FA4864"/>
    <w:rsid w:val="49004FBF"/>
    <w:rsid w:val="490A0CB4"/>
    <w:rsid w:val="491516A6"/>
    <w:rsid w:val="49165D93"/>
    <w:rsid w:val="49167603"/>
    <w:rsid w:val="49194766"/>
    <w:rsid w:val="49256D90"/>
    <w:rsid w:val="492661C4"/>
    <w:rsid w:val="492931DA"/>
    <w:rsid w:val="492D31B3"/>
    <w:rsid w:val="493A164D"/>
    <w:rsid w:val="493B14EC"/>
    <w:rsid w:val="493D7364"/>
    <w:rsid w:val="493E1237"/>
    <w:rsid w:val="494B54A8"/>
    <w:rsid w:val="49540EFC"/>
    <w:rsid w:val="4954388A"/>
    <w:rsid w:val="495973F4"/>
    <w:rsid w:val="495C23AC"/>
    <w:rsid w:val="49635F84"/>
    <w:rsid w:val="49641663"/>
    <w:rsid w:val="4968380A"/>
    <w:rsid w:val="49785F6C"/>
    <w:rsid w:val="497C1870"/>
    <w:rsid w:val="497E0DF6"/>
    <w:rsid w:val="498A44F2"/>
    <w:rsid w:val="49957E88"/>
    <w:rsid w:val="499E0872"/>
    <w:rsid w:val="49A1565A"/>
    <w:rsid w:val="49A244A2"/>
    <w:rsid w:val="49AD1DF5"/>
    <w:rsid w:val="49BF7CE4"/>
    <w:rsid w:val="49C135FD"/>
    <w:rsid w:val="49C750FF"/>
    <w:rsid w:val="49CB68D9"/>
    <w:rsid w:val="49D16DC6"/>
    <w:rsid w:val="49D205F7"/>
    <w:rsid w:val="49EB05CE"/>
    <w:rsid w:val="49F01885"/>
    <w:rsid w:val="49F37FFF"/>
    <w:rsid w:val="49FE7C59"/>
    <w:rsid w:val="4A006921"/>
    <w:rsid w:val="4A0C5D2E"/>
    <w:rsid w:val="4A0F34B8"/>
    <w:rsid w:val="4A164AD2"/>
    <w:rsid w:val="4A1D2202"/>
    <w:rsid w:val="4A1D62E6"/>
    <w:rsid w:val="4A1F1A78"/>
    <w:rsid w:val="4A2D183C"/>
    <w:rsid w:val="4A337D96"/>
    <w:rsid w:val="4A473DBC"/>
    <w:rsid w:val="4A4F12D0"/>
    <w:rsid w:val="4A502CA1"/>
    <w:rsid w:val="4A503987"/>
    <w:rsid w:val="4A5F2C2C"/>
    <w:rsid w:val="4A6529C7"/>
    <w:rsid w:val="4A7627ED"/>
    <w:rsid w:val="4A804738"/>
    <w:rsid w:val="4A8922AF"/>
    <w:rsid w:val="4A942667"/>
    <w:rsid w:val="4A9B5B1C"/>
    <w:rsid w:val="4AA14314"/>
    <w:rsid w:val="4AA403BB"/>
    <w:rsid w:val="4AB77CE4"/>
    <w:rsid w:val="4AC80A9C"/>
    <w:rsid w:val="4ACD3343"/>
    <w:rsid w:val="4AE80A6A"/>
    <w:rsid w:val="4AEB1098"/>
    <w:rsid w:val="4AF601FA"/>
    <w:rsid w:val="4AF7378C"/>
    <w:rsid w:val="4AFA335F"/>
    <w:rsid w:val="4AFB115A"/>
    <w:rsid w:val="4AFB6874"/>
    <w:rsid w:val="4AFC26F7"/>
    <w:rsid w:val="4B062C1F"/>
    <w:rsid w:val="4B101A66"/>
    <w:rsid w:val="4B1149BB"/>
    <w:rsid w:val="4B1528FC"/>
    <w:rsid w:val="4B204516"/>
    <w:rsid w:val="4B241910"/>
    <w:rsid w:val="4B2772B4"/>
    <w:rsid w:val="4B49690D"/>
    <w:rsid w:val="4B4C0D87"/>
    <w:rsid w:val="4B5133BD"/>
    <w:rsid w:val="4B613D14"/>
    <w:rsid w:val="4B6A1FCB"/>
    <w:rsid w:val="4B75778D"/>
    <w:rsid w:val="4B784CA6"/>
    <w:rsid w:val="4B7A5C1F"/>
    <w:rsid w:val="4B7C37B4"/>
    <w:rsid w:val="4B7D4623"/>
    <w:rsid w:val="4B7D4B6E"/>
    <w:rsid w:val="4B830E02"/>
    <w:rsid w:val="4B846545"/>
    <w:rsid w:val="4B853F3A"/>
    <w:rsid w:val="4B8A3E97"/>
    <w:rsid w:val="4B943024"/>
    <w:rsid w:val="4BA37655"/>
    <w:rsid w:val="4BA80413"/>
    <w:rsid w:val="4BB2518B"/>
    <w:rsid w:val="4BBE3899"/>
    <w:rsid w:val="4BCF5F91"/>
    <w:rsid w:val="4BE43724"/>
    <w:rsid w:val="4BE814B7"/>
    <w:rsid w:val="4BFE78BC"/>
    <w:rsid w:val="4C1C7D27"/>
    <w:rsid w:val="4C1D2E28"/>
    <w:rsid w:val="4C1E086F"/>
    <w:rsid w:val="4C256536"/>
    <w:rsid w:val="4C261A42"/>
    <w:rsid w:val="4C2D2EBB"/>
    <w:rsid w:val="4C3A44CC"/>
    <w:rsid w:val="4C4061EE"/>
    <w:rsid w:val="4C49179A"/>
    <w:rsid w:val="4C494F77"/>
    <w:rsid w:val="4C4D32BD"/>
    <w:rsid w:val="4C563F3D"/>
    <w:rsid w:val="4C612846"/>
    <w:rsid w:val="4C61782E"/>
    <w:rsid w:val="4C745DC0"/>
    <w:rsid w:val="4C77695B"/>
    <w:rsid w:val="4C7B7129"/>
    <w:rsid w:val="4C7D0CEA"/>
    <w:rsid w:val="4C897438"/>
    <w:rsid w:val="4C8F4FFE"/>
    <w:rsid w:val="4C917571"/>
    <w:rsid w:val="4C92459E"/>
    <w:rsid w:val="4CAD548D"/>
    <w:rsid w:val="4CBE029B"/>
    <w:rsid w:val="4CC11353"/>
    <w:rsid w:val="4CCF0C0D"/>
    <w:rsid w:val="4CD00D17"/>
    <w:rsid w:val="4CD628AA"/>
    <w:rsid w:val="4CE22759"/>
    <w:rsid w:val="4CE24167"/>
    <w:rsid w:val="4CEB29D5"/>
    <w:rsid w:val="4CF37739"/>
    <w:rsid w:val="4CF57982"/>
    <w:rsid w:val="4CF61007"/>
    <w:rsid w:val="4CF6344B"/>
    <w:rsid w:val="4CFA5765"/>
    <w:rsid w:val="4CFE450A"/>
    <w:rsid w:val="4D000157"/>
    <w:rsid w:val="4D090954"/>
    <w:rsid w:val="4D1152D6"/>
    <w:rsid w:val="4D123B10"/>
    <w:rsid w:val="4D18781C"/>
    <w:rsid w:val="4D1937C9"/>
    <w:rsid w:val="4D1C062B"/>
    <w:rsid w:val="4D2137E5"/>
    <w:rsid w:val="4D2635D5"/>
    <w:rsid w:val="4D2D0A48"/>
    <w:rsid w:val="4D3526CA"/>
    <w:rsid w:val="4D387830"/>
    <w:rsid w:val="4D4115AA"/>
    <w:rsid w:val="4D433B39"/>
    <w:rsid w:val="4D590627"/>
    <w:rsid w:val="4D5909D1"/>
    <w:rsid w:val="4D5A2375"/>
    <w:rsid w:val="4D5E5D16"/>
    <w:rsid w:val="4D6936AC"/>
    <w:rsid w:val="4D6B6D84"/>
    <w:rsid w:val="4D6F07D8"/>
    <w:rsid w:val="4D6F5E28"/>
    <w:rsid w:val="4D777097"/>
    <w:rsid w:val="4D933663"/>
    <w:rsid w:val="4D9B79E1"/>
    <w:rsid w:val="4DA81E21"/>
    <w:rsid w:val="4DA849CF"/>
    <w:rsid w:val="4DB369D6"/>
    <w:rsid w:val="4DBA7ACE"/>
    <w:rsid w:val="4DC85770"/>
    <w:rsid w:val="4DC95119"/>
    <w:rsid w:val="4DC97C3D"/>
    <w:rsid w:val="4DCD37C5"/>
    <w:rsid w:val="4DD255B0"/>
    <w:rsid w:val="4DD5129F"/>
    <w:rsid w:val="4DD811E2"/>
    <w:rsid w:val="4DDA246A"/>
    <w:rsid w:val="4DF37EB5"/>
    <w:rsid w:val="4DF93D9F"/>
    <w:rsid w:val="4DFC12BE"/>
    <w:rsid w:val="4E041074"/>
    <w:rsid w:val="4E046920"/>
    <w:rsid w:val="4E073593"/>
    <w:rsid w:val="4E0E4864"/>
    <w:rsid w:val="4E1378AE"/>
    <w:rsid w:val="4E1A0D39"/>
    <w:rsid w:val="4E244346"/>
    <w:rsid w:val="4E2450AE"/>
    <w:rsid w:val="4E2D1894"/>
    <w:rsid w:val="4E2E2884"/>
    <w:rsid w:val="4E3050BA"/>
    <w:rsid w:val="4E313C0B"/>
    <w:rsid w:val="4E45607A"/>
    <w:rsid w:val="4E475701"/>
    <w:rsid w:val="4E59777B"/>
    <w:rsid w:val="4E615201"/>
    <w:rsid w:val="4E6D0ECC"/>
    <w:rsid w:val="4E706DBA"/>
    <w:rsid w:val="4E7F6DD1"/>
    <w:rsid w:val="4E8859CA"/>
    <w:rsid w:val="4E892716"/>
    <w:rsid w:val="4E8A736C"/>
    <w:rsid w:val="4EA2385D"/>
    <w:rsid w:val="4EA55563"/>
    <w:rsid w:val="4EAA3002"/>
    <w:rsid w:val="4EB47E36"/>
    <w:rsid w:val="4EBE111E"/>
    <w:rsid w:val="4EC1501D"/>
    <w:rsid w:val="4EC74FB8"/>
    <w:rsid w:val="4EC80021"/>
    <w:rsid w:val="4ED32FAE"/>
    <w:rsid w:val="4ED9417F"/>
    <w:rsid w:val="4EE062AF"/>
    <w:rsid w:val="4EEC4A89"/>
    <w:rsid w:val="4EF028E4"/>
    <w:rsid w:val="4F0029C6"/>
    <w:rsid w:val="4F083F8B"/>
    <w:rsid w:val="4F0B4D3E"/>
    <w:rsid w:val="4F1478FD"/>
    <w:rsid w:val="4F1F02C5"/>
    <w:rsid w:val="4F24630D"/>
    <w:rsid w:val="4F2C4A9A"/>
    <w:rsid w:val="4F39478A"/>
    <w:rsid w:val="4F3C5402"/>
    <w:rsid w:val="4F430BC3"/>
    <w:rsid w:val="4F443E22"/>
    <w:rsid w:val="4F493580"/>
    <w:rsid w:val="4F4C7F12"/>
    <w:rsid w:val="4F5F50BB"/>
    <w:rsid w:val="4F611DE8"/>
    <w:rsid w:val="4F616DBB"/>
    <w:rsid w:val="4F6244CE"/>
    <w:rsid w:val="4F6274C0"/>
    <w:rsid w:val="4F695476"/>
    <w:rsid w:val="4F6F22AF"/>
    <w:rsid w:val="4F740100"/>
    <w:rsid w:val="4F862E44"/>
    <w:rsid w:val="4FB7210B"/>
    <w:rsid w:val="4FB97BE7"/>
    <w:rsid w:val="4FBD3F24"/>
    <w:rsid w:val="4FCA54A5"/>
    <w:rsid w:val="4FD23B3C"/>
    <w:rsid w:val="4FDC3224"/>
    <w:rsid w:val="4FE34BD5"/>
    <w:rsid w:val="4FEA5367"/>
    <w:rsid w:val="4FF1497C"/>
    <w:rsid w:val="4FF56AD9"/>
    <w:rsid w:val="500209BF"/>
    <w:rsid w:val="50072690"/>
    <w:rsid w:val="50097633"/>
    <w:rsid w:val="50206C51"/>
    <w:rsid w:val="50223900"/>
    <w:rsid w:val="502819E8"/>
    <w:rsid w:val="50282D2D"/>
    <w:rsid w:val="502862B0"/>
    <w:rsid w:val="50292600"/>
    <w:rsid w:val="502C269B"/>
    <w:rsid w:val="503C3CCD"/>
    <w:rsid w:val="50425B95"/>
    <w:rsid w:val="50473EBE"/>
    <w:rsid w:val="504B1898"/>
    <w:rsid w:val="504E6B72"/>
    <w:rsid w:val="505B462D"/>
    <w:rsid w:val="506B61EA"/>
    <w:rsid w:val="506F2BBF"/>
    <w:rsid w:val="506F61CE"/>
    <w:rsid w:val="50796F62"/>
    <w:rsid w:val="50870B06"/>
    <w:rsid w:val="50895D29"/>
    <w:rsid w:val="508D496A"/>
    <w:rsid w:val="508D5F68"/>
    <w:rsid w:val="508E5C4C"/>
    <w:rsid w:val="50917422"/>
    <w:rsid w:val="509B25F7"/>
    <w:rsid w:val="50A2663A"/>
    <w:rsid w:val="50A52E77"/>
    <w:rsid w:val="50B845FC"/>
    <w:rsid w:val="50BA22E4"/>
    <w:rsid w:val="50BC212C"/>
    <w:rsid w:val="50C35E2E"/>
    <w:rsid w:val="50C65A7B"/>
    <w:rsid w:val="50C91511"/>
    <w:rsid w:val="50D06844"/>
    <w:rsid w:val="50EE28B5"/>
    <w:rsid w:val="50F039A2"/>
    <w:rsid w:val="50F776B9"/>
    <w:rsid w:val="51083912"/>
    <w:rsid w:val="510B07E0"/>
    <w:rsid w:val="510C384D"/>
    <w:rsid w:val="512A1805"/>
    <w:rsid w:val="51354A36"/>
    <w:rsid w:val="513C5E47"/>
    <w:rsid w:val="5143378E"/>
    <w:rsid w:val="51465B76"/>
    <w:rsid w:val="51563501"/>
    <w:rsid w:val="5167424C"/>
    <w:rsid w:val="51772817"/>
    <w:rsid w:val="517A15C1"/>
    <w:rsid w:val="518B7524"/>
    <w:rsid w:val="518C3925"/>
    <w:rsid w:val="518E2281"/>
    <w:rsid w:val="51975460"/>
    <w:rsid w:val="519A555C"/>
    <w:rsid w:val="519C16D9"/>
    <w:rsid w:val="51A0762A"/>
    <w:rsid w:val="51A21672"/>
    <w:rsid w:val="51B843A0"/>
    <w:rsid w:val="51BA6474"/>
    <w:rsid w:val="51D753D5"/>
    <w:rsid w:val="51D90C01"/>
    <w:rsid w:val="51E51C27"/>
    <w:rsid w:val="51E530DA"/>
    <w:rsid w:val="51E96FA7"/>
    <w:rsid w:val="51FC3597"/>
    <w:rsid w:val="52067BBC"/>
    <w:rsid w:val="520F132D"/>
    <w:rsid w:val="52115E70"/>
    <w:rsid w:val="521206CD"/>
    <w:rsid w:val="521212C2"/>
    <w:rsid w:val="521D473C"/>
    <w:rsid w:val="522544F8"/>
    <w:rsid w:val="52295F15"/>
    <w:rsid w:val="522F4F26"/>
    <w:rsid w:val="523A3C4A"/>
    <w:rsid w:val="523F5D85"/>
    <w:rsid w:val="52566244"/>
    <w:rsid w:val="5264780A"/>
    <w:rsid w:val="526573C4"/>
    <w:rsid w:val="5267301E"/>
    <w:rsid w:val="526A58B5"/>
    <w:rsid w:val="5275676D"/>
    <w:rsid w:val="52771C54"/>
    <w:rsid w:val="52780635"/>
    <w:rsid w:val="52793F25"/>
    <w:rsid w:val="52816712"/>
    <w:rsid w:val="52816893"/>
    <w:rsid w:val="528212CB"/>
    <w:rsid w:val="52950454"/>
    <w:rsid w:val="529A1F6B"/>
    <w:rsid w:val="529D5268"/>
    <w:rsid w:val="52A5676E"/>
    <w:rsid w:val="52A71AA1"/>
    <w:rsid w:val="52A75C6E"/>
    <w:rsid w:val="52A94986"/>
    <w:rsid w:val="52AD7F39"/>
    <w:rsid w:val="52AE0A94"/>
    <w:rsid w:val="52BE49EA"/>
    <w:rsid w:val="52BF55DE"/>
    <w:rsid w:val="52CA1AF6"/>
    <w:rsid w:val="52D126BD"/>
    <w:rsid w:val="52E279DC"/>
    <w:rsid w:val="52E83AE3"/>
    <w:rsid w:val="52F02878"/>
    <w:rsid w:val="52F80AC9"/>
    <w:rsid w:val="52FD7564"/>
    <w:rsid w:val="531905C5"/>
    <w:rsid w:val="53197274"/>
    <w:rsid w:val="532564A3"/>
    <w:rsid w:val="5333429D"/>
    <w:rsid w:val="53360D7C"/>
    <w:rsid w:val="5336755C"/>
    <w:rsid w:val="533A7E6D"/>
    <w:rsid w:val="5343046D"/>
    <w:rsid w:val="53440C34"/>
    <w:rsid w:val="535B1093"/>
    <w:rsid w:val="535E2C34"/>
    <w:rsid w:val="535F1D04"/>
    <w:rsid w:val="537042A9"/>
    <w:rsid w:val="53742B76"/>
    <w:rsid w:val="5377213D"/>
    <w:rsid w:val="537F0339"/>
    <w:rsid w:val="5383553C"/>
    <w:rsid w:val="538B1AA8"/>
    <w:rsid w:val="53971A8D"/>
    <w:rsid w:val="53A07C22"/>
    <w:rsid w:val="53AD3482"/>
    <w:rsid w:val="53AD6E09"/>
    <w:rsid w:val="53BF4A00"/>
    <w:rsid w:val="53C74297"/>
    <w:rsid w:val="53CB0878"/>
    <w:rsid w:val="53CB6850"/>
    <w:rsid w:val="53DA392B"/>
    <w:rsid w:val="53DE07A8"/>
    <w:rsid w:val="53DE4B94"/>
    <w:rsid w:val="53E4632B"/>
    <w:rsid w:val="53E736FB"/>
    <w:rsid w:val="54050C5C"/>
    <w:rsid w:val="540770A9"/>
    <w:rsid w:val="541A56F3"/>
    <w:rsid w:val="542313C3"/>
    <w:rsid w:val="54272FDD"/>
    <w:rsid w:val="542C54F9"/>
    <w:rsid w:val="54304826"/>
    <w:rsid w:val="54357775"/>
    <w:rsid w:val="54395D38"/>
    <w:rsid w:val="54407215"/>
    <w:rsid w:val="544E56EA"/>
    <w:rsid w:val="544E7C69"/>
    <w:rsid w:val="546A6F10"/>
    <w:rsid w:val="546A7D03"/>
    <w:rsid w:val="5473062D"/>
    <w:rsid w:val="547B43A1"/>
    <w:rsid w:val="547F0AC1"/>
    <w:rsid w:val="548451EF"/>
    <w:rsid w:val="54850143"/>
    <w:rsid w:val="54870DF6"/>
    <w:rsid w:val="549821FA"/>
    <w:rsid w:val="549A0347"/>
    <w:rsid w:val="54A71A03"/>
    <w:rsid w:val="54B540A6"/>
    <w:rsid w:val="54BE6675"/>
    <w:rsid w:val="54C3366A"/>
    <w:rsid w:val="54C50E8B"/>
    <w:rsid w:val="54CF60FB"/>
    <w:rsid w:val="54EE3817"/>
    <w:rsid w:val="54EE5D8F"/>
    <w:rsid w:val="55012224"/>
    <w:rsid w:val="550251A7"/>
    <w:rsid w:val="550A27C4"/>
    <w:rsid w:val="55161102"/>
    <w:rsid w:val="55196569"/>
    <w:rsid w:val="552B5891"/>
    <w:rsid w:val="552F52C6"/>
    <w:rsid w:val="55305449"/>
    <w:rsid w:val="5541527E"/>
    <w:rsid w:val="554435ED"/>
    <w:rsid w:val="55453A2F"/>
    <w:rsid w:val="554B2191"/>
    <w:rsid w:val="556148F3"/>
    <w:rsid w:val="55654A65"/>
    <w:rsid w:val="55667228"/>
    <w:rsid w:val="558652EC"/>
    <w:rsid w:val="55866AAF"/>
    <w:rsid w:val="558A0780"/>
    <w:rsid w:val="558C31A9"/>
    <w:rsid w:val="559A6CE7"/>
    <w:rsid w:val="559B67C7"/>
    <w:rsid w:val="55A75357"/>
    <w:rsid w:val="55A832AF"/>
    <w:rsid w:val="55A91232"/>
    <w:rsid w:val="55AF77BF"/>
    <w:rsid w:val="55B13BA2"/>
    <w:rsid w:val="55BA30DF"/>
    <w:rsid w:val="55BE7B01"/>
    <w:rsid w:val="55D5447B"/>
    <w:rsid w:val="55D702EC"/>
    <w:rsid w:val="55DD3D74"/>
    <w:rsid w:val="55E2535F"/>
    <w:rsid w:val="55EF0D59"/>
    <w:rsid w:val="55FE5E5C"/>
    <w:rsid w:val="56057560"/>
    <w:rsid w:val="56081998"/>
    <w:rsid w:val="560850C9"/>
    <w:rsid w:val="560E35A5"/>
    <w:rsid w:val="56105D8E"/>
    <w:rsid w:val="5610667E"/>
    <w:rsid w:val="56212EC5"/>
    <w:rsid w:val="56262FFF"/>
    <w:rsid w:val="562B6DD5"/>
    <w:rsid w:val="562D189C"/>
    <w:rsid w:val="564630C7"/>
    <w:rsid w:val="564F175F"/>
    <w:rsid w:val="565C4FE1"/>
    <w:rsid w:val="565E0F8B"/>
    <w:rsid w:val="566E751D"/>
    <w:rsid w:val="5674104B"/>
    <w:rsid w:val="56827775"/>
    <w:rsid w:val="56960F14"/>
    <w:rsid w:val="56A97D30"/>
    <w:rsid w:val="56AD0F4D"/>
    <w:rsid w:val="56B06F54"/>
    <w:rsid w:val="56B403BA"/>
    <w:rsid w:val="56B84549"/>
    <w:rsid w:val="56C31851"/>
    <w:rsid w:val="56D65385"/>
    <w:rsid w:val="56D81B32"/>
    <w:rsid w:val="56DC1909"/>
    <w:rsid w:val="56E2471E"/>
    <w:rsid w:val="56EB7E2F"/>
    <w:rsid w:val="56F421C4"/>
    <w:rsid w:val="56FD0F70"/>
    <w:rsid w:val="56FD3906"/>
    <w:rsid w:val="57056D4A"/>
    <w:rsid w:val="570D3CF0"/>
    <w:rsid w:val="57192739"/>
    <w:rsid w:val="571A318F"/>
    <w:rsid w:val="571B0872"/>
    <w:rsid w:val="571B0D90"/>
    <w:rsid w:val="57250BC4"/>
    <w:rsid w:val="57267514"/>
    <w:rsid w:val="573578B6"/>
    <w:rsid w:val="57363188"/>
    <w:rsid w:val="57363369"/>
    <w:rsid w:val="57475A20"/>
    <w:rsid w:val="574957E9"/>
    <w:rsid w:val="57547B66"/>
    <w:rsid w:val="575A0760"/>
    <w:rsid w:val="576417B3"/>
    <w:rsid w:val="577F0B36"/>
    <w:rsid w:val="57811D4A"/>
    <w:rsid w:val="5787099F"/>
    <w:rsid w:val="57883D77"/>
    <w:rsid w:val="578D4163"/>
    <w:rsid w:val="578F1FF8"/>
    <w:rsid w:val="57A374AE"/>
    <w:rsid w:val="57BB2FB2"/>
    <w:rsid w:val="57BE21F6"/>
    <w:rsid w:val="57C37F33"/>
    <w:rsid w:val="57C60746"/>
    <w:rsid w:val="57CD184D"/>
    <w:rsid w:val="57D22FC4"/>
    <w:rsid w:val="57D86788"/>
    <w:rsid w:val="57EC279C"/>
    <w:rsid w:val="57EC3188"/>
    <w:rsid w:val="57EF4816"/>
    <w:rsid w:val="57F07D31"/>
    <w:rsid w:val="581975DA"/>
    <w:rsid w:val="581E1C2F"/>
    <w:rsid w:val="58214A07"/>
    <w:rsid w:val="582B4E3C"/>
    <w:rsid w:val="582B5C65"/>
    <w:rsid w:val="58315DF3"/>
    <w:rsid w:val="58384797"/>
    <w:rsid w:val="58391F7E"/>
    <w:rsid w:val="583928D8"/>
    <w:rsid w:val="583A219D"/>
    <w:rsid w:val="585B71A2"/>
    <w:rsid w:val="585E39A2"/>
    <w:rsid w:val="586909EA"/>
    <w:rsid w:val="5872149D"/>
    <w:rsid w:val="587325CE"/>
    <w:rsid w:val="587452E7"/>
    <w:rsid w:val="58765495"/>
    <w:rsid w:val="587C324D"/>
    <w:rsid w:val="587F1A1D"/>
    <w:rsid w:val="588C4BAA"/>
    <w:rsid w:val="589537D3"/>
    <w:rsid w:val="5899100D"/>
    <w:rsid w:val="589A3590"/>
    <w:rsid w:val="589D35BC"/>
    <w:rsid w:val="58A4283E"/>
    <w:rsid w:val="58A51D93"/>
    <w:rsid w:val="58AD17BE"/>
    <w:rsid w:val="58C2700E"/>
    <w:rsid w:val="58CD24EC"/>
    <w:rsid w:val="58D052CE"/>
    <w:rsid w:val="58D32D1D"/>
    <w:rsid w:val="58D735F0"/>
    <w:rsid w:val="58E269F2"/>
    <w:rsid w:val="58F22DD7"/>
    <w:rsid w:val="58F8701C"/>
    <w:rsid w:val="58F93A26"/>
    <w:rsid w:val="59035F3F"/>
    <w:rsid w:val="590D35FD"/>
    <w:rsid w:val="59233DAB"/>
    <w:rsid w:val="592714BA"/>
    <w:rsid w:val="592D71A7"/>
    <w:rsid w:val="59364F4C"/>
    <w:rsid w:val="59372229"/>
    <w:rsid w:val="59423A5F"/>
    <w:rsid w:val="5947173F"/>
    <w:rsid w:val="5948134D"/>
    <w:rsid w:val="594A0D51"/>
    <w:rsid w:val="594F73E2"/>
    <w:rsid w:val="596477CA"/>
    <w:rsid w:val="59726C7E"/>
    <w:rsid w:val="597614DF"/>
    <w:rsid w:val="598D13E2"/>
    <w:rsid w:val="598E6D3B"/>
    <w:rsid w:val="599048BF"/>
    <w:rsid w:val="599C16B7"/>
    <w:rsid w:val="599F583A"/>
    <w:rsid w:val="59B063E6"/>
    <w:rsid w:val="59C00CAA"/>
    <w:rsid w:val="59C43B4B"/>
    <w:rsid w:val="59D57E0F"/>
    <w:rsid w:val="59EF561F"/>
    <w:rsid w:val="59F4583F"/>
    <w:rsid w:val="59F7697C"/>
    <w:rsid w:val="59FA415D"/>
    <w:rsid w:val="59FC1040"/>
    <w:rsid w:val="59FC7E00"/>
    <w:rsid w:val="59FD60CA"/>
    <w:rsid w:val="5A013B67"/>
    <w:rsid w:val="5A023471"/>
    <w:rsid w:val="5A07406E"/>
    <w:rsid w:val="5A3164A9"/>
    <w:rsid w:val="5A3935BC"/>
    <w:rsid w:val="5A4160FA"/>
    <w:rsid w:val="5A440522"/>
    <w:rsid w:val="5A4859CA"/>
    <w:rsid w:val="5A4E62A0"/>
    <w:rsid w:val="5A5469F3"/>
    <w:rsid w:val="5A5D7BE1"/>
    <w:rsid w:val="5A693C06"/>
    <w:rsid w:val="5A8521F8"/>
    <w:rsid w:val="5A871FC0"/>
    <w:rsid w:val="5A923D31"/>
    <w:rsid w:val="5A936C2E"/>
    <w:rsid w:val="5A9708EF"/>
    <w:rsid w:val="5A9C4B91"/>
    <w:rsid w:val="5A9D3570"/>
    <w:rsid w:val="5AAB2A24"/>
    <w:rsid w:val="5AAF20BF"/>
    <w:rsid w:val="5AB03648"/>
    <w:rsid w:val="5AB205E1"/>
    <w:rsid w:val="5AB71030"/>
    <w:rsid w:val="5ABA0D5E"/>
    <w:rsid w:val="5ABE36E4"/>
    <w:rsid w:val="5AC71641"/>
    <w:rsid w:val="5AC90E14"/>
    <w:rsid w:val="5ACA6F9E"/>
    <w:rsid w:val="5AD57A81"/>
    <w:rsid w:val="5AEF332A"/>
    <w:rsid w:val="5B106996"/>
    <w:rsid w:val="5B3963FF"/>
    <w:rsid w:val="5B3D36EF"/>
    <w:rsid w:val="5B4C3534"/>
    <w:rsid w:val="5B5F38A4"/>
    <w:rsid w:val="5B644647"/>
    <w:rsid w:val="5B7F028D"/>
    <w:rsid w:val="5B7F1063"/>
    <w:rsid w:val="5B8214CD"/>
    <w:rsid w:val="5B8C37EF"/>
    <w:rsid w:val="5B924CB5"/>
    <w:rsid w:val="5B936138"/>
    <w:rsid w:val="5B996D65"/>
    <w:rsid w:val="5BA82649"/>
    <w:rsid w:val="5BB5066C"/>
    <w:rsid w:val="5BB5630B"/>
    <w:rsid w:val="5BBC47EF"/>
    <w:rsid w:val="5BBF3B53"/>
    <w:rsid w:val="5BC13960"/>
    <w:rsid w:val="5BD95F1F"/>
    <w:rsid w:val="5BDB5E3B"/>
    <w:rsid w:val="5BDD7002"/>
    <w:rsid w:val="5BE11836"/>
    <w:rsid w:val="5BE27E93"/>
    <w:rsid w:val="5BE719E9"/>
    <w:rsid w:val="5BF602AF"/>
    <w:rsid w:val="5BFB5C67"/>
    <w:rsid w:val="5BFF0DC4"/>
    <w:rsid w:val="5C0576B6"/>
    <w:rsid w:val="5C0A7F99"/>
    <w:rsid w:val="5C146B98"/>
    <w:rsid w:val="5C2259D1"/>
    <w:rsid w:val="5C2267E7"/>
    <w:rsid w:val="5C376581"/>
    <w:rsid w:val="5C3F1E4F"/>
    <w:rsid w:val="5C54579D"/>
    <w:rsid w:val="5C62022F"/>
    <w:rsid w:val="5C7554A9"/>
    <w:rsid w:val="5C793ADD"/>
    <w:rsid w:val="5C7E5DF2"/>
    <w:rsid w:val="5C8225B5"/>
    <w:rsid w:val="5C8B63D0"/>
    <w:rsid w:val="5C8D4887"/>
    <w:rsid w:val="5C933E41"/>
    <w:rsid w:val="5CA05D4F"/>
    <w:rsid w:val="5CB12674"/>
    <w:rsid w:val="5CD117A1"/>
    <w:rsid w:val="5CD63159"/>
    <w:rsid w:val="5CE029BD"/>
    <w:rsid w:val="5CE24830"/>
    <w:rsid w:val="5CE47240"/>
    <w:rsid w:val="5CE87CAB"/>
    <w:rsid w:val="5CEF3663"/>
    <w:rsid w:val="5CEF47BE"/>
    <w:rsid w:val="5CF1444D"/>
    <w:rsid w:val="5CF27BDD"/>
    <w:rsid w:val="5CF45DED"/>
    <w:rsid w:val="5CFE5ECD"/>
    <w:rsid w:val="5CFE6410"/>
    <w:rsid w:val="5D0C6867"/>
    <w:rsid w:val="5D122068"/>
    <w:rsid w:val="5D1306B1"/>
    <w:rsid w:val="5D1B0D46"/>
    <w:rsid w:val="5D207830"/>
    <w:rsid w:val="5D217A85"/>
    <w:rsid w:val="5D2A3C43"/>
    <w:rsid w:val="5D2E4FF6"/>
    <w:rsid w:val="5D35586E"/>
    <w:rsid w:val="5D372A91"/>
    <w:rsid w:val="5D3C21A3"/>
    <w:rsid w:val="5D3E1F06"/>
    <w:rsid w:val="5D5541C1"/>
    <w:rsid w:val="5D6170BC"/>
    <w:rsid w:val="5D6833AD"/>
    <w:rsid w:val="5D7F43A4"/>
    <w:rsid w:val="5D8C12FF"/>
    <w:rsid w:val="5D9A32F7"/>
    <w:rsid w:val="5DA10875"/>
    <w:rsid w:val="5DBB69F2"/>
    <w:rsid w:val="5DC248BF"/>
    <w:rsid w:val="5DC36E72"/>
    <w:rsid w:val="5DCA33DE"/>
    <w:rsid w:val="5DDB4301"/>
    <w:rsid w:val="5DDC42A9"/>
    <w:rsid w:val="5DDE4158"/>
    <w:rsid w:val="5DDF3FF0"/>
    <w:rsid w:val="5DE66960"/>
    <w:rsid w:val="5E060C78"/>
    <w:rsid w:val="5E063689"/>
    <w:rsid w:val="5E07282F"/>
    <w:rsid w:val="5E075097"/>
    <w:rsid w:val="5E0A2304"/>
    <w:rsid w:val="5E173BC5"/>
    <w:rsid w:val="5E252EDD"/>
    <w:rsid w:val="5E3843EC"/>
    <w:rsid w:val="5E3D7B27"/>
    <w:rsid w:val="5E414B5E"/>
    <w:rsid w:val="5E4D56E7"/>
    <w:rsid w:val="5E532758"/>
    <w:rsid w:val="5E5971AD"/>
    <w:rsid w:val="5E5B6DD2"/>
    <w:rsid w:val="5E674E52"/>
    <w:rsid w:val="5E6C12D3"/>
    <w:rsid w:val="5E7611F4"/>
    <w:rsid w:val="5E78513D"/>
    <w:rsid w:val="5E791CE6"/>
    <w:rsid w:val="5E795286"/>
    <w:rsid w:val="5E8252C9"/>
    <w:rsid w:val="5E867C2D"/>
    <w:rsid w:val="5E8D19D7"/>
    <w:rsid w:val="5E95794E"/>
    <w:rsid w:val="5E9E710A"/>
    <w:rsid w:val="5EB502AB"/>
    <w:rsid w:val="5EC27EF5"/>
    <w:rsid w:val="5EC63D05"/>
    <w:rsid w:val="5EC8349C"/>
    <w:rsid w:val="5ED251EE"/>
    <w:rsid w:val="5EE562D2"/>
    <w:rsid w:val="5EEC07AE"/>
    <w:rsid w:val="5EED0996"/>
    <w:rsid w:val="5EFC6747"/>
    <w:rsid w:val="5EFD42DE"/>
    <w:rsid w:val="5F041DFB"/>
    <w:rsid w:val="5F1211E6"/>
    <w:rsid w:val="5F135BB0"/>
    <w:rsid w:val="5F1A05E8"/>
    <w:rsid w:val="5F1F7E55"/>
    <w:rsid w:val="5F225C03"/>
    <w:rsid w:val="5F245D75"/>
    <w:rsid w:val="5F2872D7"/>
    <w:rsid w:val="5F2B1B93"/>
    <w:rsid w:val="5F2C7072"/>
    <w:rsid w:val="5F375EA9"/>
    <w:rsid w:val="5F434C9D"/>
    <w:rsid w:val="5F444FFA"/>
    <w:rsid w:val="5F65693F"/>
    <w:rsid w:val="5F6707BD"/>
    <w:rsid w:val="5F6E732B"/>
    <w:rsid w:val="5F8B2471"/>
    <w:rsid w:val="5FA60F67"/>
    <w:rsid w:val="5FA958A5"/>
    <w:rsid w:val="5FAB3B4F"/>
    <w:rsid w:val="5FB1461D"/>
    <w:rsid w:val="5FB573DE"/>
    <w:rsid w:val="5FB73E65"/>
    <w:rsid w:val="5FBB6DD0"/>
    <w:rsid w:val="5FDF2CF3"/>
    <w:rsid w:val="5FE81915"/>
    <w:rsid w:val="5FE829A4"/>
    <w:rsid w:val="5FE92708"/>
    <w:rsid w:val="5FEE4040"/>
    <w:rsid w:val="5FFA01C9"/>
    <w:rsid w:val="60031F1D"/>
    <w:rsid w:val="6004343A"/>
    <w:rsid w:val="600A1956"/>
    <w:rsid w:val="60121429"/>
    <w:rsid w:val="60144DB2"/>
    <w:rsid w:val="602D5145"/>
    <w:rsid w:val="60304A72"/>
    <w:rsid w:val="603E5F2E"/>
    <w:rsid w:val="603F7347"/>
    <w:rsid w:val="6048562C"/>
    <w:rsid w:val="60495277"/>
    <w:rsid w:val="60551BC9"/>
    <w:rsid w:val="60562A64"/>
    <w:rsid w:val="606C7702"/>
    <w:rsid w:val="60817B27"/>
    <w:rsid w:val="60864635"/>
    <w:rsid w:val="60893CCB"/>
    <w:rsid w:val="608963CD"/>
    <w:rsid w:val="608A342C"/>
    <w:rsid w:val="608A425A"/>
    <w:rsid w:val="608E2D00"/>
    <w:rsid w:val="609544F1"/>
    <w:rsid w:val="60A022B7"/>
    <w:rsid w:val="60A73A8C"/>
    <w:rsid w:val="60AA7D29"/>
    <w:rsid w:val="60AF14DD"/>
    <w:rsid w:val="60BC2740"/>
    <w:rsid w:val="60BF70F4"/>
    <w:rsid w:val="60C11917"/>
    <w:rsid w:val="60C1709F"/>
    <w:rsid w:val="60C3613C"/>
    <w:rsid w:val="60CE247C"/>
    <w:rsid w:val="60D04B55"/>
    <w:rsid w:val="60D81DA2"/>
    <w:rsid w:val="60DE6C34"/>
    <w:rsid w:val="60E136E9"/>
    <w:rsid w:val="60E3614A"/>
    <w:rsid w:val="60E70172"/>
    <w:rsid w:val="60EA5251"/>
    <w:rsid w:val="60EE5B98"/>
    <w:rsid w:val="60F74B1C"/>
    <w:rsid w:val="60F9754C"/>
    <w:rsid w:val="60FB1D0B"/>
    <w:rsid w:val="60FC2218"/>
    <w:rsid w:val="611B247F"/>
    <w:rsid w:val="612018DB"/>
    <w:rsid w:val="61214F40"/>
    <w:rsid w:val="612366D8"/>
    <w:rsid w:val="61324F60"/>
    <w:rsid w:val="613844C0"/>
    <w:rsid w:val="61396AEF"/>
    <w:rsid w:val="61426427"/>
    <w:rsid w:val="61471A0D"/>
    <w:rsid w:val="615352C2"/>
    <w:rsid w:val="61554693"/>
    <w:rsid w:val="61566BE6"/>
    <w:rsid w:val="61743E98"/>
    <w:rsid w:val="6179404E"/>
    <w:rsid w:val="617C1F53"/>
    <w:rsid w:val="61891F4F"/>
    <w:rsid w:val="618C3144"/>
    <w:rsid w:val="618D3A36"/>
    <w:rsid w:val="61955F4B"/>
    <w:rsid w:val="619F4AD3"/>
    <w:rsid w:val="61A07034"/>
    <w:rsid w:val="61A24417"/>
    <w:rsid w:val="61A771C8"/>
    <w:rsid w:val="61AF5455"/>
    <w:rsid w:val="61B44D52"/>
    <w:rsid w:val="61CA612C"/>
    <w:rsid w:val="61CF4929"/>
    <w:rsid w:val="61D56F14"/>
    <w:rsid w:val="61DA236F"/>
    <w:rsid w:val="61EA5A78"/>
    <w:rsid w:val="61EF3E52"/>
    <w:rsid w:val="61F62563"/>
    <w:rsid w:val="620217EA"/>
    <w:rsid w:val="62031D7E"/>
    <w:rsid w:val="62052FB5"/>
    <w:rsid w:val="620701AF"/>
    <w:rsid w:val="6209739D"/>
    <w:rsid w:val="620A6974"/>
    <w:rsid w:val="620E14C2"/>
    <w:rsid w:val="6210459E"/>
    <w:rsid w:val="621D24D0"/>
    <w:rsid w:val="6223128F"/>
    <w:rsid w:val="62453549"/>
    <w:rsid w:val="624B7FAF"/>
    <w:rsid w:val="62510559"/>
    <w:rsid w:val="625D21E1"/>
    <w:rsid w:val="62674062"/>
    <w:rsid w:val="62674ADD"/>
    <w:rsid w:val="626A4313"/>
    <w:rsid w:val="62780ADB"/>
    <w:rsid w:val="627C7CEB"/>
    <w:rsid w:val="62943D9E"/>
    <w:rsid w:val="62A32AF6"/>
    <w:rsid w:val="62A6136A"/>
    <w:rsid w:val="62AA4950"/>
    <w:rsid w:val="62AD7327"/>
    <w:rsid w:val="62AF270B"/>
    <w:rsid w:val="62BF720A"/>
    <w:rsid w:val="62CC2EDB"/>
    <w:rsid w:val="62D263DD"/>
    <w:rsid w:val="62F10C36"/>
    <w:rsid w:val="62F343FE"/>
    <w:rsid w:val="62F853CC"/>
    <w:rsid w:val="62FE5AB8"/>
    <w:rsid w:val="63062770"/>
    <w:rsid w:val="632572F6"/>
    <w:rsid w:val="632712E9"/>
    <w:rsid w:val="632A3703"/>
    <w:rsid w:val="633001AE"/>
    <w:rsid w:val="63406F06"/>
    <w:rsid w:val="63694F8D"/>
    <w:rsid w:val="637711F8"/>
    <w:rsid w:val="63790247"/>
    <w:rsid w:val="637953E6"/>
    <w:rsid w:val="637D647A"/>
    <w:rsid w:val="638907FC"/>
    <w:rsid w:val="63950D89"/>
    <w:rsid w:val="639C3EE7"/>
    <w:rsid w:val="63A05128"/>
    <w:rsid w:val="63AB6091"/>
    <w:rsid w:val="63B12D94"/>
    <w:rsid w:val="63B36243"/>
    <w:rsid w:val="63B93DD3"/>
    <w:rsid w:val="63BE4940"/>
    <w:rsid w:val="63BF4F0B"/>
    <w:rsid w:val="63BF5016"/>
    <w:rsid w:val="63D04F3D"/>
    <w:rsid w:val="63D07981"/>
    <w:rsid w:val="63D91662"/>
    <w:rsid w:val="63DD1E6C"/>
    <w:rsid w:val="63F37EB8"/>
    <w:rsid w:val="63F62E80"/>
    <w:rsid w:val="63FF2DCD"/>
    <w:rsid w:val="64011C8D"/>
    <w:rsid w:val="640E0A95"/>
    <w:rsid w:val="64103956"/>
    <w:rsid w:val="641B4920"/>
    <w:rsid w:val="6424235B"/>
    <w:rsid w:val="64277575"/>
    <w:rsid w:val="642C7F8A"/>
    <w:rsid w:val="643150D1"/>
    <w:rsid w:val="64336DED"/>
    <w:rsid w:val="6437246D"/>
    <w:rsid w:val="64383698"/>
    <w:rsid w:val="643E4F32"/>
    <w:rsid w:val="643F07F6"/>
    <w:rsid w:val="643F2DD9"/>
    <w:rsid w:val="643F370B"/>
    <w:rsid w:val="64443CA1"/>
    <w:rsid w:val="64447AE3"/>
    <w:rsid w:val="644A4B7E"/>
    <w:rsid w:val="646236A9"/>
    <w:rsid w:val="646A753B"/>
    <w:rsid w:val="646E67B2"/>
    <w:rsid w:val="64812D40"/>
    <w:rsid w:val="6481695B"/>
    <w:rsid w:val="64834161"/>
    <w:rsid w:val="64842C3B"/>
    <w:rsid w:val="648A3BB2"/>
    <w:rsid w:val="64900022"/>
    <w:rsid w:val="64931ECA"/>
    <w:rsid w:val="6498385B"/>
    <w:rsid w:val="649D30AC"/>
    <w:rsid w:val="649E20CD"/>
    <w:rsid w:val="649F2E7D"/>
    <w:rsid w:val="64AC7235"/>
    <w:rsid w:val="64B44CF7"/>
    <w:rsid w:val="64BD6D4D"/>
    <w:rsid w:val="64BE1D7E"/>
    <w:rsid w:val="64C024F0"/>
    <w:rsid w:val="64C10A1C"/>
    <w:rsid w:val="64C31333"/>
    <w:rsid w:val="64C477D0"/>
    <w:rsid w:val="64C735AA"/>
    <w:rsid w:val="64CD6B83"/>
    <w:rsid w:val="64CF5E19"/>
    <w:rsid w:val="64D326A6"/>
    <w:rsid w:val="64E04EFC"/>
    <w:rsid w:val="64E45E41"/>
    <w:rsid w:val="64EB07C3"/>
    <w:rsid w:val="64F07810"/>
    <w:rsid w:val="64F34187"/>
    <w:rsid w:val="64FE5905"/>
    <w:rsid w:val="65064BDC"/>
    <w:rsid w:val="651A7403"/>
    <w:rsid w:val="652965F9"/>
    <w:rsid w:val="65302975"/>
    <w:rsid w:val="65321A05"/>
    <w:rsid w:val="653F675A"/>
    <w:rsid w:val="65440848"/>
    <w:rsid w:val="6549404E"/>
    <w:rsid w:val="654B54F3"/>
    <w:rsid w:val="654C3ECB"/>
    <w:rsid w:val="654E713F"/>
    <w:rsid w:val="65501216"/>
    <w:rsid w:val="65536C9F"/>
    <w:rsid w:val="655C307F"/>
    <w:rsid w:val="65605A13"/>
    <w:rsid w:val="656C6823"/>
    <w:rsid w:val="656F5FB6"/>
    <w:rsid w:val="657235E1"/>
    <w:rsid w:val="65833B69"/>
    <w:rsid w:val="65966352"/>
    <w:rsid w:val="65A559B9"/>
    <w:rsid w:val="65A76FD9"/>
    <w:rsid w:val="65B52271"/>
    <w:rsid w:val="65BA2A0E"/>
    <w:rsid w:val="65BC2C47"/>
    <w:rsid w:val="65BD6848"/>
    <w:rsid w:val="65C6776D"/>
    <w:rsid w:val="65CB08F9"/>
    <w:rsid w:val="65CC473E"/>
    <w:rsid w:val="65D6298E"/>
    <w:rsid w:val="65E66098"/>
    <w:rsid w:val="65EA40A0"/>
    <w:rsid w:val="65EE2077"/>
    <w:rsid w:val="65EF307F"/>
    <w:rsid w:val="65EF58D9"/>
    <w:rsid w:val="65FA2DFA"/>
    <w:rsid w:val="65FF796B"/>
    <w:rsid w:val="66033179"/>
    <w:rsid w:val="660D67BF"/>
    <w:rsid w:val="661060AE"/>
    <w:rsid w:val="662614F9"/>
    <w:rsid w:val="662F11A7"/>
    <w:rsid w:val="66305FEF"/>
    <w:rsid w:val="6637412F"/>
    <w:rsid w:val="66391A94"/>
    <w:rsid w:val="663951B8"/>
    <w:rsid w:val="6639693C"/>
    <w:rsid w:val="66751F21"/>
    <w:rsid w:val="66A41AEC"/>
    <w:rsid w:val="66B15F58"/>
    <w:rsid w:val="66B76C3E"/>
    <w:rsid w:val="66B83E77"/>
    <w:rsid w:val="66C90E1A"/>
    <w:rsid w:val="66CE65C0"/>
    <w:rsid w:val="66CF028D"/>
    <w:rsid w:val="66DA1E07"/>
    <w:rsid w:val="66E464E7"/>
    <w:rsid w:val="66EB5858"/>
    <w:rsid w:val="66F51768"/>
    <w:rsid w:val="66F62584"/>
    <w:rsid w:val="66F82CDC"/>
    <w:rsid w:val="66FC16CD"/>
    <w:rsid w:val="67035284"/>
    <w:rsid w:val="6709438F"/>
    <w:rsid w:val="670C60DD"/>
    <w:rsid w:val="67122810"/>
    <w:rsid w:val="67174F9D"/>
    <w:rsid w:val="67181C13"/>
    <w:rsid w:val="6718670B"/>
    <w:rsid w:val="67205BD9"/>
    <w:rsid w:val="672C3A08"/>
    <w:rsid w:val="672D38C1"/>
    <w:rsid w:val="672E39E6"/>
    <w:rsid w:val="67440978"/>
    <w:rsid w:val="674C0EA9"/>
    <w:rsid w:val="674D3C9F"/>
    <w:rsid w:val="6757758B"/>
    <w:rsid w:val="675E053F"/>
    <w:rsid w:val="67793AE4"/>
    <w:rsid w:val="677E465D"/>
    <w:rsid w:val="678113F1"/>
    <w:rsid w:val="67843DFF"/>
    <w:rsid w:val="67862624"/>
    <w:rsid w:val="678810E6"/>
    <w:rsid w:val="678844D1"/>
    <w:rsid w:val="678D6F95"/>
    <w:rsid w:val="679876A7"/>
    <w:rsid w:val="67995DE5"/>
    <w:rsid w:val="679B4FF4"/>
    <w:rsid w:val="679D3798"/>
    <w:rsid w:val="67A2359C"/>
    <w:rsid w:val="67A77604"/>
    <w:rsid w:val="67B23EF0"/>
    <w:rsid w:val="67D1543B"/>
    <w:rsid w:val="67D5364D"/>
    <w:rsid w:val="67D63F53"/>
    <w:rsid w:val="67DB44FF"/>
    <w:rsid w:val="67DC4204"/>
    <w:rsid w:val="67ED02C1"/>
    <w:rsid w:val="680249F2"/>
    <w:rsid w:val="680E590A"/>
    <w:rsid w:val="681407B2"/>
    <w:rsid w:val="68143AEB"/>
    <w:rsid w:val="68315D93"/>
    <w:rsid w:val="683E0226"/>
    <w:rsid w:val="68431D85"/>
    <w:rsid w:val="684456E1"/>
    <w:rsid w:val="68464B63"/>
    <w:rsid w:val="685F08A0"/>
    <w:rsid w:val="686C6C55"/>
    <w:rsid w:val="68777397"/>
    <w:rsid w:val="687E6992"/>
    <w:rsid w:val="688117B7"/>
    <w:rsid w:val="68853286"/>
    <w:rsid w:val="68940993"/>
    <w:rsid w:val="68950A39"/>
    <w:rsid w:val="689A455E"/>
    <w:rsid w:val="68AC2420"/>
    <w:rsid w:val="68CD063B"/>
    <w:rsid w:val="68D20D2D"/>
    <w:rsid w:val="68DE30C1"/>
    <w:rsid w:val="68DF1833"/>
    <w:rsid w:val="68E82E90"/>
    <w:rsid w:val="68ED4D43"/>
    <w:rsid w:val="68FA2364"/>
    <w:rsid w:val="690A1231"/>
    <w:rsid w:val="690E4887"/>
    <w:rsid w:val="691270A5"/>
    <w:rsid w:val="6916042A"/>
    <w:rsid w:val="6917098D"/>
    <w:rsid w:val="691A0B7D"/>
    <w:rsid w:val="69212E34"/>
    <w:rsid w:val="692421BD"/>
    <w:rsid w:val="692A54EA"/>
    <w:rsid w:val="692B4D07"/>
    <w:rsid w:val="692D3BFD"/>
    <w:rsid w:val="693117C9"/>
    <w:rsid w:val="69316040"/>
    <w:rsid w:val="69382AF5"/>
    <w:rsid w:val="693D2293"/>
    <w:rsid w:val="693F07E1"/>
    <w:rsid w:val="69660ED5"/>
    <w:rsid w:val="697663A8"/>
    <w:rsid w:val="69851CDB"/>
    <w:rsid w:val="698B674A"/>
    <w:rsid w:val="69BB01EE"/>
    <w:rsid w:val="69D579CB"/>
    <w:rsid w:val="69D66BC3"/>
    <w:rsid w:val="69D71595"/>
    <w:rsid w:val="69D837F1"/>
    <w:rsid w:val="69DB0477"/>
    <w:rsid w:val="69DB543D"/>
    <w:rsid w:val="69DE36DF"/>
    <w:rsid w:val="69EA1DEE"/>
    <w:rsid w:val="69F52BEF"/>
    <w:rsid w:val="69F54BAC"/>
    <w:rsid w:val="69F81270"/>
    <w:rsid w:val="69F86742"/>
    <w:rsid w:val="69FA39D6"/>
    <w:rsid w:val="69FF1E09"/>
    <w:rsid w:val="6A007312"/>
    <w:rsid w:val="6A0653ED"/>
    <w:rsid w:val="6A0A1AFA"/>
    <w:rsid w:val="6A0F33D0"/>
    <w:rsid w:val="6A20204E"/>
    <w:rsid w:val="6A2878BA"/>
    <w:rsid w:val="6A2E01DF"/>
    <w:rsid w:val="6A2E758E"/>
    <w:rsid w:val="6A36248F"/>
    <w:rsid w:val="6A3B574E"/>
    <w:rsid w:val="6A5314CD"/>
    <w:rsid w:val="6A58019D"/>
    <w:rsid w:val="6A673012"/>
    <w:rsid w:val="6A6A30BA"/>
    <w:rsid w:val="6A6F16AD"/>
    <w:rsid w:val="6A6F18A8"/>
    <w:rsid w:val="6A717915"/>
    <w:rsid w:val="6A7849F8"/>
    <w:rsid w:val="6A8B4462"/>
    <w:rsid w:val="6A8E5165"/>
    <w:rsid w:val="6A9021D0"/>
    <w:rsid w:val="6A9B46D9"/>
    <w:rsid w:val="6AAA2C3E"/>
    <w:rsid w:val="6AB6195A"/>
    <w:rsid w:val="6AB869A9"/>
    <w:rsid w:val="6AC923A3"/>
    <w:rsid w:val="6AD63D4C"/>
    <w:rsid w:val="6AD82BB7"/>
    <w:rsid w:val="6ADC2127"/>
    <w:rsid w:val="6AE07570"/>
    <w:rsid w:val="6AE232FA"/>
    <w:rsid w:val="6AE40C47"/>
    <w:rsid w:val="6AE72D48"/>
    <w:rsid w:val="6AF201B3"/>
    <w:rsid w:val="6AF35627"/>
    <w:rsid w:val="6AF84287"/>
    <w:rsid w:val="6AF96AD8"/>
    <w:rsid w:val="6AFE3EBE"/>
    <w:rsid w:val="6B040CF8"/>
    <w:rsid w:val="6B0C1AE0"/>
    <w:rsid w:val="6B10259A"/>
    <w:rsid w:val="6B112DAD"/>
    <w:rsid w:val="6B1622BF"/>
    <w:rsid w:val="6B1B169C"/>
    <w:rsid w:val="6B1E399D"/>
    <w:rsid w:val="6B222333"/>
    <w:rsid w:val="6B244704"/>
    <w:rsid w:val="6B2D7593"/>
    <w:rsid w:val="6B311B56"/>
    <w:rsid w:val="6B473CB8"/>
    <w:rsid w:val="6B5E0B29"/>
    <w:rsid w:val="6B6045C5"/>
    <w:rsid w:val="6B6C7D0A"/>
    <w:rsid w:val="6B6F6736"/>
    <w:rsid w:val="6B721AB7"/>
    <w:rsid w:val="6B7822F0"/>
    <w:rsid w:val="6B782E92"/>
    <w:rsid w:val="6B8B4C2C"/>
    <w:rsid w:val="6B91201B"/>
    <w:rsid w:val="6BAA2723"/>
    <w:rsid w:val="6BB2162E"/>
    <w:rsid w:val="6BB22E74"/>
    <w:rsid w:val="6BBE1DCF"/>
    <w:rsid w:val="6BC418B9"/>
    <w:rsid w:val="6BC576C8"/>
    <w:rsid w:val="6BC65DA6"/>
    <w:rsid w:val="6BD02663"/>
    <w:rsid w:val="6BD73C00"/>
    <w:rsid w:val="6BDB12A0"/>
    <w:rsid w:val="6BDD4473"/>
    <w:rsid w:val="6BE84A9C"/>
    <w:rsid w:val="6BEA4AC8"/>
    <w:rsid w:val="6BEB23CA"/>
    <w:rsid w:val="6BEF2A76"/>
    <w:rsid w:val="6C0E29A5"/>
    <w:rsid w:val="6C155264"/>
    <w:rsid w:val="6C170F21"/>
    <w:rsid w:val="6C1752B5"/>
    <w:rsid w:val="6C1824E8"/>
    <w:rsid w:val="6C312447"/>
    <w:rsid w:val="6C380503"/>
    <w:rsid w:val="6C391708"/>
    <w:rsid w:val="6C4F7E06"/>
    <w:rsid w:val="6C5620D0"/>
    <w:rsid w:val="6C5644DC"/>
    <w:rsid w:val="6C5A5391"/>
    <w:rsid w:val="6C5B610D"/>
    <w:rsid w:val="6C7C5FBB"/>
    <w:rsid w:val="6C864C10"/>
    <w:rsid w:val="6C865FE0"/>
    <w:rsid w:val="6C8707E4"/>
    <w:rsid w:val="6C8977BE"/>
    <w:rsid w:val="6C9246F3"/>
    <w:rsid w:val="6C981658"/>
    <w:rsid w:val="6C98714A"/>
    <w:rsid w:val="6C9E1C7A"/>
    <w:rsid w:val="6CB200AB"/>
    <w:rsid w:val="6CB27B4F"/>
    <w:rsid w:val="6CB81114"/>
    <w:rsid w:val="6CBC1513"/>
    <w:rsid w:val="6CC16AC7"/>
    <w:rsid w:val="6CC21066"/>
    <w:rsid w:val="6CC432AD"/>
    <w:rsid w:val="6CC77CF9"/>
    <w:rsid w:val="6CC86CAB"/>
    <w:rsid w:val="6CD40033"/>
    <w:rsid w:val="6CDD31B4"/>
    <w:rsid w:val="6CE04F36"/>
    <w:rsid w:val="6CE0721B"/>
    <w:rsid w:val="6CE50910"/>
    <w:rsid w:val="6CEA1F66"/>
    <w:rsid w:val="6CF031A7"/>
    <w:rsid w:val="6CFD359A"/>
    <w:rsid w:val="6CFE1C37"/>
    <w:rsid w:val="6D136FF2"/>
    <w:rsid w:val="6D1E61E5"/>
    <w:rsid w:val="6D220D67"/>
    <w:rsid w:val="6D261612"/>
    <w:rsid w:val="6D265387"/>
    <w:rsid w:val="6D2A3445"/>
    <w:rsid w:val="6D2E073D"/>
    <w:rsid w:val="6D2F1B30"/>
    <w:rsid w:val="6D306B71"/>
    <w:rsid w:val="6D3C4CB0"/>
    <w:rsid w:val="6D407B0A"/>
    <w:rsid w:val="6D46159D"/>
    <w:rsid w:val="6D587397"/>
    <w:rsid w:val="6D5B0EC4"/>
    <w:rsid w:val="6D5F0878"/>
    <w:rsid w:val="6D620EB3"/>
    <w:rsid w:val="6D651351"/>
    <w:rsid w:val="6D750F9C"/>
    <w:rsid w:val="6D7C19A7"/>
    <w:rsid w:val="6D7E7454"/>
    <w:rsid w:val="6D800D71"/>
    <w:rsid w:val="6D886166"/>
    <w:rsid w:val="6D9A0FB5"/>
    <w:rsid w:val="6D9C3F95"/>
    <w:rsid w:val="6D9E6BD6"/>
    <w:rsid w:val="6DA324CB"/>
    <w:rsid w:val="6DA57339"/>
    <w:rsid w:val="6DAA3C48"/>
    <w:rsid w:val="6DAE7C2E"/>
    <w:rsid w:val="6DCA6705"/>
    <w:rsid w:val="6DCE650D"/>
    <w:rsid w:val="6DD613B4"/>
    <w:rsid w:val="6DE018F5"/>
    <w:rsid w:val="6DE3320B"/>
    <w:rsid w:val="6DEA3E9A"/>
    <w:rsid w:val="6DF63915"/>
    <w:rsid w:val="6DF911AF"/>
    <w:rsid w:val="6DFE0623"/>
    <w:rsid w:val="6DFE7BD5"/>
    <w:rsid w:val="6E011D87"/>
    <w:rsid w:val="6E07038A"/>
    <w:rsid w:val="6E07090B"/>
    <w:rsid w:val="6E0A11BE"/>
    <w:rsid w:val="6E0D25CB"/>
    <w:rsid w:val="6E117EEC"/>
    <w:rsid w:val="6E154544"/>
    <w:rsid w:val="6E190374"/>
    <w:rsid w:val="6E1D570A"/>
    <w:rsid w:val="6E330AD0"/>
    <w:rsid w:val="6E367A28"/>
    <w:rsid w:val="6E3D75C1"/>
    <w:rsid w:val="6E423DDF"/>
    <w:rsid w:val="6E443A5A"/>
    <w:rsid w:val="6E493AAD"/>
    <w:rsid w:val="6E4A6C61"/>
    <w:rsid w:val="6E5422D5"/>
    <w:rsid w:val="6E591159"/>
    <w:rsid w:val="6E5E215E"/>
    <w:rsid w:val="6E611858"/>
    <w:rsid w:val="6E664CEF"/>
    <w:rsid w:val="6E723937"/>
    <w:rsid w:val="6E7D4320"/>
    <w:rsid w:val="6E8F4321"/>
    <w:rsid w:val="6E9A0F0B"/>
    <w:rsid w:val="6E9D69C4"/>
    <w:rsid w:val="6E9E794D"/>
    <w:rsid w:val="6E9F279C"/>
    <w:rsid w:val="6EA0096F"/>
    <w:rsid w:val="6EA115B4"/>
    <w:rsid w:val="6EA27A56"/>
    <w:rsid w:val="6EA56525"/>
    <w:rsid w:val="6EAA75D1"/>
    <w:rsid w:val="6EAC42B5"/>
    <w:rsid w:val="6EBC0504"/>
    <w:rsid w:val="6ECA2E1C"/>
    <w:rsid w:val="6ECB7E34"/>
    <w:rsid w:val="6ED0353C"/>
    <w:rsid w:val="6ED768A0"/>
    <w:rsid w:val="6ED86B17"/>
    <w:rsid w:val="6EDA6BC4"/>
    <w:rsid w:val="6EE03683"/>
    <w:rsid w:val="6EE207DD"/>
    <w:rsid w:val="6EEA1709"/>
    <w:rsid w:val="6EEF16A0"/>
    <w:rsid w:val="6EF05396"/>
    <w:rsid w:val="6EF12218"/>
    <w:rsid w:val="6EF4038D"/>
    <w:rsid w:val="6EF42190"/>
    <w:rsid w:val="6EF702FE"/>
    <w:rsid w:val="6EFC3646"/>
    <w:rsid w:val="6F050443"/>
    <w:rsid w:val="6F08280D"/>
    <w:rsid w:val="6F196DF5"/>
    <w:rsid w:val="6F1E159A"/>
    <w:rsid w:val="6F201574"/>
    <w:rsid w:val="6F2311DF"/>
    <w:rsid w:val="6F2A30EF"/>
    <w:rsid w:val="6F370D10"/>
    <w:rsid w:val="6F383F7F"/>
    <w:rsid w:val="6F3F1219"/>
    <w:rsid w:val="6F3F2306"/>
    <w:rsid w:val="6F445E30"/>
    <w:rsid w:val="6F4A104F"/>
    <w:rsid w:val="6F653FCB"/>
    <w:rsid w:val="6F6C190D"/>
    <w:rsid w:val="6F6F4C5C"/>
    <w:rsid w:val="6F703DCF"/>
    <w:rsid w:val="6F786EB1"/>
    <w:rsid w:val="6F895312"/>
    <w:rsid w:val="6F89777D"/>
    <w:rsid w:val="6F8E5B2C"/>
    <w:rsid w:val="6FA957F9"/>
    <w:rsid w:val="6FAF5126"/>
    <w:rsid w:val="6FB549E5"/>
    <w:rsid w:val="6FB802F8"/>
    <w:rsid w:val="6FD934F4"/>
    <w:rsid w:val="6FDD2CF2"/>
    <w:rsid w:val="6FE57A92"/>
    <w:rsid w:val="6FEB6582"/>
    <w:rsid w:val="6FED48B4"/>
    <w:rsid w:val="6FF74DB2"/>
    <w:rsid w:val="6FF85E84"/>
    <w:rsid w:val="70004965"/>
    <w:rsid w:val="7002395B"/>
    <w:rsid w:val="700E4602"/>
    <w:rsid w:val="702164F3"/>
    <w:rsid w:val="70227F96"/>
    <w:rsid w:val="703270A3"/>
    <w:rsid w:val="70342DA9"/>
    <w:rsid w:val="703E6069"/>
    <w:rsid w:val="704435B8"/>
    <w:rsid w:val="70545352"/>
    <w:rsid w:val="7067451C"/>
    <w:rsid w:val="706871BE"/>
    <w:rsid w:val="706B19B7"/>
    <w:rsid w:val="70747B8F"/>
    <w:rsid w:val="7079091E"/>
    <w:rsid w:val="70824BAC"/>
    <w:rsid w:val="70846DF4"/>
    <w:rsid w:val="7087751C"/>
    <w:rsid w:val="708B36F4"/>
    <w:rsid w:val="70965861"/>
    <w:rsid w:val="70A42527"/>
    <w:rsid w:val="70AB03CE"/>
    <w:rsid w:val="70B807A9"/>
    <w:rsid w:val="70C530C0"/>
    <w:rsid w:val="70C82E03"/>
    <w:rsid w:val="70CE1084"/>
    <w:rsid w:val="70D34C4F"/>
    <w:rsid w:val="70DB5C90"/>
    <w:rsid w:val="70DF6807"/>
    <w:rsid w:val="70E351DC"/>
    <w:rsid w:val="70EA067A"/>
    <w:rsid w:val="70ED1E95"/>
    <w:rsid w:val="70F134C2"/>
    <w:rsid w:val="70FA5CFA"/>
    <w:rsid w:val="70FF1BD2"/>
    <w:rsid w:val="71051FC0"/>
    <w:rsid w:val="71073C0C"/>
    <w:rsid w:val="710F59E4"/>
    <w:rsid w:val="71116899"/>
    <w:rsid w:val="711567D0"/>
    <w:rsid w:val="71157C4B"/>
    <w:rsid w:val="711C167A"/>
    <w:rsid w:val="71221B1D"/>
    <w:rsid w:val="71234478"/>
    <w:rsid w:val="71235327"/>
    <w:rsid w:val="71276F6B"/>
    <w:rsid w:val="71472E85"/>
    <w:rsid w:val="714817AC"/>
    <w:rsid w:val="71550683"/>
    <w:rsid w:val="71556509"/>
    <w:rsid w:val="715642A9"/>
    <w:rsid w:val="715B6173"/>
    <w:rsid w:val="716F0BB9"/>
    <w:rsid w:val="71745859"/>
    <w:rsid w:val="71785E54"/>
    <w:rsid w:val="71795BC0"/>
    <w:rsid w:val="71861E23"/>
    <w:rsid w:val="71A80CC4"/>
    <w:rsid w:val="71AA4897"/>
    <w:rsid w:val="71AC6F96"/>
    <w:rsid w:val="71B40548"/>
    <w:rsid w:val="71B92486"/>
    <w:rsid w:val="71CA050A"/>
    <w:rsid w:val="71D644B1"/>
    <w:rsid w:val="71E30009"/>
    <w:rsid w:val="71E40FD0"/>
    <w:rsid w:val="71F435E5"/>
    <w:rsid w:val="7210555E"/>
    <w:rsid w:val="721326C8"/>
    <w:rsid w:val="721379C5"/>
    <w:rsid w:val="7217187B"/>
    <w:rsid w:val="721F50A1"/>
    <w:rsid w:val="72200D9E"/>
    <w:rsid w:val="722174E6"/>
    <w:rsid w:val="72344F34"/>
    <w:rsid w:val="723869C2"/>
    <w:rsid w:val="723912C7"/>
    <w:rsid w:val="7241040E"/>
    <w:rsid w:val="724320EE"/>
    <w:rsid w:val="72571DEB"/>
    <w:rsid w:val="725D4862"/>
    <w:rsid w:val="7265642E"/>
    <w:rsid w:val="726F342D"/>
    <w:rsid w:val="727347F0"/>
    <w:rsid w:val="7280504E"/>
    <w:rsid w:val="7282408A"/>
    <w:rsid w:val="728D7352"/>
    <w:rsid w:val="728F538A"/>
    <w:rsid w:val="72954A5D"/>
    <w:rsid w:val="72965A02"/>
    <w:rsid w:val="72996863"/>
    <w:rsid w:val="729A6772"/>
    <w:rsid w:val="72A4389C"/>
    <w:rsid w:val="72AB3615"/>
    <w:rsid w:val="72AD6008"/>
    <w:rsid w:val="72AF7C9E"/>
    <w:rsid w:val="72C17CEA"/>
    <w:rsid w:val="72C3310C"/>
    <w:rsid w:val="72CC5703"/>
    <w:rsid w:val="72EA62E0"/>
    <w:rsid w:val="72EC13BE"/>
    <w:rsid w:val="72EC648D"/>
    <w:rsid w:val="72ED6726"/>
    <w:rsid w:val="72F052C7"/>
    <w:rsid w:val="72F45C90"/>
    <w:rsid w:val="73085AC2"/>
    <w:rsid w:val="731475BF"/>
    <w:rsid w:val="73244166"/>
    <w:rsid w:val="73384E69"/>
    <w:rsid w:val="7345551C"/>
    <w:rsid w:val="73556259"/>
    <w:rsid w:val="73572C2D"/>
    <w:rsid w:val="735A0C09"/>
    <w:rsid w:val="735D3A20"/>
    <w:rsid w:val="736E4239"/>
    <w:rsid w:val="73717FF8"/>
    <w:rsid w:val="737465BA"/>
    <w:rsid w:val="73797966"/>
    <w:rsid w:val="737C312A"/>
    <w:rsid w:val="73811FD6"/>
    <w:rsid w:val="7384477A"/>
    <w:rsid w:val="738B01E7"/>
    <w:rsid w:val="738C5E3C"/>
    <w:rsid w:val="738F19E3"/>
    <w:rsid w:val="73991CA0"/>
    <w:rsid w:val="73C301CF"/>
    <w:rsid w:val="73C71EA9"/>
    <w:rsid w:val="73DA468C"/>
    <w:rsid w:val="73DD231F"/>
    <w:rsid w:val="73E2225F"/>
    <w:rsid w:val="73E777E5"/>
    <w:rsid w:val="73E8475C"/>
    <w:rsid w:val="73E87B9A"/>
    <w:rsid w:val="73F14375"/>
    <w:rsid w:val="73FB24FE"/>
    <w:rsid w:val="740E5000"/>
    <w:rsid w:val="74103A0A"/>
    <w:rsid w:val="741048C6"/>
    <w:rsid w:val="7415381B"/>
    <w:rsid w:val="741809E2"/>
    <w:rsid w:val="741F0ACD"/>
    <w:rsid w:val="74233B08"/>
    <w:rsid w:val="7427761F"/>
    <w:rsid w:val="742A1608"/>
    <w:rsid w:val="742D3056"/>
    <w:rsid w:val="74303F1D"/>
    <w:rsid w:val="74314656"/>
    <w:rsid w:val="74386A32"/>
    <w:rsid w:val="743C7D02"/>
    <w:rsid w:val="74477D65"/>
    <w:rsid w:val="744C4FBB"/>
    <w:rsid w:val="744D0A93"/>
    <w:rsid w:val="744E39F9"/>
    <w:rsid w:val="74512328"/>
    <w:rsid w:val="7453116F"/>
    <w:rsid w:val="74560016"/>
    <w:rsid w:val="74566BCA"/>
    <w:rsid w:val="7457480A"/>
    <w:rsid w:val="74597BE8"/>
    <w:rsid w:val="745A5263"/>
    <w:rsid w:val="74646D3A"/>
    <w:rsid w:val="746C6918"/>
    <w:rsid w:val="747E0AE9"/>
    <w:rsid w:val="74801899"/>
    <w:rsid w:val="74852E43"/>
    <w:rsid w:val="74877D33"/>
    <w:rsid w:val="748944FB"/>
    <w:rsid w:val="748E734F"/>
    <w:rsid w:val="749119DE"/>
    <w:rsid w:val="74942C8E"/>
    <w:rsid w:val="749E1DDC"/>
    <w:rsid w:val="74A354E7"/>
    <w:rsid w:val="74A85891"/>
    <w:rsid w:val="74AE6C80"/>
    <w:rsid w:val="74B45B26"/>
    <w:rsid w:val="74CA705D"/>
    <w:rsid w:val="74D363E8"/>
    <w:rsid w:val="74D55E8F"/>
    <w:rsid w:val="74DA0959"/>
    <w:rsid w:val="74DD61E0"/>
    <w:rsid w:val="74DE009E"/>
    <w:rsid w:val="74DE0325"/>
    <w:rsid w:val="74F01B64"/>
    <w:rsid w:val="74F03FBF"/>
    <w:rsid w:val="74F15A67"/>
    <w:rsid w:val="74FE1B2C"/>
    <w:rsid w:val="75047DB1"/>
    <w:rsid w:val="750A5610"/>
    <w:rsid w:val="750B1C73"/>
    <w:rsid w:val="7512771C"/>
    <w:rsid w:val="7515522A"/>
    <w:rsid w:val="7516534F"/>
    <w:rsid w:val="751974CF"/>
    <w:rsid w:val="751D3DA0"/>
    <w:rsid w:val="751F240E"/>
    <w:rsid w:val="75291F51"/>
    <w:rsid w:val="7536120D"/>
    <w:rsid w:val="753615BD"/>
    <w:rsid w:val="753B5BC5"/>
    <w:rsid w:val="754A5FA9"/>
    <w:rsid w:val="755700DB"/>
    <w:rsid w:val="755712E8"/>
    <w:rsid w:val="75593467"/>
    <w:rsid w:val="755D45DF"/>
    <w:rsid w:val="756C090B"/>
    <w:rsid w:val="75870F60"/>
    <w:rsid w:val="758A5413"/>
    <w:rsid w:val="75935015"/>
    <w:rsid w:val="75994FDC"/>
    <w:rsid w:val="75A83FD7"/>
    <w:rsid w:val="75AC048A"/>
    <w:rsid w:val="75B218F1"/>
    <w:rsid w:val="75C12270"/>
    <w:rsid w:val="75C46904"/>
    <w:rsid w:val="75D41740"/>
    <w:rsid w:val="75DD0F73"/>
    <w:rsid w:val="75DD694F"/>
    <w:rsid w:val="75F84412"/>
    <w:rsid w:val="75FA76EF"/>
    <w:rsid w:val="75FB4732"/>
    <w:rsid w:val="7604236B"/>
    <w:rsid w:val="76297F37"/>
    <w:rsid w:val="762F506D"/>
    <w:rsid w:val="76324B9D"/>
    <w:rsid w:val="7638169E"/>
    <w:rsid w:val="764709D0"/>
    <w:rsid w:val="76477EBD"/>
    <w:rsid w:val="765A62AF"/>
    <w:rsid w:val="766B7CD5"/>
    <w:rsid w:val="767446D4"/>
    <w:rsid w:val="7674514E"/>
    <w:rsid w:val="767A3320"/>
    <w:rsid w:val="767D519E"/>
    <w:rsid w:val="76804792"/>
    <w:rsid w:val="7683593C"/>
    <w:rsid w:val="76852CF8"/>
    <w:rsid w:val="76871757"/>
    <w:rsid w:val="7690642B"/>
    <w:rsid w:val="769D2AFA"/>
    <w:rsid w:val="76A21F97"/>
    <w:rsid w:val="76A65215"/>
    <w:rsid w:val="76A71C5A"/>
    <w:rsid w:val="76BE294C"/>
    <w:rsid w:val="76D13796"/>
    <w:rsid w:val="76D15F3C"/>
    <w:rsid w:val="76D900DD"/>
    <w:rsid w:val="76DB48B8"/>
    <w:rsid w:val="76DC18D3"/>
    <w:rsid w:val="76F6290C"/>
    <w:rsid w:val="76F83A7C"/>
    <w:rsid w:val="77005AA7"/>
    <w:rsid w:val="7708682D"/>
    <w:rsid w:val="77092E09"/>
    <w:rsid w:val="770D132D"/>
    <w:rsid w:val="770E47FD"/>
    <w:rsid w:val="770F1E99"/>
    <w:rsid w:val="77141492"/>
    <w:rsid w:val="77183817"/>
    <w:rsid w:val="77242749"/>
    <w:rsid w:val="77271049"/>
    <w:rsid w:val="7729381E"/>
    <w:rsid w:val="772F2F63"/>
    <w:rsid w:val="772F46B6"/>
    <w:rsid w:val="77345B13"/>
    <w:rsid w:val="77346374"/>
    <w:rsid w:val="773A6DB5"/>
    <w:rsid w:val="774F0A83"/>
    <w:rsid w:val="77526C76"/>
    <w:rsid w:val="77620F20"/>
    <w:rsid w:val="77636DDE"/>
    <w:rsid w:val="77655B58"/>
    <w:rsid w:val="776609CF"/>
    <w:rsid w:val="776D7762"/>
    <w:rsid w:val="77715091"/>
    <w:rsid w:val="77761535"/>
    <w:rsid w:val="777C2BB2"/>
    <w:rsid w:val="778311E3"/>
    <w:rsid w:val="778C1207"/>
    <w:rsid w:val="77911B0E"/>
    <w:rsid w:val="779601AD"/>
    <w:rsid w:val="779F5614"/>
    <w:rsid w:val="779F5702"/>
    <w:rsid w:val="77A94A18"/>
    <w:rsid w:val="77BB337A"/>
    <w:rsid w:val="77CC6E73"/>
    <w:rsid w:val="77DB7B27"/>
    <w:rsid w:val="77DD0837"/>
    <w:rsid w:val="77E50BDE"/>
    <w:rsid w:val="77EC5434"/>
    <w:rsid w:val="77F20422"/>
    <w:rsid w:val="77FB3867"/>
    <w:rsid w:val="780B616A"/>
    <w:rsid w:val="780D3783"/>
    <w:rsid w:val="780F6C87"/>
    <w:rsid w:val="78240CA4"/>
    <w:rsid w:val="782A3557"/>
    <w:rsid w:val="78352AE7"/>
    <w:rsid w:val="783772C7"/>
    <w:rsid w:val="784C75DA"/>
    <w:rsid w:val="78525DDC"/>
    <w:rsid w:val="78565A6A"/>
    <w:rsid w:val="785C0A48"/>
    <w:rsid w:val="78647B04"/>
    <w:rsid w:val="78647BDD"/>
    <w:rsid w:val="786B5FC4"/>
    <w:rsid w:val="786F0D60"/>
    <w:rsid w:val="7875731B"/>
    <w:rsid w:val="78790FF4"/>
    <w:rsid w:val="788E3FD1"/>
    <w:rsid w:val="7892789E"/>
    <w:rsid w:val="78A17DB3"/>
    <w:rsid w:val="78AA5BC8"/>
    <w:rsid w:val="78AF5B03"/>
    <w:rsid w:val="78B8298E"/>
    <w:rsid w:val="78DC465A"/>
    <w:rsid w:val="78ED1D11"/>
    <w:rsid w:val="78EE0B67"/>
    <w:rsid w:val="78F828F9"/>
    <w:rsid w:val="78FD042A"/>
    <w:rsid w:val="78FE1A8C"/>
    <w:rsid w:val="7917523D"/>
    <w:rsid w:val="791D6E33"/>
    <w:rsid w:val="7925406E"/>
    <w:rsid w:val="79280F8E"/>
    <w:rsid w:val="79333ED6"/>
    <w:rsid w:val="79357513"/>
    <w:rsid w:val="7952226C"/>
    <w:rsid w:val="7962648A"/>
    <w:rsid w:val="7969465F"/>
    <w:rsid w:val="79705348"/>
    <w:rsid w:val="798062CB"/>
    <w:rsid w:val="798150A9"/>
    <w:rsid w:val="798973CF"/>
    <w:rsid w:val="799B65D3"/>
    <w:rsid w:val="799D0D9D"/>
    <w:rsid w:val="79A42F06"/>
    <w:rsid w:val="79A64CC8"/>
    <w:rsid w:val="79AC0B80"/>
    <w:rsid w:val="79AE678B"/>
    <w:rsid w:val="79AF7599"/>
    <w:rsid w:val="79B003C6"/>
    <w:rsid w:val="79BE283A"/>
    <w:rsid w:val="79BE503A"/>
    <w:rsid w:val="79CF0A0B"/>
    <w:rsid w:val="79D07CA2"/>
    <w:rsid w:val="79D344C4"/>
    <w:rsid w:val="79E64024"/>
    <w:rsid w:val="79E9158D"/>
    <w:rsid w:val="79EB7695"/>
    <w:rsid w:val="79F17AFA"/>
    <w:rsid w:val="7A0E1A2B"/>
    <w:rsid w:val="7A0E3FD7"/>
    <w:rsid w:val="7A0F5645"/>
    <w:rsid w:val="7A145D20"/>
    <w:rsid w:val="7A1A7DAB"/>
    <w:rsid w:val="7A1F73DE"/>
    <w:rsid w:val="7A336562"/>
    <w:rsid w:val="7A3748FB"/>
    <w:rsid w:val="7A38159B"/>
    <w:rsid w:val="7A391F2F"/>
    <w:rsid w:val="7A3D5EB7"/>
    <w:rsid w:val="7A427A3A"/>
    <w:rsid w:val="7A4D0783"/>
    <w:rsid w:val="7A5945CA"/>
    <w:rsid w:val="7A5B7BC7"/>
    <w:rsid w:val="7A5C5B42"/>
    <w:rsid w:val="7A5D76B9"/>
    <w:rsid w:val="7A61763B"/>
    <w:rsid w:val="7A620421"/>
    <w:rsid w:val="7A626C82"/>
    <w:rsid w:val="7A753757"/>
    <w:rsid w:val="7A796A2C"/>
    <w:rsid w:val="7A806785"/>
    <w:rsid w:val="7A8349EC"/>
    <w:rsid w:val="7A8E6A68"/>
    <w:rsid w:val="7A9070BF"/>
    <w:rsid w:val="7AA141DC"/>
    <w:rsid w:val="7AAA1986"/>
    <w:rsid w:val="7AAE4AF0"/>
    <w:rsid w:val="7AB8668C"/>
    <w:rsid w:val="7AC36932"/>
    <w:rsid w:val="7AC41726"/>
    <w:rsid w:val="7AC71E64"/>
    <w:rsid w:val="7AC82B01"/>
    <w:rsid w:val="7AD14C06"/>
    <w:rsid w:val="7AE16D52"/>
    <w:rsid w:val="7AE94D9D"/>
    <w:rsid w:val="7AED41D1"/>
    <w:rsid w:val="7AFC2421"/>
    <w:rsid w:val="7AFC7C4B"/>
    <w:rsid w:val="7B051DA4"/>
    <w:rsid w:val="7B09545A"/>
    <w:rsid w:val="7B136645"/>
    <w:rsid w:val="7B215E16"/>
    <w:rsid w:val="7B220D94"/>
    <w:rsid w:val="7B252FB3"/>
    <w:rsid w:val="7B282C54"/>
    <w:rsid w:val="7B3E6D38"/>
    <w:rsid w:val="7B440A46"/>
    <w:rsid w:val="7B445A84"/>
    <w:rsid w:val="7B4E0119"/>
    <w:rsid w:val="7B595EC0"/>
    <w:rsid w:val="7B5E28EC"/>
    <w:rsid w:val="7B692DDF"/>
    <w:rsid w:val="7B71328C"/>
    <w:rsid w:val="7B720D6B"/>
    <w:rsid w:val="7B786FCF"/>
    <w:rsid w:val="7B876E89"/>
    <w:rsid w:val="7B8841E4"/>
    <w:rsid w:val="7B8D4D59"/>
    <w:rsid w:val="7B952083"/>
    <w:rsid w:val="7B966250"/>
    <w:rsid w:val="7B9A2DB5"/>
    <w:rsid w:val="7B9B450A"/>
    <w:rsid w:val="7B9F6564"/>
    <w:rsid w:val="7BA27FC5"/>
    <w:rsid w:val="7BAA7832"/>
    <w:rsid w:val="7BAE1DFB"/>
    <w:rsid w:val="7BB90879"/>
    <w:rsid w:val="7BCF6047"/>
    <w:rsid w:val="7BD2203F"/>
    <w:rsid w:val="7BEB122E"/>
    <w:rsid w:val="7BEB65A9"/>
    <w:rsid w:val="7BEE5A4A"/>
    <w:rsid w:val="7BEE7E31"/>
    <w:rsid w:val="7BF44303"/>
    <w:rsid w:val="7BFA3FC8"/>
    <w:rsid w:val="7C005B64"/>
    <w:rsid w:val="7C030239"/>
    <w:rsid w:val="7C0367F9"/>
    <w:rsid w:val="7C136BA1"/>
    <w:rsid w:val="7C142F6A"/>
    <w:rsid w:val="7C1A48C2"/>
    <w:rsid w:val="7C1D66C4"/>
    <w:rsid w:val="7C1E4035"/>
    <w:rsid w:val="7C384B96"/>
    <w:rsid w:val="7C3C1BB0"/>
    <w:rsid w:val="7C3C61CC"/>
    <w:rsid w:val="7C4426E9"/>
    <w:rsid w:val="7C5D03E4"/>
    <w:rsid w:val="7C5D51B3"/>
    <w:rsid w:val="7C634F1E"/>
    <w:rsid w:val="7C760D46"/>
    <w:rsid w:val="7C7E78A8"/>
    <w:rsid w:val="7C8E2A3E"/>
    <w:rsid w:val="7C8E59CE"/>
    <w:rsid w:val="7CAF32CA"/>
    <w:rsid w:val="7CB24445"/>
    <w:rsid w:val="7CC01894"/>
    <w:rsid w:val="7CC2222B"/>
    <w:rsid w:val="7CC95B28"/>
    <w:rsid w:val="7CC96AF3"/>
    <w:rsid w:val="7CCA7740"/>
    <w:rsid w:val="7CCE7E08"/>
    <w:rsid w:val="7CDC1FB4"/>
    <w:rsid w:val="7CDF0DB9"/>
    <w:rsid w:val="7CE159B0"/>
    <w:rsid w:val="7CE43FCA"/>
    <w:rsid w:val="7CE65300"/>
    <w:rsid w:val="7CEC05BB"/>
    <w:rsid w:val="7CFF2D2B"/>
    <w:rsid w:val="7D023E3E"/>
    <w:rsid w:val="7D1A346E"/>
    <w:rsid w:val="7D2E09E3"/>
    <w:rsid w:val="7D3715C8"/>
    <w:rsid w:val="7D4A3504"/>
    <w:rsid w:val="7D553CAA"/>
    <w:rsid w:val="7D577BF4"/>
    <w:rsid w:val="7D592AEE"/>
    <w:rsid w:val="7D5F77F2"/>
    <w:rsid w:val="7D626A93"/>
    <w:rsid w:val="7D6A4EC6"/>
    <w:rsid w:val="7D6E1E5C"/>
    <w:rsid w:val="7D6E798D"/>
    <w:rsid w:val="7D6F2877"/>
    <w:rsid w:val="7D721B06"/>
    <w:rsid w:val="7D765121"/>
    <w:rsid w:val="7D794536"/>
    <w:rsid w:val="7D7A1608"/>
    <w:rsid w:val="7D7D3B37"/>
    <w:rsid w:val="7D812E43"/>
    <w:rsid w:val="7D8527F4"/>
    <w:rsid w:val="7D867273"/>
    <w:rsid w:val="7D8E1755"/>
    <w:rsid w:val="7D9A4930"/>
    <w:rsid w:val="7DA14F65"/>
    <w:rsid w:val="7DA2526B"/>
    <w:rsid w:val="7DA34AD7"/>
    <w:rsid w:val="7DAA55FA"/>
    <w:rsid w:val="7DB04D84"/>
    <w:rsid w:val="7DB52583"/>
    <w:rsid w:val="7DB87674"/>
    <w:rsid w:val="7DC32B74"/>
    <w:rsid w:val="7DC45EFE"/>
    <w:rsid w:val="7DC719EA"/>
    <w:rsid w:val="7DCE77F9"/>
    <w:rsid w:val="7DD15196"/>
    <w:rsid w:val="7DD612BD"/>
    <w:rsid w:val="7DDB2912"/>
    <w:rsid w:val="7DE935A2"/>
    <w:rsid w:val="7DF77933"/>
    <w:rsid w:val="7DFE0C33"/>
    <w:rsid w:val="7E044C3D"/>
    <w:rsid w:val="7E056CA8"/>
    <w:rsid w:val="7E09234A"/>
    <w:rsid w:val="7E0D09A1"/>
    <w:rsid w:val="7E0E074B"/>
    <w:rsid w:val="7E1B06F5"/>
    <w:rsid w:val="7E1B613C"/>
    <w:rsid w:val="7E2A51E2"/>
    <w:rsid w:val="7E2F6321"/>
    <w:rsid w:val="7E3527CB"/>
    <w:rsid w:val="7E3D02D6"/>
    <w:rsid w:val="7E3F0615"/>
    <w:rsid w:val="7E4E6BC8"/>
    <w:rsid w:val="7E5C0D80"/>
    <w:rsid w:val="7E5F7F5C"/>
    <w:rsid w:val="7E835ADE"/>
    <w:rsid w:val="7E885A67"/>
    <w:rsid w:val="7E924396"/>
    <w:rsid w:val="7E961342"/>
    <w:rsid w:val="7E9708A4"/>
    <w:rsid w:val="7E9812FB"/>
    <w:rsid w:val="7E985E26"/>
    <w:rsid w:val="7E987494"/>
    <w:rsid w:val="7E9F29B2"/>
    <w:rsid w:val="7EA161AF"/>
    <w:rsid w:val="7EAC7DAB"/>
    <w:rsid w:val="7EB63144"/>
    <w:rsid w:val="7EB73C60"/>
    <w:rsid w:val="7EB9703A"/>
    <w:rsid w:val="7EBA3C52"/>
    <w:rsid w:val="7EBF5C87"/>
    <w:rsid w:val="7EC00505"/>
    <w:rsid w:val="7EC03706"/>
    <w:rsid w:val="7EC173E4"/>
    <w:rsid w:val="7EC46D90"/>
    <w:rsid w:val="7EC47CFB"/>
    <w:rsid w:val="7ECE7A6D"/>
    <w:rsid w:val="7EE764C9"/>
    <w:rsid w:val="7EF80086"/>
    <w:rsid w:val="7F027F2C"/>
    <w:rsid w:val="7F06291F"/>
    <w:rsid w:val="7F115CFC"/>
    <w:rsid w:val="7F1222A5"/>
    <w:rsid w:val="7F245876"/>
    <w:rsid w:val="7F272E51"/>
    <w:rsid w:val="7F2B73C4"/>
    <w:rsid w:val="7F3B4F39"/>
    <w:rsid w:val="7F3E0482"/>
    <w:rsid w:val="7F407374"/>
    <w:rsid w:val="7F44280F"/>
    <w:rsid w:val="7F4C0BFD"/>
    <w:rsid w:val="7F5059B4"/>
    <w:rsid w:val="7F52437F"/>
    <w:rsid w:val="7F54365B"/>
    <w:rsid w:val="7F5E4A8C"/>
    <w:rsid w:val="7F5E54E2"/>
    <w:rsid w:val="7F665CE6"/>
    <w:rsid w:val="7F764649"/>
    <w:rsid w:val="7F773C7B"/>
    <w:rsid w:val="7F7B0819"/>
    <w:rsid w:val="7F84424A"/>
    <w:rsid w:val="7F8A2A45"/>
    <w:rsid w:val="7F8B0C5F"/>
    <w:rsid w:val="7F915454"/>
    <w:rsid w:val="7F926065"/>
    <w:rsid w:val="7F9858DF"/>
    <w:rsid w:val="7F9C5FC9"/>
    <w:rsid w:val="7FA77699"/>
    <w:rsid w:val="7FAC2701"/>
    <w:rsid w:val="7FAE7F6F"/>
    <w:rsid w:val="7FCA5EC6"/>
    <w:rsid w:val="7FCE3599"/>
    <w:rsid w:val="7FD16E15"/>
    <w:rsid w:val="7FE52367"/>
    <w:rsid w:val="7FE65145"/>
    <w:rsid w:val="7FE70C4E"/>
    <w:rsid w:val="7FF4560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outlineLvl w:val="2"/>
    </w:pPr>
    <w:rPr>
      <w:rFonts w:ascii="宋体" w:hAnsi="宋体"/>
      <w:b/>
      <w:bCs/>
      <w:sz w:val="28"/>
      <w:szCs w:val="20"/>
    </w:rPr>
  </w:style>
  <w:style w:type="paragraph" w:styleId="5">
    <w:name w:val="heading 4"/>
    <w:basedOn w:val="1"/>
    <w:next w:val="1"/>
    <w:qFormat/>
    <w:uiPriority w:val="0"/>
    <w:pPr>
      <w:keepNext/>
      <w:keepLines/>
      <w:spacing w:before="280" w:beforeLines="0" w:after="290" w:afterLines="0" w:line="376" w:lineRule="auto"/>
      <w:outlineLvl w:val="3"/>
    </w:pPr>
    <w:rPr>
      <w:rFonts w:ascii="Cambria" w:hAnsi="Cambria" w:eastAsia="宋体" w:cs="Times New Roman"/>
      <w:b/>
      <w:bCs/>
      <w:sz w:val="28"/>
      <w:szCs w:val="28"/>
    </w:rPr>
  </w:style>
  <w:style w:type="character" w:default="1" w:styleId="22">
    <w:name w:val="Default Paragraph Font"/>
    <w:link w:val="23"/>
    <w:semiHidden/>
    <w:qFormat/>
    <w:uiPriority w:val="0"/>
  </w:style>
  <w:style w:type="table" w:default="1" w:styleId="28">
    <w:name w:val="Normal Table"/>
    <w:semiHidden/>
    <w:qFormat/>
    <w:uiPriority w:val="0"/>
    <w:tblPr>
      <w:tblLayout w:type="fixed"/>
      <w:tblCellMar>
        <w:top w:w="0" w:type="dxa"/>
        <w:left w:w="108" w:type="dxa"/>
        <w:bottom w:w="0" w:type="dxa"/>
        <w:right w:w="108" w:type="dxa"/>
      </w:tblCellMar>
    </w:tblPr>
  </w:style>
  <w:style w:type="paragraph" w:styleId="6">
    <w:name w:val="List 3"/>
    <w:basedOn w:val="1"/>
    <w:qFormat/>
    <w:uiPriority w:val="0"/>
    <w:pPr>
      <w:ind w:left="1260" w:hanging="420"/>
    </w:pPr>
    <w:rPr>
      <w:szCs w:val="20"/>
    </w:rPr>
  </w:style>
  <w:style w:type="paragraph" w:styleId="7">
    <w:name w:val="annotation subject"/>
    <w:basedOn w:val="8"/>
    <w:next w:val="8"/>
    <w:semiHidden/>
    <w:qFormat/>
    <w:uiPriority w:val="0"/>
    <w:rPr>
      <w:b/>
      <w:bCs/>
    </w:rPr>
  </w:style>
  <w:style w:type="paragraph" w:styleId="8">
    <w:name w:val="annotation text"/>
    <w:basedOn w:val="1"/>
    <w:qFormat/>
    <w:uiPriority w:val="0"/>
    <w:pPr>
      <w:jc w:val="left"/>
    </w:pPr>
  </w:style>
  <w:style w:type="paragraph" w:styleId="9">
    <w:name w:val="Normal Indent"/>
    <w:basedOn w:val="1"/>
    <w:next w:val="1"/>
    <w:qFormat/>
    <w:uiPriority w:val="0"/>
    <w:pPr>
      <w:spacing w:line="660" w:lineRule="exact"/>
      <w:ind w:firstLine="567"/>
      <w:jc w:val="left"/>
    </w:pPr>
    <w:rPr>
      <w:sz w:val="28"/>
      <w:szCs w:val="20"/>
    </w:rPr>
  </w:style>
  <w:style w:type="paragraph" w:styleId="10">
    <w:name w:val="Body Text"/>
    <w:basedOn w:val="1"/>
    <w:qFormat/>
    <w:uiPriority w:val="0"/>
    <w:pPr>
      <w:spacing w:before="20" w:beforeLines="0" w:after="20" w:afterLines="0"/>
      <w:jc w:val="center"/>
    </w:pPr>
    <w:rPr>
      <w:sz w:val="24"/>
      <w:szCs w:val="20"/>
    </w:rPr>
  </w:style>
  <w:style w:type="paragraph" w:styleId="11">
    <w:name w:val="Body Text Indent"/>
    <w:basedOn w:val="1"/>
    <w:qFormat/>
    <w:uiPriority w:val="0"/>
    <w:pPr>
      <w:spacing w:line="360" w:lineRule="auto"/>
      <w:ind w:firstLine="560" w:firstLineChars="200"/>
    </w:pPr>
    <w:rPr>
      <w:rFonts w:ascii="宋体" w:hAnsi="宋体"/>
      <w:sz w:val="28"/>
    </w:rPr>
  </w:style>
  <w:style w:type="paragraph" w:styleId="12">
    <w:name w:val="Block Text"/>
    <w:basedOn w:val="1"/>
    <w:unhideWhenUsed/>
    <w:qFormat/>
    <w:uiPriority w:val="99"/>
    <w:pPr>
      <w:snapToGrid w:val="0"/>
      <w:spacing w:line="408" w:lineRule="auto"/>
      <w:ind w:left="-113" w:right="-510" w:firstLine="510"/>
    </w:pPr>
    <w:rPr>
      <w:sz w:val="24"/>
      <w:szCs w:val="20"/>
    </w:rPr>
  </w:style>
  <w:style w:type="paragraph" w:styleId="13">
    <w:name w:val="Plain Text"/>
    <w:basedOn w:val="1"/>
    <w:qFormat/>
    <w:uiPriority w:val="0"/>
    <w:rPr>
      <w:rFonts w:ascii="宋体" w:hAnsi="Courier New" w:eastAsia="宋体"/>
      <w:kern w:val="2"/>
      <w:sz w:val="28"/>
      <w:lang w:val="en-US" w:eastAsia="zh-CN" w:bidi="ar-SA"/>
    </w:rPr>
  </w:style>
  <w:style w:type="paragraph" w:styleId="14">
    <w:name w:val="Body Text Indent 2"/>
    <w:basedOn w:val="1"/>
    <w:qFormat/>
    <w:uiPriority w:val="0"/>
    <w:pPr>
      <w:spacing w:after="120" w:line="480" w:lineRule="auto"/>
      <w:ind w:left="420" w:leftChars="200"/>
    </w:pPr>
  </w:style>
  <w:style w:type="paragraph" w:styleId="15">
    <w:name w:val="Balloon Text"/>
    <w:basedOn w:val="1"/>
    <w:semiHidden/>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Body Text First Indent 2"/>
    <w:basedOn w:val="1"/>
    <w:qFormat/>
    <w:uiPriority w:val="99"/>
    <w:pPr>
      <w:spacing w:after="120" w:line="240" w:lineRule="auto"/>
      <w:ind w:left="420" w:leftChars="200" w:firstLine="420"/>
    </w:pPr>
    <w:rPr>
      <w:rFonts w:ascii="Times New Roman" w:hAnsi="Times New Roman"/>
      <w:sz w:val="24"/>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Subtitle"/>
    <w:basedOn w:val="3"/>
    <w:next w:val="1"/>
    <w:qFormat/>
    <w:uiPriority w:val="0"/>
    <w:pPr>
      <w:keepLines w:val="0"/>
      <w:spacing w:before="0" w:after="0" w:line="520" w:lineRule="exact"/>
      <w:ind w:firstLine="482" w:firstLineChars="200"/>
      <w:jc w:val="left"/>
      <w:outlineLvl w:val="2"/>
    </w:pPr>
    <w:rPr>
      <w:rFonts w:ascii="宋体" w:hAnsi="宋体"/>
      <w:color w:val="000000"/>
      <w:sz w:val="24"/>
      <w:szCs w:val="24"/>
      <w:lang w:val="zh-CN"/>
    </w:rPr>
  </w:style>
  <w:style w:type="paragraph" w:styleId="2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SA"/>
    </w:rPr>
  </w:style>
  <w:style w:type="paragraph" w:styleId="21">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23">
    <w:name w:val="B标题(2级)"/>
    <w:basedOn w:val="1"/>
    <w:link w:val="22"/>
    <w:qFormat/>
    <w:uiPriority w:val="0"/>
  </w:style>
  <w:style w:type="character" w:styleId="24">
    <w:name w:val="page number"/>
    <w:basedOn w:val="22"/>
    <w:qFormat/>
    <w:uiPriority w:val="0"/>
  </w:style>
  <w:style w:type="character" w:styleId="25">
    <w:name w:val="Emphasis"/>
    <w:basedOn w:val="22"/>
    <w:qFormat/>
    <w:uiPriority w:val="0"/>
    <w:rPr>
      <w:i/>
    </w:rPr>
  </w:style>
  <w:style w:type="character" w:styleId="26">
    <w:name w:val="Hyperlink"/>
    <w:qFormat/>
    <w:uiPriority w:val="0"/>
    <w:rPr>
      <w:color w:val="0000FF"/>
      <w:u w:val="single"/>
    </w:rPr>
  </w:style>
  <w:style w:type="character" w:styleId="27">
    <w:name w:val="annotation reference"/>
    <w:semiHidden/>
    <w:qFormat/>
    <w:uiPriority w:val="0"/>
    <w:rPr>
      <w:sz w:val="21"/>
      <w:szCs w:val="21"/>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0">
    <w:name w:val="正"/>
    <w:basedOn w:val="1"/>
    <w:qFormat/>
    <w:uiPriority w:val="0"/>
    <w:pPr>
      <w:adjustRightInd w:val="0"/>
      <w:spacing w:line="360" w:lineRule="auto"/>
      <w:ind w:left="23" w:leftChars="11" w:firstLine="480" w:firstLineChars="200"/>
    </w:pPr>
    <w:rPr>
      <w:rFonts w:ascii="Times New Roman" w:hAnsi="Times New Roman"/>
      <w:kern w:val="2"/>
      <w:sz w:val="24"/>
      <w:szCs w:val="24"/>
    </w:rPr>
  </w:style>
  <w:style w:type="paragraph" w:customStyle="1" w:styleId="31">
    <w:name w:val="表格"/>
    <w:basedOn w:val="1"/>
    <w:qFormat/>
    <w:uiPriority w:val="0"/>
    <w:pPr>
      <w:jc w:val="center"/>
    </w:pPr>
    <w:rPr>
      <w:kern w:val="0"/>
      <w:szCs w:val="21"/>
    </w:rPr>
  </w:style>
  <w:style w:type="paragraph" w:customStyle="1" w:styleId="32">
    <w:name w:val="表格字体"/>
    <w:basedOn w:val="1"/>
    <w:qFormat/>
    <w:uiPriority w:val="0"/>
    <w:pPr>
      <w:adjustRightInd w:val="0"/>
      <w:spacing w:line="300" w:lineRule="exact"/>
      <w:jc w:val="center"/>
    </w:pPr>
    <w:rPr>
      <w:color w:val="000000"/>
      <w:sz w:val="18"/>
    </w:rPr>
  </w:style>
  <w:style w:type="paragraph" w:customStyle="1" w:styleId="33">
    <w:name w:val="正文01"/>
    <w:basedOn w:val="1"/>
    <w:qFormat/>
    <w:uiPriority w:val="0"/>
    <w:pPr>
      <w:adjustRightInd w:val="0"/>
      <w:snapToGrid w:val="0"/>
      <w:spacing w:before="60" w:beforeLines="0" w:line="460" w:lineRule="exact"/>
      <w:ind w:firstLine="200" w:firstLineChars="200"/>
    </w:pPr>
    <w:rPr>
      <w:sz w:val="24"/>
    </w:rPr>
  </w:style>
  <w:style w:type="paragraph" w:customStyle="1" w:styleId="34">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35">
    <w:name w:val="样式 首行缩进:  0.99 厘米 行距: 固定值 21.5 磅"/>
    <w:basedOn w:val="1"/>
    <w:semiHidden/>
    <w:qFormat/>
    <w:uiPriority w:val="0"/>
    <w:pPr>
      <w:spacing w:line="480" w:lineRule="exact"/>
      <w:ind w:firstLine="561" w:firstLineChars="200"/>
    </w:pPr>
    <w:rPr>
      <w:sz w:val="24"/>
    </w:rPr>
  </w:style>
  <w:style w:type="paragraph" w:customStyle="1" w:styleId="36">
    <w:name w:val="样式 首行缩进2 字符"/>
    <w:basedOn w:val="1"/>
    <w:qFormat/>
    <w:uiPriority w:val="0"/>
    <w:pPr>
      <w:adjustRightInd/>
      <w:snapToGrid/>
    </w:pPr>
    <w:rPr>
      <w:kern w:val="0"/>
    </w:rPr>
  </w:style>
  <w:style w:type="paragraph" w:customStyle="1" w:styleId="37">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8">
    <w:name w:val="样式 pp仿宋_GB2312 四号 + 首行缩进:  2 字符"/>
    <w:basedOn w:val="1"/>
    <w:qFormat/>
    <w:uiPriority w:val="0"/>
    <w:pPr>
      <w:autoSpaceDE w:val="0"/>
      <w:autoSpaceDN w:val="0"/>
      <w:adjustRightInd w:val="0"/>
      <w:spacing w:line="500" w:lineRule="exact"/>
      <w:ind w:firstLine="560"/>
      <w:textAlignment w:val="baseline"/>
    </w:pPr>
    <w:rPr>
      <w:bCs/>
      <w:kern w:val="0"/>
    </w:rPr>
  </w:style>
  <w:style w:type="paragraph" w:customStyle="1" w:styleId="39">
    <w:name w:val="报告书表格"/>
    <w:basedOn w:val="1"/>
    <w:qFormat/>
    <w:uiPriority w:val="0"/>
    <w:pPr>
      <w:adjustRightInd w:val="0"/>
      <w:spacing w:before="60" w:beforeLines="0" w:after="60" w:afterLines="0" w:line="240" w:lineRule="atLeast"/>
      <w:jc w:val="center"/>
      <w:textAlignment w:val="baseline"/>
    </w:pPr>
    <w:rPr>
      <w:rFonts w:eastAsia="宋体"/>
      <w:sz w:val="21"/>
      <w:lang w:val="en-US" w:eastAsia="zh-CN" w:bidi="ar-SA"/>
    </w:rPr>
  </w:style>
  <w:style w:type="paragraph" w:customStyle="1" w:styleId="4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正文 首行缩进:  2 字符"/>
    <w:basedOn w:val="1"/>
    <w:qFormat/>
    <w:uiPriority w:val="0"/>
    <w:pPr>
      <w:adjustRightInd w:val="0"/>
      <w:snapToGrid w:val="0"/>
      <w:spacing w:line="500" w:lineRule="exact"/>
      <w:ind w:firstLine="200" w:firstLineChars="200"/>
      <w:jc w:val="left"/>
    </w:pPr>
    <w:rPr>
      <w:rFonts w:cs="宋体"/>
      <w:szCs w:val="20"/>
    </w:rPr>
  </w:style>
  <w:style w:type="paragraph" w:customStyle="1" w:styleId="42">
    <w:name w:val="列表 31"/>
    <w:basedOn w:val="1"/>
    <w:qFormat/>
    <w:uiPriority w:val="0"/>
    <w:pPr>
      <w:spacing w:before="100" w:beforeAutospacing="1" w:after="100" w:afterAutospacing="1"/>
      <w:ind w:left="1260" w:hanging="420"/>
    </w:pPr>
    <w:rPr>
      <w:szCs w:val="21"/>
    </w:rPr>
  </w:style>
  <w:style w:type="paragraph" w:customStyle="1" w:styleId="43">
    <w:name w:val="1-正文"/>
    <w:basedOn w:val="1"/>
    <w:qFormat/>
    <w:uiPriority w:val="0"/>
    <w:pPr>
      <w:spacing w:line="360" w:lineRule="auto"/>
      <w:ind w:firstLine="480" w:firstLineChars="200"/>
    </w:pPr>
    <w:rPr>
      <w:rFonts w:ascii="宋体" w:hAnsi="宋体" w:cs="宋体"/>
      <w:szCs w:val="24"/>
    </w:rPr>
  </w:style>
  <w:style w:type="paragraph" w:customStyle="1" w:styleId="44">
    <w:name w:val="p0"/>
    <w:basedOn w:val="1"/>
    <w:qFormat/>
    <w:uiPriority w:val="0"/>
    <w:pPr>
      <w:widowControl/>
    </w:pPr>
    <w:rPr>
      <w:kern w:val="0"/>
      <w:szCs w:val="21"/>
    </w:rPr>
  </w:style>
  <w:style w:type="paragraph" w:customStyle="1" w:styleId="45">
    <w:name w:val="Normal Indent"/>
    <w:basedOn w:val="1"/>
    <w:qFormat/>
    <w:uiPriority w:val="0"/>
    <w:pPr>
      <w:ind w:firstLine="420" w:firstLineChars="200"/>
    </w:pPr>
    <w:rPr>
      <w:rFonts w:ascii="Times New Roman" w:hAnsi="Times New Roman"/>
      <w:kern w:val="0"/>
      <w:sz w:val="20"/>
      <w:szCs w:val="20"/>
    </w:rPr>
  </w:style>
  <w:style w:type="paragraph" w:customStyle="1" w:styleId="46">
    <w:name w:val="正文样式"/>
    <w:basedOn w:val="1"/>
    <w:qFormat/>
    <w:uiPriority w:val="0"/>
    <w:pPr>
      <w:spacing w:line="360" w:lineRule="auto"/>
      <w:ind w:firstLine="480" w:firstLineChars="200"/>
    </w:pPr>
    <w:rPr>
      <w:sz w:val="24"/>
    </w:rPr>
  </w:style>
  <w:style w:type="paragraph" w:customStyle="1" w:styleId="47">
    <w:name w:val="正正文"/>
    <w:basedOn w:val="45"/>
    <w:qFormat/>
    <w:uiPriority w:val="0"/>
    <w:pPr>
      <w:spacing w:line="360" w:lineRule="auto"/>
      <w:ind w:firstLine="480"/>
    </w:pPr>
    <w:rPr>
      <w:rFonts w:ascii="Calibri" w:hAnsi="Calibri" w:cs="黑体"/>
      <w:color w:val="000000"/>
      <w:kern w:val="2"/>
      <w:sz w:val="24"/>
      <w:szCs w:val="22"/>
      <w:lang w:val="en-US" w:eastAsia="zh-CN"/>
    </w:rPr>
  </w:style>
  <w:style w:type="paragraph" w:customStyle="1" w:styleId="48">
    <w:name w:val="报告正文"/>
    <w:basedOn w:val="1"/>
    <w:qFormat/>
    <w:uiPriority w:val="0"/>
    <w:pPr>
      <w:spacing w:line="480" w:lineRule="exact"/>
      <w:ind w:firstLine="200" w:firstLineChars="200"/>
    </w:pPr>
    <w:rPr>
      <w:color w:val="000000"/>
      <w:sz w:val="24"/>
      <w:lang w:val="en-US" w:eastAsia="zh-CN"/>
    </w:rPr>
  </w:style>
  <w:style w:type="paragraph" w:customStyle="1" w:styleId="49">
    <w:name w:val="bbtt"/>
    <w:basedOn w:val="1"/>
    <w:qFormat/>
    <w:uiPriority w:val="0"/>
    <w:pPr>
      <w:autoSpaceDE w:val="0"/>
      <w:autoSpaceDN w:val="0"/>
      <w:adjustRightInd w:val="0"/>
      <w:ind w:firstLine="561"/>
      <w:jc w:val="center"/>
    </w:pPr>
    <w:rPr>
      <w:rFonts w:ascii="黑体" w:hAnsi="黑体" w:eastAsia="黑体" w:cs="宋体"/>
      <w:kern w:val="2"/>
      <w:sz w:val="21"/>
      <w:szCs w:val="21"/>
      <w:lang w:val="zh-CN"/>
    </w:rPr>
  </w:style>
  <w:style w:type="paragraph" w:customStyle="1" w:styleId="50">
    <w:name w:val="样式2"/>
    <w:basedOn w:val="9"/>
    <w:qFormat/>
    <w:uiPriority w:val="0"/>
    <w:pPr>
      <w:snapToGrid w:val="0"/>
      <w:spacing w:line="600" w:lineRule="exact"/>
      <w:ind w:firstLine="480" w:firstLineChars="200"/>
    </w:pPr>
    <w:rPr>
      <w:rFonts w:ascii="宋体" w:hAnsi="宋体"/>
      <w:sz w:val="24"/>
      <w:szCs w:val="24"/>
    </w:rPr>
  </w:style>
  <w:style w:type="paragraph" w:customStyle="1" w:styleId="51">
    <w:name w:val="xl27"/>
    <w:basedOn w:val="1"/>
    <w:qFormat/>
    <w:uiPriority w:val="0"/>
    <w:pPr>
      <w:widowControl/>
      <w:pBdr>
        <w:bottom w:val="single" w:color="auto" w:sz="12" w:space="0"/>
      </w:pBdr>
      <w:spacing w:before="100" w:beforeLines="0" w:after="100" w:afterLines="0"/>
      <w:jc w:val="center"/>
    </w:pPr>
    <w:rPr>
      <w:rFonts w:ascii="宋体" w:hAnsi="宋体"/>
      <w:kern w:val="0"/>
      <w:szCs w:val="20"/>
    </w:rPr>
  </w:style>
  <w:style w:type="character" w:customStyle="1" w:styleId="52">
    <w:name w:val="font01"/>
    <w:basedOn w:val="22"/>
    <w:qFormat/>
    <w:uiPriority w:val="0"/>
    <w:rPr>
      <w:rFonts w:hint="eastAsia" w:ascii="宋体" w:hAnsi="宋体" w:eastAsia="宋体" w:cs="宋体"/>
      <w:color w:val="000000"/>
      <w:sz w:val="24"/>
      <w:szCs w:val="24"/>
      <w:u w:val="none"/>
    </w:rPr>
  </w:style>
  <w:style w:type="character" w:customStyle="1" w:styleId="53">
    <w:name w:val="font61"/>
    <w:basedOn w:val="22"/>
    <w:qFormat/>
    <w:uiPriority w:val="0"/>
    <w:rPr>
      <w:rFonts w:hint="eastAsia" w:ascii="宋体" w:hAnsi="宋体" w:eastAsia="宋体" w:cs="宋体"/>
      <w:color w:val="000000"/>
      <w:sz w:val="21"/>
      <w:szCs w:val="21"/>
      <w:u w:val="none"/>
    </w:rPr>
  </w:style>
  <w:style w:type="character" w:customStyle="1" w:styleId="54">
    <w:name w:val="title"/>
    <w:basedOn w:val="22"/>
    <w:qFormat/>
    <w:uiPriority w:val="0"/>
  </w:style>
  <w:style w:type="character" w:customStyle="1" w:styleId="55">
    <w:name w:val="font31"/>
    <w:basedOn w:val="22"/>
    <w:qFormat/>
    <w:uiPriority w:val="0"/>
    <w:rPr>
      <w:rFonts w:hint="eastAsia" w:ascii="宋体" w:hAnsi="宋体" w:eastAsia="宋体" w:cs="宋体"/>
      <w:color w:val="000000"/>
      <w:sz w:val="21"/>
      <w:szCs w:val="21"/>
      <w:u w:val="none"/>
    </w:rPr>
  </w:style>
  <w:style w:type="character" w:customStyle="1" w:styleId="56">
    <w:name w:val="font11"/>
    <w:basedOn w:val="22"/>
    <w:qFormat/>
    <w:uiPriority w:val="0"/>
    <w:rPr>
      <w:rFonts w:hint="eastAsia" w:ascii="宋体" w:hAnsi="宋体" w:eastAsia="宋体" w:cs="宋体"/>
      <w:color w:val="000000"/>
      <w:sz w:val="24"/>
      <w:szCs w:val="24"/>
      <w:u w:val="none"/>
    </w:rPr>
  </w:style>
  <w:style w:type="character" w:customStyle="1" w:styleId="57">
    <w:name w:val="font51"/>
    <w:basedOn w:val="22"/>
    <w:qFormat/>
    <w:uiPriority w:val="0"/>
    <w:rPr>
      <w:rFonts w:hint="default" w:ascii="Times New Roman" w:hAnsi="Times New Roman" w:cs="Times New Roman"/>
      <w:color w:val="000000"/>
      <w:sz w:val="22"/>
      <w:szCs w:val="22"/>
      <w:u w:val="none"/>
      <w:vertAlign w:val="superscript"/>
    </w:rPr>
  </w:style>
  <w:style w:type="character" w:customStyle="1" w:styleId="58">
    <w:name w:val="font91"/>
    <w:basedOn w:val="22"/>
    <w:qFormat/>
    <w:uiPriority w:val="0"/>
    <w:rPr>
      <w:rFonts w:hint="default" w:ascii="Times New Roman" w:hAnsi="Times New Roman" w:cs="Times New Roman"/>
      <w:color w:val="000000"/>
      <w:sz w:val="22"/>
      <w:szCs w:val="22"/>
      <w:u w:val="none"/>
      <w:vertAlign w:val="superscript"/>
    </w:rPr>
  </w:style>
  <w:style w:type="character" w:customStyle="1" w:styleId="59">
    <w:name w:val="font21"/>
    <w:basedOn w:val="22"/>
    <w:qFormat/>
    <w:uiPriority w:val="0"/>
    <w:rPr>
      <w:rFonts w:hint="eastAsia" w:ascii="宋体" w:hAnsi="宋体" w:eastAsia="宋体" w:cs="宋体"/>
      <w:color w:val="000000"/>
      <w:sz w:val="21"/>
      <w:szCs w:val="21"/>
      <w:u w:val="none"/>
    </w:rPr>
  </w:style>
  <w:style w:type="character" w:customStyle="1" w:styleId="60">
    <w:name w:val="font71"/>
    <w:basedOn w:val="22"/>
    <w:qFormat/>
    <w:uiPriority w:val="0"/>
    <w:rPr>
      <w:rFonts w:hint="default" w:ascii="Times New Roman" w:hAnsi="Times New Roman" w:cs="Times New Roman"/>
      <w:color w:val="000000"/>
      <w:sz w:val="21"/>
      <w:szCs w:val="21"/>
      <w:u w:val="none"/>
    </w:rPr>
  </w:style>
  <w:style w:type="character" w:customStyle="1" w:styleId="61">
    <w:name w:val="font41"/>
    <w:basedOn w:val="22"/>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theme" Target="theme/theme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wmf"/><Relationship Id="rId32" Type="http://schemas.openxmlformats.org/officeDocument/2006/relationships/image" Target="media/image19.wmf"/><Relationship Id="rId31" Type="http://schemas.openxmlformats.org/officeDocument/2006/relationships/image" Target="media/image18.wmf"/><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6.wmf"/><Relationship Id="rId27" Type="http://schemas.openxmlformats.org/officeDocument/2006/relationships/oleObject" Target="embeddings/oleObject7.bin"/><Relationship Id="rId26" Type="http://schemas.openxmlformats.org/officeDocument/2006/relationships/image" Target="media/image15.wmf"/><Relationship Id="rId25" Type="http://schemas.openxmlformats.org/officeDocument/2006/relationships/oleObject" Target="embeddings/oleObject6.bin"/><Relationship Id="rId24" Type="http://schemas.openxmlformats.org/officeDocument/2006/relationships/image" Target="media/image14.wmf"/><Relationship Id="rId23" Type="http://schemas.openxmlformats.org/officeDocument/2006/relationships/oleObject" Target="embeddings/oleObject5.bin"/><Relationship Id="rId22" Type="http://schemas.openxmlformats.org/officeDocument/2006/relationships/image" Target="media/image13.wmf"/><Relationship Id="rId21" Type="http://schemas.openxmlformats.org/officeDocument/2006/relationships/oleObject" Target="embeddings/oleObject4.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wmf"/><Relationship Id="rId17" Type="http://schemas.openxmlformats.org/officeDocument/2006/relationships/oleObject" Target="embeddings/oleObject2.bin"/><Relationship Id="rId16" Type="http://schemas.openxmlformats.org/officeDocument/2006/relationships/image" Target="media/image10.wmf"/><Relationship Id="rId15" Type="http://schemas.openxmlformats.org/officeDocument/2006/relationships/oleObject" Target="embeddings/oleObject1.bin"/><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Kingsoft</Company>
  <Pages>85</Pages>
  <Words>31656</Words>
  <Characters>38475</Characters>
  <Lines>286</Lines>
  <Paragraphs>80</Paragraphs>
  <TotalTime>1</TotalTime>
  <ScaleCrop>false</ScaleCrop>
  <LinksUpToDate>false</LinksUpToDate>
  <CharactersWithSpaces>38865</CharactersWithSpaces>
  <Application>WPS Office_10.8.2.6543_F1E327BC-269C-435d-A152-05C5408002CA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liuyating</cp:lastModifiedBy>
  <cp:lastPrinted>2017-12-27T08:05:00Z</cp:lastPrinted>
  <dcterms:modified xsi:type="dcterms:W3CDTF">2019-02-18T02:52:52Z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2052-10.8.2.6543</vt:lpwstr>
  </property>
</Properties>
</file>