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12"/>
        <w:widowControl/>
        <w:spacing w:line="360" w:lineRule="auto"/>
        <w:jc w:val="center"/>
        <w:rPr>
          <w:rFonts w:ascii="方正小标宋简体" w:hAnsi="方正小标宋简体" w:eastAsia="方正小标宋简体" w:cs="方正小标宋简体"/>
          <w:color w:val="333333"/>
          <w:sz w:val="30"/>
          <w:szCs w:val="30"/>
        </w:rPr>
      </w:pPr>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7</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10</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拟作出的建设项目环境影响评价文件</w:t>
      </w:r>
    </w:p>
    <w:p w14:paraId="7C5DCEEF">
      <w:pPr>
        <w:pStyle w:val="1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p w14:paraId="794A2676">
      <w:pPr>
        <w:pStyle w:val="1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环境影响评价文件作出审批意见。为保证审批意见的严肃性和公正性，现将各建设项目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7</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10</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7</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16</w:t>
      </w:r>
      <w:r>
        <w:rPr>
          <w:rFonts w:hint="eastAsia" w:ascii="宋体" w:hAnsi="宋体" w:eastAsia="宋体" w:cs="宋体"/>
          <w:color w:val="000000"/>
          <w:sz w:val="21"/>
          <w:szCs w:val="21"/>
          <w:shd w:val="clear" w:color="auto" w:fill="FFFFFF"/>
        </w:rPr>
        <w:t>日（5个工作日）。</w:t>
      </w:r>
    </w:p>
    <w:p w14:paraId="6AF4FD29">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1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听证告知：依据《中华人民共和国行政许可法》，自公示起五个工作日内申请人、有重大利益关系的利害关系人可对以下拟作出的建设项目环境影响评价文件批复决定要求听证。</w:t>
      </w:r>
    </w:p>
    <w:p w14:paraId="18B1375B">
      <w:pPr>
        <w:pStyle w:val="1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拟审批的建设项目环境影响文件</w:t>
      </w:r>
    </w:p>
    <w:tbl>
      <w:tblPr>
        <w:tblStyle w:val="15"/>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12"/>
              <w:widowControl/>
              <w:spacing w:beforeAutospacing="0" w:afterAutospacing="0" w:line="300" w:lineRule="atLeast"/>
              <w:jc w:val="center"/>
            </w:pPr>
            <w:r>
              <w:rPr>
                <w:rStyle w:val="17"/>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30286E85">
            <w:pPr>
              <w:pStyle w:val="12"/>
              <w:widowControl/>
              <w:spacing w:beforeAutospacing="0" w:afterAutospacing="0" w:line="300" w:lineRule="atLeast"/>
              <w:jc w:val="center"/>
            </w:pPr>
            <w:r>
              <w:rPr>
                <w:rStyle w:val="17"/>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12"/>
              <w:widowControl/>
              <w:spacing w:beforeAutospacing="0" w:afterAutospacing="0" w:line="300" w:lineRule="atLeast"/>
              <w:jc w:val="center"/>
            </w:pPr>
            <w:r>
              <w:rPr>
                <w:rStyle w:val="17"/>
                <w:rFonts w:hint="eastAsia" w:ascii="宋体" w:hAnsi="宋体" w:eastAsia="宋体" w:cs="宋体"/>
                <w:color w:val="000000"/>
                <w:sz w:val="18"/>
                <w:szCs w:val="18"/>
              </w:rPr>
              <w:t>项目</w:t>
            </w:r>
          </w:p>
          <w:p w14:paraId="7F0822BE">
            <w:pPr>
              <w:pStyle w:val="12"/>
              <w:widowControl/>
              <w:spacing w:beforeAutospacing="0" w:afterAutospacing="0" w:line="300" w:lineRule="atLeast"/>
              <w:jc w:val="center"/>
            </w:pPr>
            <w:r>
              <w:rPr>
                <w:rStyle w:val="17"/>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62603EDB">
            <w:pPr>
              <w:pStyle w:val="12"/>
              <w:widowControl/>
              <w:spacing w:beforeAutospacing="0" w:afterAutospacing="0" w:line="300" w:lineRule="atLeast"/>
              <w:jc w:val="center"/>
            </w:pPr>
            <w:r>
              <w:rPr>
                <w:rStyle w:val="17"/>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建设项目</w:t>
            </w:r>
          </w:p>
          <w:p w14:paraId="2DE7275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河南蓝悦电缆科技有限公司</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29A3167">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年产6000吨塑料颗粒、20万千米电线电缆建设项目</w:t>
            </w: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3A0EC25">
            <w:pPr>
              <w:pStyle w:val="12"/>
              <w:widowControl/>
              <w:spacing w:beforeAutospacing="0" w:afterAutospacing="0" w:line="300" w:lineRule="atLeast"/>
              <w:jc w:val="center"/>
              <w:rPr>
                <w:rFonts w:ascii="Times New Roman" w:hAnsi="Times New Roman"/>
                <w:color w:val="000000"/>
                <w:sz w:val="18"/>
                <w:szCs w:val="18"/>
              </w:rPr>
            </w:pPr>
            <w:r>
              <w:rPr>
                <w:rFonts w:hint="eastAsia"/>
                <w:lang w:val="en-US" w:eastAsia="zh-CN"/>
              </w:rPr>
              <w:t>滑县白道口镇民寨村村北地</w:t>
            </w: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河南</w:t>
            </w:r>
            <w:r>
              <w:rPr>
                <w:rFonts w:hint="eastAsia" w:ascii="Times New Roman" w:hAnsi="Times New Roman"/>
                <w:color w:val="000000"/>
                <w:sz w:val="18"/>
                <w:szCs w:val="18"/>
                <w:lang w:val="en-US" w:eastAsia="zh-CN"/>
              </w:rPr>
              <w:t>青盟环保科技有限公司</w:t>
            </w:r>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12"/>
              <w:widowControl/>
              <w:spacing w:beforeAutospacing="0" w:afterAutospacing="0" w:line="300" w:lineRule="atLeast"/>
              <w:jc w:val="center"/>
              <w:rPr>
                <w:rFonts w:ascii="Times New Roman" w:hAnsi="Times New Roman"/>
                <w:color w:val="000000"/>
                <w:sz w:val="18"/>
                <w:szCs w:val="18"/>
              </w:rPr>
            </w:pPr>
            <w:r>
              <w:rPr>
                <w:rFonts w:ascii="Times New Roman" w:hAnsi="Times New Roman"/>
                <w:color w:val="000000"/>
                <w:sz w:val="18"/>
                <w:szCs w:val="18"/>
              </w:rPr>
              <w:t>总投资</w:t>
            </w:r>
            <w:r>
              <w:rPr>
                <w:rFonts w:hint="eastAsia" w:ascii="Times New Roman" w:hAnsi="Times New Roman"/>
                <w:color w:val="000000"/>
                <w:sz w:val="18"/>
                <w:szCs w:val="18"/>
                <w:lang w:val="en-US" w:eastAsia="zh-CN"/>
              </w:rPr>
              <w:t>10000</w:t>
            </w:r>
            <w:r>
              <w:rPr>
                <w:rFonts w:ascii="Times New Roman" w:hAnsi="Times New Roman"/>
                <w:color w:val="000000"/>
                <w:sz w:val="18"/>
                <w:szCs w:val="18"/>
              </w:rPr>
              <w:t>万元，环保投资</w:t>
            </w:r>
            <w:r>
              <w:rPr>
                <w:rFonts w:hint="eastAsia" w:ascii="Times New Roman" w:hAnsi="Times New Roman"/>
                <w:color w:val="000000"/>
                <w:sz w:val="18"/>
                <w:szCs w:val="18"/>
                <w:lang w:val="en-US" w:eastAsia="zh-CN"/>
              </w:rPr>
              <w:t>49.01</w:t>
            </w:r>
            <w:r>
              <w:rPr>
                <w:rFonts w:ascii="Times New Roman" w:hAnsi="Times New Roman"/>
                <w:color w:val="000000"/>
                <w:sz w:val="18"/>
                <w:szCs w:val="18"/>
              </w:rPr>
              <w:t>万元。。</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271BF95F">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rPr>
            </w:pPr>
            <w:r>
              <w:rPr>
                <w:rFonts w:ascii="Times New Roman" w:hAnsi="Times New Roman"/>
                <w:color w:val="000000"/>
                <w:sz w:val="18"/>
                <w:szCs w:val="18"/>
              </w:rPr>
              <w:t>1.</w:t>
            </w:r>
            <w:r>
              <w:rPr>
                <w:rFonts w:hint="eastAsia" w:ascii="Times New Roman" w:hAnsi="Times New Roman"/>
                <w:color w:val="000000"/>
                <w:sz w:val="18"/>
                <w:szCs w:val="18"/>
              </w:rPr>
              <w:t xml:space="preserve"> </w:t>
            </w:r>
            <w:r>
              <w:rPr>
                <w:rFonts w:ascii="Times New Roman" w:hAnsi="Times New Roman"/>
                <w:color w:val="000000"/>
                <w:sz w:val="18"/>
                <w:szCs w:val="18"/>
              </w:rPr>
              <w:t>废气：</w:t>
            </w:r>
            <w:r>
              <w:rPr>
                <w:rFonts w:hint="eastAsia" w:ascii="Times New Roman" w:hAnsi="Times New Roman"/>
                <w:color w:val="000000"/>
                <w:sz w:val="18"/>
                <w:szCs w:val="18"/>
              </w:rPr>
              <w:t>原料上料、混合搅拌、破碎工序</w:t>
            </w:r>
            <w:r>
              <w:rPr>
                <w:rFonts w:hint="eastAsia" w:ascii="Times New Roman" w:hAnsi="Times New Roman"/>
                <w:color w:val="000000"/>
                <w:sz w:val="18"/>
                <w:szCs w:val="18"/>
                <w:lang w:eastAsia="zh-CN"/>
              </w:rPr>
              <w:t>经</w:t>
            </w:r>
            <w:r>
              <w:rPr>
                <w:rFonts w:hint="eastAsia" w:ascii="Times New Roman" w:hAnsi="Times New Roman"/>
                <w:color w:val="000000"/>
                <w:sz w:val="18"/>
                <w:szCs w:val="18"/>
              </w:rPr>
              <w:t>二次密闭</w:t>
            </w:r>
            <w:r>
              <w:rPr>
                <w:rFonts w:hint="eastAsia" w:ascii="Times New Roman" w:hAnsi="Times New Roman"/>
                <w:color w:val="000000"/>
                <w:sz w:val="18"/>
                <w:szCs w:val="18"/>
                <w:lang w:eastAsia="zh-CN"/>
              </w:rPr>
              <w:t>，废气经</w:t>
            </w:r>
            <w:r>
              <w:rPr>
                <w:rFonts w:hint="eastAsia" w:ascii="Times New Roman" w:hAnsi="Times New Roman"/>
                <w:color w:val="000000"/>
                <w:sz w:val="18"/>
                <w:szCs w:val="18"/>
              </w:rPr>
              <w:t>集气罩收集</w:t>
            </w:r>
            <w:r>
              <w:rPr>
                <w:rFonts w:hint="eastAsia" w:ascii="Times New Roman" w:hAnsi="Times New Roman"/>
                <w:color w:val="000000"/>
                <w:sz w:val="18"/>
                <w:szCs w:val="18"/>
                <w:lang w:val="en-US" w:eastAsia="zh-CN"/>
              </w:rPr>
              <w:t>+</w:t>
            </w:r>
            <w:r>
              <w:rPr>
                <w:rFonts w:hint="eastAsia" w:ascii="Times New Roman" w:hAnsi="Times New Roman"/>
                <w:color w:val="000000"/>
                <w:sz w:val="18"/>
                <w:szCs w:val="18"/>
              </w:rPr>
              <w:t>袋式除尘器</w:t>
            </w:r>
            <w:r>
              <w:rPr>
                <w:rFonts w:hint="eastAsia" w:ascii="Times New Roman" w:hAnsi="Times New Roman"/>
                <w:color w:val="000000"/>
                <w:sz w:val="18"/>
                <w:szCs w:val="18"/>
                <w:lang w:val="en-US" w:eastAsia="zh-CN"/>
              </w:rPr>
              <w:t>处理</w:t>
            </w:r>
            <w:r>
              <w:rPr>
                <w:rFonts w:hint="eastAsia" w:ascii="Times New Roman" w:hAnsi="Times New Roman"/>
                <w:color w:val="000000"/>
                <w:sz w:val="18"/>
                <w:szCs w:val="18"/>
              </w:rPr>
              <w:t>后，经18m高排气筒排放</w:t>
            </w:r>
            <w:r>
              <w:rPr>
                <w:rFonts w:hint="eastAsia" w:ascii="Times New Roman" w:hAnsi="Times New Roman"/>
                <w:color w:val="000000"/>
                <w:sz w:val="18"/>
                <w:szCs w:val="18"/>
                <w:lang w:eastAsia="zh-CN"/>
              </w:rPr>
              <w:t>；</w:t>
            </w:r>
            <w:r>
              <w:rPr>
                <w:rFonts w:hint="eastAsia" w:ascii="Times New Roman" w:hAnsi="Times New Roman"/>
                <w:color w:val="000000"/>
                <w:sz w:val="18"/>
                <w:szCs w:val="18"/>
              </w:rPr>
              <w:t>电缆填充绳、塑料颗粒挤出、升温拉伸</w:t>
            </w:r>
            <w:r>
              <w:rPr>
                <w:rFonts w:hint="eastAsia" w:ascii="Times New Roman" w:hAnsi="Times New Roman"/>
                <w:color w:val="000000"/>
                <w:sz w:val="18"/>
                <w:szCs w:val="18"/>
                <w:lang w:eastAsia="zh-CN"/>
              </w:rPr>
              <w:t>、</w:t>
            </w:r>
            <w:r>
              <w:rPr>
                <w:rFonts w:hint="eastAsia" w:ascii="Times New Roman" w:hAnsi="Times New Roman"/>
                <w:color w:val="000000"/>
                <w:sz w:val="18"/>
                <w:szCs w:val="18"/>
              </w:rPr>
              <w:t>挤塑</w:t>
            </w:r>
            <w:r>
              <w:rPr>
                <w:rFonts w:hint="eastAsia" w:ascii="Times New Roman" w:hAnsi="Times New Roman"/>
                <w:color w:val="000000"/>
                <w:sz w:val="18"/>
                <w:szCs w:val="18"/>
                <w:lang w:eastAsia="zh-CN"/>
              </w:rPr>
              <w:t>、喷码</w:t>
            </w:r>
            <w:r>
              <w:rPr>
                <w:rFonts w:hint="eastAsia" w:ascii="Times New Roman" w:hAnsi="Times New Roman"/>
                <w:color w:val="000000"/>
                <w:sz w:val="18"/>
                <w:szCs w:val="18"/>
              </w:rPr>
              <w:t>工序二次密闭</w:t>
            </w:r>
            <w:r>
              <w:rPr>
                <w:rFonts w:hint="eastAsia" w:ascii="Times New Roman" w:hAnsi="Times New Roman"/>
                <w:color w:val="000000"/>
                <w:sz w:val="18"/>
                <w:szCs w:val="18"/>
                <w:lang w:val="en-US" w:eastAsia="zh-CN"/>
              </w:rPr>
              <w:t>，有机废气经</w:t>
            </w:r>
            <w:r>
              <w:rPr>
                <w:rFonts w:hint="eastAsia" w:ascii="Times New Roman" w:hAnsi="Times New Roman"/>
                <w:color w:val="000000"/>
                <w:sz w:val="18"/>
                <w:szCs w:val="18"/>
              </w:rPr>
              <w:t>集气罩收集</w:t>
            </w:r>
            <w:r>
              <w:rPr>
                <w:rFonts w:hint="eastAsia" w:ascii="Times New Roman" w:hAnsi="Times New Roman"/>
                <w:color w:val="000000"/>
                <w:sz w:val="18"/>
                <w:szCs w:val="18"/>
                <w:lang w:val="en-US" w:eastAsia="zh-CN"/>
              </w:rPr>
              <w:t>+</w:t>
            </w:r>
            <w:r>
              <w:rPr>
                <w:rFonts w:hint="eastAsia" w:ascii="Times New Roman" w:hAnsi="Times New Roman"/>
                <w:color w:val="000000"/>
                <w:sz w:val="18"/>
                <w:szCs w:val="18"/>
              </w:rPr>
              <w:t>活性炭吸附装置</w:t>
            </w:r>
            <w:r>
              <w:rPr>
                <w:rFonts w:hint="eastAsia" w:ascii="Times New Roman" w:hAnsi="Times New Roman"/>
                <w:color w:val="000000"/>
                <w:sz w:val="18"/>
                <w:szCs w:val="18"/>
                <w:lang w:val="en-US" w:eastAsia="zh-CN"/>
              </w:rPr>
              <w:t>处理后，</w:t>
            </w:r>
            <w:r>
              <w:rPr>
                <w:rFonts w:hint="eastAsia" w:ascii="Times New Roman" w:hAnsi="Times New Roman"/>
                <w:color w:val="000000"/>
                <w:sz w:val="18"/>
                <w:szCs w:val="18"/>
              </w:rPr>
              <w:t>通过18m高排气筒排放</w:t>
            </w:r>
            <w:r>
              <w:rPr>
                <w:rFonts w:hint="eastAsia" w:ascii="Times New Roman" w:hAnsi="Times New Roman"/>
                <w:color w:val="000000"/>
                <w:sz w:val="18"/>
                <w:szCs w:val="18"/>
                <w:lang w:eastAsia="zh-CN"/>
              </w:rPr>
              <w:t>；</w:t>
            </w:r>
            <w:r>
              <w:rPr>
                <w:rFonts w:ascii="Times New Roman" w:hAnsi="Times New Roman"/>
                <w:color w:val="000000"/>
                <w:sz w:val="18"/>
                <w:szCs w:val="18"/>
              </w:rPr>
              <w:t>废气排放须满足</w:t>
            </w:r>
            <w:r>
              <w:rPr>
                <w:rFonts w:hint="eastAsia" w:ascii="Times New Roman" w:hAnsi="Times New Roman"/>
                <w:color w:val="000000"/>
                <w:sz w:val="18"/>
                <w:szCs w:val="18"/>
                <w:lang w:val="en-US" w:eastAsia="zh-CN"/>
              </w:rPr>
              <w:t>《合成树脂工业污染物排放标准》（</w:t>
            </w:r>
            <w:r>
              <w:rPr>
                <w:rFonts w:hint="default" w:ascii="Times New Roman" w:hAnsi="Times New Roman"/>
                <w:color w:val="000000"/>
                <w:sz w:val="18"/>
                <w:szCs w:val="18"/>
                <w:lang w:val="en-US" w:eastAsia="zh-CN"/>
              </w:rPr>
              <w:t>GB 31572—2015</w:t>
            </w:r>
            <w:r>
              <w:rPr>
                <w:rFonts w:hint="eastAsia" w:ascii="Times New Roman" w:hAnsi="Times New Roman"/>
                <w:color w:val="000000"/>
                <w:sz w:val="18"/>
                <w:szCs w:val="18"/>
                <w:lang w:val="en-US" w:eastAsia="zh-CN"/>
              </w:rPr>
              <w:t>）（含</w:t>
            </w:r>
            <w:r>
              <w:rPr>
                <w:rFonts w:hint="default" w:ascii="Times New Roman" w:hAnsi="Times New Roman"/>
                <w:color w:val="000000"/>
                <w:sz w:val="18"/>
                <w:szCs w:val="18"/>
                <w:lang w:val="en-US" w:eastAsia="zh-CN"/>
              </w:rPr>
              <w:t>2024</w:t>
            </w:r>
            <w:r>
              <w:rPr>
                <w:rFonts w:hint="eastAsia" w:ascii="Times New Roman" w:hAnsi="Times New Roman"/>
                <w:color w:val="000000"/>
                <w:sz w:val="18"/>
                <w:szCs w:val="18"/>
                <w:lang w:val="en-US" w:eastAsia="zh-CN"/>
              </w:rPr>
              <w:t>年修改单）限值、《印刷工业大气污染物排放标准》（GB 41616-2022）、《大气污染物综合排放标准》（GB16297-1996）限值、《恶臭污染物排放标准》（GB14554-93）限值、《挥发性有机物无组织排放控制标准》（GB37822-2019）限值、《河南省重污染天气重点行业应急减排措施制定技术指南》（</w:t>
            </w:r>
            <w:r>
              <w:rPr>
                <w:rFonts w:hint="default" w:ascii="Times New Roman" w:hAnsi="Times New Roman"/>
                <w:color w:val="000000"/>
                <w:sz w:val="18"/>
                <w:szCs w:val="18"/>
                <w:lang w:val="en-US" w:eastAsia="zh-CN"/>
              </w:rPr>
              <w:t>2024</w:t>
            </w:r>
            <w:r>
              <w:rPr>
                <w:rFonts w:hint="eastAsia" w:ascii="Times New Roman" w:hAnsi="Times New Roman"/>
                <w:color w:val="000000"/>
                <w:sz w:val="18"/>
                <w:szCs w:val="18"/>
                <w:lang w:val="en-US" w:eastAsia="zh-CN"/>
              </w:rPr>
              <w:t>年修订版）中塑料制品行业</w:t>
            </w:r>
            <w:r>
              <w:rPr>
                <w:rFonts w:hint="default" w:ascii="Times New Roman" w:hAnsi="Times New Roman"/>
                <w:color w:val="000000"/>
                <w:sz w:val="18"/>
                <w:szCs w:val="18"/>
                <w:lang w:val="en-US" w:eastAsia="zh-CN"/>
              </w:rPr>
              <w:t>A</w:t>
            </w:r>
            <w:r>
              <w:rPr>
                <w:rFonts w:hint="eastAsia" w:ascii="Times New Roman" w:hAnsi="Times New Roman"/>
                <w:color w:val="000000"/>
                <w:sz w:val="18"/>
                <w:szCs w:val="18"/>
                <w:lang w:val="en-US" w:eastAsia="zh-CN"/>
              </w:rPr>
              <w:t>级绩效指标要求、《关于全省开展工业企业挥发性有机物专项治理工作中排放建议值的通知》（豫环攻坚办〔2017〕162 号）相关要求及《安阳市2019年工业大气污染治理5个专项实施方案》（安环攻坚办〔2019〕196号）相关要求。</w:t>
            </w:r>
          </w:p>
          <w:p w14:paraId="39AB25C6">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2. 废水：生产过程中使用的冷却水循环使用不外排，定期补充；生活污水经化粪池处理，定期清运肥田。</w:t>
            </w:r>
          </w:p>
          <w:p w14:paraId="434779A8">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r>
              <w:rPr>
                <w:rFonts w:ascii="Times New Roman" w:hAnsi="Times New Roman"/>
                <w:color w:val="000000"/>
                <w:sz w:val="18"/>
                <w:szCs w:val="18"/>
              </w:rPr>
              <w:t>3.</w:t>
            </w:r>
            <w:r>
              <w:rPr>
                <w:rFonts w:hint="eastAsia" w:ascii="Times New Roman" w:hAnsi="Times New Roman"/>
                <w:color w:val="000000"/>
                <w:sz w:val="18"/>
                <w:szCs w:val="18"/>
              </w:rPr>
              <w:t xml:space="preserve"> </w:t>
            </w:r>
            <w:r>
              <w:rPr>
                <w:rFonts w:ascii="Times New Roman" w:hAnsi="Times New Roman"/>
                <w:color w:val="000000"/>
                <w:sz w:val="18"/>
                <w:szCs w:val="18"/>
              </w:rPr>
              <w:t>噪声：</w:t>
            </w:r>
            <w:r>
              <w:rPr>
                <w:rFonts w:hint="eastAsia" w:ascii="Times New Roman" w:hAnsi="Times New Roman"/>
                <w:color w:val="000000"/>
                <w:sz w:val="18"/>
                <w:szCs w:val="18"/>
                <w:lang w:val="en-US" w:eastAsia="zh-CN"/>
              </w:rPr>
              <w:t>经选用低噪声设备，采取基础减振、厂房隔声</w:t>
            </w:r>
            <w:r>
              <w:rPr>
                <w:rFonts w:hint="eastAsia" w:ascii="Times New Roman" w:hAnsi="Times New Roman"/>
                <w:color w:val="000000"/>
                <w:sz w:val="18"/>
                <w:szCs w:val="18"/>
              </w:rPr>
              <w:t>等措施</w:t>
            </w:r>
            <w:r>
              <w:rPr>
                <w:rFonts w:hint="eastAsia" w:ascii="Times New Roman" w:hAnsi="Times New Roman"/>
                <w:color w:val="000000"/>
                <w:sz w:val="18"/>
                <w:szCs w:val="18"/>
                <w:lang w:val="en-US" w:eastAsia="zh-CN"/>
              </w:rPr>
              <w:t>后</w:t>
            </w:r>
            <w:r>
              <w:rPr>
                <w:rFonts w:hint="eastAsia" w:ascii="Times New Roman" w:hAnsi="Times New Roman"/>
                <w:color w:val="000000"/>
                <w:sz w:val="18"/>
                <w:szCs w:val="18"/>
              </w:rPr>
              <w:t>，</w:t>
            </w:r>
            <w:r>
              <w:rPr>
                <w:rFonts w:ascii="Times New Roman" w:hAnsi="Times New Roman"/>
                <w:color w:val="000000"/>
                <w:sz w:val="18"/>
                <w:szCs w:val="18"/>
              </w:rPr>
              <w:t>厂界噪声排放须满足《工业企业厂界环境噪声排放标准》（GB12348-2008）</w:t>
            </w:r>
            <w:r>
              <w:rPr>
                <w:rFonts w:hint="eastAsia" w:ascii="Times New Roman" w:hAnsi="Times New Roman"/>
                <w:color w:val="000000"/>
                <w:sz w:val="18"/>
                <w:szCs w:val="18"/>
              </w:rPr>
              <w:t>2</w:t>
            </w:r>
            <w:r>
              <w:rPr>
                <w:rFonts w:ascii="Times New Roman" w:hAnsi="Times New Roman"/>
                <w:color w:val="000000"/>
                <w:sz w:val="18"/>
                <w:szCs w:val="18"/>
              </w:rPr>
              <w:t>类标准限值。</w:t>
            </w:r>
          </w:p>
          <w:p w14:paraId="66A32998">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r>
              <w:rPr>
                <w:rFonts w:hint="eastAsia" w:ascii="Times New Roman" w:hAnsi="Times New Roman"/>
                <w:color w:val="000000"/>
                <w:sz w:val="18"/>
                <w:szCs w:val="18"/>
                <w:lang w:val="en-US" w:eastAsia="zh-CN"/>
              </w:rPr>
              <w:t>4. 固体废物：废金属边角料、废包装袋、除尘器收集粉尘，统一存放于一般固废暂存间（10m2），定期外售综合利用；生产残次品分类收集拆解，废塑料破碎后回用于生产，废金属经一般固废暂存间（10m2）暂存，定期外售综合利用；废布袋由厂家回收再利用。废拉丝油、废拉丝油桶、废活性炭、废UV油墨桶、二丁酯和二辛脂的废包装桶经分类收集，危废暂存间（30m2）分区暂存，定期交由就近资质单位处置。</w:t>
            </w:r>
            <w:r>
              <w:rPr>
                <w:rFonts w:ascii="Times New Roman" w:hAnsi="Times New Roman"/>
                <w:color w:val="000000"/>
                <w:sz w:val="18"/>
                <w:szCs w:val="18"/>
              </w:rPr>
              <w:t>一般固体废物暂存应满足《一般工业固体废物贮存和填埋污染控制标准》（GB18599 -2020）要求，危险废物暂存应满足《危险废物贮存污染控制标准》（GB18597-2023）要求。</w:t>
            </w:r>
            <w:bookmarkStart w:id="0" w:name="_GoBack"/>
            <w:bookmarkEnd w:id="0"/>
          </w:p>
        </w:tc>
      </w:tr>
    </w:tbl>
    <w:p w14:paraId="4C4935B6">
      <w:pPr>
        <w:pStyle w:val="12"/>
        <w:widowControl/>
        <w:spacing w:beforeAutospacing="0" w:afterAutospacing="0" w:line="300" w:lineRule="atLeast"/>
        <w:jc w:val="center"/>
        <w:rPr>
          <w:rFonts w:ascii="Times New Roman" w:hAnsi="Times New Roman"/>
          <w:color w:val="00000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7"/>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BjYTBhZThlNzU1YzE4MTAxZTVkY2IyYzEzZGQxMDYifQ=="/>
  </w:docVars>
  <w:rsids>
    <w:rsidRoot w:val="00D553BD"/>
    <w:rsid w:val="00021B7D"/>
    <w:rsid w:val="00051C04"/>
    <w:rsid w:val="000934E9"/>
    <w:rsid w:val="000C13E5"/>
    <w:rsid w:val="00191A76"/>
    <w:rsid w:val="00272D6F"/>
    <w:rsid w:val="002932FD"/>
    <w:rsid w:val="002D40B0"/>
    <w:rsid w:val="002F348A"/>
    <w:rsid w:val="00346272"/>
    <w:rsid w:val="0034687D"/>
    <w:rsid w:val="00351DEE"/>
    <w:rsid w:val="00424CC3"/>
    <w:rsid w:val="005227EA"/>
    <w:rsid w:val="00524ECE"/>
    <w:rsid w:val="0052598B"/>
    <w:rsid w:val="005901A6"/>
    <w:rsid w:val="005C56DB"/>
    <w:rsid w:val="00612AF7"/>
    <w:rsid w:val="00613302"/>
    <w:rsid w:val="0071483A"/>
    <w:rsid w:val="007F6C56"/>
    <w:rsid w:val="00836AE6"/>
    <w:rsid w:val="00854859"/>
    <w:rsid w:val="00896DDB"/>
    <w:rsid w:val="008F6A17"/>
    <w:rsid w:val="00B101CB"/>
    <w:rsid w:val="00B21E60"/>
    <w:rsid w:val="00B72CC9"/>
    <w:rsid w:val="00B72D3B"/>
    <w:rsid w:val="00C53645"/>
    <w:rsid w:val="00CE0507"/>
    <w:rsid w:val="00CE3621"/>
    <w:rsid w:val="00D553BD"/>
    <w:rsid w:val="00D93271"/>
    <w:rsid w:val="00DB2F10"/>
    <w:rsid w:val="00E12EFF"/>
    <w:rsid w:val="00EB48B5"/>
    <w:rsid w:val="00FA45AC"/>
    <w:rsid w:val="00FB5EA4"/>
    <w:rsid w:val="00FD244D"/>
    <w:rsid w:val="0751417D"/>
    <w:rsid w:val="09A15DC1"/>
    <w:rsid w:val="09E6605D"/>
    <w:rsid w:val="0B652750"/>
    <w:rsid w:val="0BCD36B7"/>
    <w:rsid w:val="126D0F3F"/>
    <w:rsid w:val="13FD1DAB"/>
    <w:rsid w:val="14A55308"/>
    <w:rsid w:val="159D7523"/>
    <w:rsid w:val="23BC64AB"/>
    <w:rsid w:val="28B71175"/>
    <w:rsid w:val="29F8185A"/>
    <w:rsid w:val="2ADD44ED"/>
    <w:rsid w:val="2C0676F0"/>
    <w:rsid w:val="2DC302F1"/>
    <w:rsid w:val="2DC86D5C"/>
    <w:rsid w:val="31811015"/>
    <w:rsid w:val="323D7466"/>
    <w:rsid w:val="383B30F1"/>
    <w:rsid w:val="3A25474B"/>
    <w:rsid w:val="3A555B39"/>
    <w:rsid w:val="3B0E64B4"/>
    <w:rsid w:val="3BCC5E8A"/>
    <w:rsid w:val="3E6B2E9F"/>
    <w:rsid w:val="3FAE1904"/>
    <w:rsid w:val="40EC2972"/>
    <w:rsid w:val="44D13161"/>
    <w:rsid w:val="46CD11F9"/>
    <w:rsid w:val="47A4392B"/>
    <w:rsid w:val="4AA43B88"/>
    <w:rsid w:val="4C7835CC"/>
    <w:rsid w:val="4DB91C07"/>
    <w:rsid w:val="4E4D6E3D"/>
    <w:rsid w:val="4F2D1826"/>
    <w:rsid w:val="506B2B73"/>
    <w:rsid w:val="51C957E0"/>
    <w:rsid w:val="52376698"/>
    <w:rsid w:val="56C81A1D"/>
    <w:rsid w:val="56E408B3"/>
    <w:rsid w:val="591254C2"/>
    <w:rsid w:val="5AC029C4"/>
    <w:rsid w:val="5F050D4A"/>
    <w:rsid w:val="62712768"/>
    <w:rsid w:val="664F2219"/>
    <w:rsid w:val="6A074AD5"/>
    <w:rsid w:val="6CD213AC"/>
    <w:rsid w:val="6E992E87"/>
    <w:rsid w:val="6FE633A9"/>
    <w:rsid w:val="73185CF3"/>
    <w:rsid w:val="73257025"/>
    <w:rsid w:val="75B96372"/>
    <w:rsid w:val="78422CCE"/>
    <w:rsid w:val="78E76149"/>
    <w:rsid w:val="79F92000"/>
    <w:rsid w:val="7A76041E"/>
    <w:rsid w:val="7DD32B3D"/>
    <w:rsid w:val="7FCE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Autospacing="1" w:afterAutospacing="1"/>
      <w:jc w:val="center"/>
      <w:outlineLvl w:val="0"/>
    </w:pPr>
    <w:rPr>
      <w:b/>
      <w:kern w:val="44"/>
      <w:sz w:val="44"/>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Times New Roman"/>
      <w:b/>
      <w:kern w:val="0"/>
      <w:sz w:val="24"/>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semiHidden/>
    <w:qFormat/>
    <w:uiPriority w:val="0"/>
    <w:pPr>
      <w:ind w:left="1680"/>
    </w:pPr>
    <w:rPr>
      <w:rFonts w:eastAsia="Times New Roman"/>
      <w:sz w:val="32"/>
    </w:rPr>
  </w:style>
  <w:style w:type="paragraph" w:styleId="5">
    <w:name w:val="annotation text"/>
    <w:basedOn w:val="1"/>
    <w:qFormat/>
    <w:uiPriority w:val="0"/>
    <w:pPr>
      <w:jc w:val="left"/>
    </w:pPr>
    <w:rPr>
      <w:kern w:val="0"/>
      <w:sz w:val="24"/>
      <w:szCs w:val="20"/>
    </w:rPr>
  </w:style>
  <w:style w:type="paragraph" w:styleId="6">
    <w:name w:val="Body Text"/>
    <w:basedOn w:val="1"/>
    <w:next w:val="7"/>
    <w:qFormat/>
    <w:uiPriority w:val="0"/>
    <w:rPr>
      <w:b/>
      <w:bCs/>
      <w:sz w:val="24"/>
    </w:rPr>
  </w:style>
  <w:style w:type="paragraph" w:styleId="7">
    <w:name w:val="Body Text 2"/>
    <w:basedOn w:val="1"/>
    <w:qFormat/>
    <w:uiPriority w:val="99"/>
    <w:pPr>
      <w:numPr>
        <w:ilvl w:val="0"/>
        <w:numId w:val="1"/>
      </w:numPr>
      <w:spacing w:beforeLines="50" w:line="336" w:lineRule="auto"/>
      <w:ind w:left="0" w:firstLine="0"/>
    </w:pPr>
    <w:rPr>
      <w:rFonts w:ascii="Times New Roman" w:hAnsi="Times New Roman" w:eastAsia="仿宋_GB2312" w:cs="Times New Roman"/>
      <w:kern w:val="0"/>
      <w:lang w:val="en-GB" w:eastAsia="en-US"/>
    </w:rPr>
  </w:style>
  <w:style w:type="paragraph" w:styleId="8">
    <w:name w:val="Body Text Indent"/>
    <w:basedOn w:val="1"/>
    <w:qFormat/>
    <w:uiPriority w:val="0"/>
    <w:pPr>
      <w:ind w:left="420" w:leftChars="200"/>
    </w:pPr>
  </w:style>
  <w:style w:type="paragraph" w:styleId="9">
    <w:name w:val="Block Text"/>
    <w:basedOn w:val="1"/>
    <w:next w:val="1"/>
    <w:qFormat/>
    <w:uiPriority w:val="0"/>
    <w:pPr>
      <w:spacing w:line="320" w:lineRule="exact"/>
      <w:ind w:left="113" w:right="113"/>
      <w:jc w:val="center"/>
    </w:pPr>
    <w:rPr>
      <w:b/>
      <w:sz w:val="13"/>
      <w:szCs w:val="15"/>
    </w:r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6"/>
    <w:next w:val="14"/>
    <w:qFormat/>
    <w:uiPriority w:val="0"/>
    <w:pPr>
      <w:spacing w:after="120"/>
      <w:ind w:firstLine="420" w:firstLineChars="100"/>
    </w:pPr>
    <w:rPr>
      <w:sz w:val="21"/>
    </w:rPr>
  </w:style>
  <w:style w:type="paragraph" w:styleId="14">
    <w:name w:val="Body Text First Indent 2"/>
    <w:basedOn w:val="8"/>
    <w:qFormat/>
    <w:uiPriority w:val="0"/>
    <w:pPr>
      <w:ind w:firstLine="200" w:firstLineChars="200"/>
    </w:pPr>
    <w:rPr>
      <w:szCs w:val="21"/>
    </w:r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Default"/>
    <w:basedOn w:val="20"/>
    <w:unhideWhenUsed/>
    <w:qFormat/>
    <w:uiPriority w:val="99"/>
    <w:pPr>
      <w:autoSpaceDE w:val="0"/>
      <w:autoSpaceDN w:val="0"/>
    </w:pPr>
    <w:rPr>
      <w:rFonts w:hint="eastAsia" w:ascii="仿宋_GB2312" w:hAnsi="仿宋_GB2312" w:eastAsia="仿宋_GB2312" w:cs="Times New Roman"/>
      <w:color w:val="000000"/>
      <w:sz w:val="24"/>
    </w:rPr>
  </w:style>
  <w:style w:type="paragraph" w:customStyle="1" w:styleId="20">
    <w:name w:val="纯文本1"/>
    <w:basedOn w:val="1"/>
    <w:qFormat/>
    <w:uiPriority w:val="0"/>
    <w:pPr>
      <w:adjustRightInd w:val="0"/>
    </w:pPr>
    <w:rPr>
      <w:rFonts w:ascii="宋体" w:hAnsi="Courier New"/>
    </w:rPr>
  </w:style>
  <w:style w:type="character" w:customStyle="1" w:styleId="21">
    <w:name w:val="页眉 Char"/>
    <w:basedOn w:val="16"/>
    <w:link w:val="11"/>
    <w:qFormat/>
    <w:uiPriority w:val="0"/>
    <w:rPr>
      <w:rFonts w:asciiTheme="minorHAnsi" w:hAnsiTheme="minorHAnsi" w:eastAsiaTheme="minorEastAsia" w:cstheme="minorBidi"/>
      <w:kern w:val="2"/>
      <w:sz w:val="18"/>
      <w:szCs w:val="18"/>
    </w:rPr>
  </w:style>
  <w:style w:type="character" w:customStyle="1" w:styleId="22">
    <w:name w:val="页脚 Char"/>
    <w:basedOn w:val="16"/>
    <w:link w:val="10"/>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942</Words>
  <Characters>1092</Characters>
  <Lines>1</Lines>
  <Paragraphs>2</Paragraphs>
  <TotalTime>0</TotalTime>
  <ScaleCrop>false</ScaleCrop>
  <LinksUpToDate>false</LinksUpToDate>
  <CharactersWithSpaces>1100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墨染秋凉</cp:lastModifiedBy>
  <dcterms:modified xsi:type="dcterms:W3CDTF">2026-07-22T00:31:25Z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8BE8F78994014D048921BA9B8DEF1A8D</vt:lpwstr>
  </property>
  <property fmtid="{D5CDD505-2E9C-101B-9397-08002B2CF9AE}" pid="4" name="KSOTemplateDocerSaveRecord">
    <vt:lpwstr>eyJoZGlkIjoiMmQxN2E3NzBjNWUyMGQyNjllMzdmZDlhNTNkMGIyNzMiLCJ1c2VySWQiOiI0MzY3NTg1OTAifQ==</vt:lpwstr>
  </property>
</Properties>
</file>