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7BF18">
      <w:pPr>
        <w:pStyle w:val="12"/>
        <w:widowControl/>
        <w:spacing w:line="360" w:lineRule="auto"/>
        <w:jc w:val="center"/>
        <w:rPr>
          <w:rFonts w:ascii="方正小标宋简体" w:hAnsi="方正小标宋简体" w:eastAsia="方正小标宋简体" w:cs="方正小标宋简体"/>
          <w:color w:val="333333"/>
          <w:sz w:val="30"/>
          <w:szCs w:val="30"/>
        </w:rPr>
      </w:pPr>
      <w:r>
        <w:rPr>
          <w:rFonts w:ascii="方正小标宋简体" w:hAnsi="方正小标宋简体" w:eastAsia="方正小标宋简体" w:cs="方正小标宋简体"/>
          <w:color w:val="333333"/>
          <w:sz w:val="30"/>
          <w:szCs w:val="30"/>
        </w:rPr>
        <w:t>关于</w:t>
      </w:r>
      <w:r>
        <w:rPr>
          <w:rFonts w:hint="eastAsia" w:ascii="方正小标宋简体" w:hAnsi="方正小标宋简体" w:eastAsia="方正小标宋简体" w:cs="方正小标宋简体"/>
          <w:color w:val="333333"/>
          <w:sz w:val="30"/>
          <w:szCs w:val="30"/>
        </w:rPr>
        <w:t>202</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年</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月</w:t>
      </w:r>
      <w:r>
        <w:rPr>
          <w:rFonts w:hint="eastAsia" w:ascii="方正小标宋简体" w:hAnsi="方正小标宋简体" w:eastAsia="方正小标宋简体" w:cs="方正小标宋简体"/>
          <w:color w:val="333333"/>
          <w:sz w:val="30"/>
          <w:szCs w:val="30"/>
          <w:lang w:val="en-US" w:eastAsia="zh-CN"/>
        </w:rPr>
        <w:t>29</w:t>
      </w:r>
      <w:r>
        <w:rPr>
          <w:rFonts w:ascii="方正小标宋简体" w:hAnsi="方正小标宋简体" w:eastAsia="方正小标宋简体" w:cs="方正小标宋简体"/>
          <w:color w:val="333333"/>
          <w:sz w:val="30"/>
          <w:szCs w:val="30"/>
        </w:rPr>
        <w:t>日</w:t>
      </w:r>
      <w:r>
        <w:rPr>
          <w:rFonts w:hint="eastAsia" w:ascii="方正小标宋简体" w:hAnsi="方正小标宋简体" w:eastAsia="方正小标宋简体" w:cs="方正小标宋简体"/>
          <w:color w:val="333333"/>
          <w:sz w:val="30"/>
          <w:szCs w:val="30"/>
        </w:rPr>
        <w:t>拟作出的建设项目环境影响评价文件</w:t>
      </w:r>
    </w:p>
    <w:p w14:paraId="7C5DCEEF">
      <w:pPr>
        <w:pStyle w:val="12"/>
        <w:widowControl/>
        <w:spacing w:line="360" w:lineRule="auto"/>
        <w:jc w:val="center"/>
        <w:rPr>
          <w:rFonts w:ascii="方正小标宋简体" w:hAnsi="方正小标宋简体" w:eastAsia="方正小标宋简体" w:cs="方正小标宋简体"/>
          <w:color w:val="333333"/>
          <w:sz w:val="30"/>
          <w:szCs w:val="30"/>
        </w:rPr>
      </w:pPr>
      <w:r>
        <w:rPr>
          <w:rFonts w:hint="eastAsia" w:ascii="方正小标宋简体" w:hAnsi="方正小标宋简体" w:eastAsia="方正小标宋简体" w:cs="方正小标宋简体"/>
          <w:color w:val="333333"/>
          <w:sz w:val="30"/>
          <w:szCs w:val="30"/>
        </w:rPr>
        <w:t>批</w:t>
      </w:r>
      <w:r>
        <w:rPr>
          <w:rFonts w:hint="eastAsia" w:ascii="方正小标宋简体" w:hAnsi="方正小标宋简体" w:eastAsia="方正小标宋简体" w:cs="方正小标宋简体"/>
          <w:color w:val="333333"/>
          <w:sz w:val="30"/>
          <w:szCs w:val="30"/>
          <w:lang w:val="en-US" w:eastAsia="zh-CN"/>
        </w:rPr>
        <w:t>准</w:t>
      </w:r>
      <w:r>
        <w:rPr>
          <w:rFonts w:hint="eastAsia" w:ascii="方正小标宋简体" w:hAnsi="方正小标宋简体" w:eastAsia="方正小标宋简体" w:cs="方正小标宋简体"/>
          <w:color w:val="333333"/>
          <w:sz w:val="30"/>
          <w:szCs w:val="30"/>
        </w:rPr>
        <w:t>决定的公示</w:t>
      </w:r>
    </w:p>
    <w:p w14:paraId="794A2676">
      <w:pPr>
        <w:pStyle w:val="12"/>
        <w:widowControl/>
        <w:shd w:val="clear" w:color="auto" w:fill="FFFFFF"/>
        <w:spacing w:before="75" w:beforeAutospacing="0" w:after="75" w:afterAutospacing="0"/>
        <w:rPr>
          <w:rFonts w:ascii="sans-serif" w:hAnsi="sans-serif" w:eastAsia="sans-serif" w:cs="sans-serif"/>
          <w:color w:val="000000"/>
        </w:rPr>
      </w:pPr>
      <w:r>
        <w:rPr>
          <w:rFonts w:hint="eastAsia" w:ascii="宋体" w:hAnsi="宋体" w:eastAsia="宋体" w:cs="宋体"/>
          <w:color w:val="333333"/>
          <w:sz w:val="19"/>
          <w:szCs w:val="19"/>
          <w:shd w:val="clear" w:color="auto" w:fill="FFFFFF"/>
        </w:rPr>
        <w:t>  </w:t>
      </w:r>
      <w:r>
        <w:rPr>
          <w:rFonts w:hint="eastAsia" w:ascii="宋体" w:hAnsi="宋体" w:eastAsia="宋体" w:cs="宋体"/>
          <w:color w:val="000000"/>
          <w:sz w:val="21"/>
          <w:szCs w:val="21"/>
          <w:shd w:val="clear" w:color="auto" w:fill="FFFFFF"/>
        </w:rPr>
        <w:t>根据建设项目环境影响评价审批程序的有关规定，经审议，我局拟对1个建设项目环境影响评价文件作出审批意见。为保证审批意见的严肃性和公正性，现将各建设项目环境影响评价文件的基本情况予以公示。如有异议，请在公示期内反馈我局环评科。公示期为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29</w:t>
      </w:r>
      <w:r>
        <w:rPr>
          <w:rFonts w:hint="eastAsia" w:ascii="宋体" w:hAnsi="宋体" w:eastAsia="宋体" w:cs="宋体"/>
          <w:color w:val="000000"/>
          <w:sz w:val="21"/>
          <w:szCs w:val="21"/>
          <w:shd w:val="clear" w:color="auto" w:fill="FFFFFF"/>
        </w:rPr>
        <w:t>日－202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7</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5</w:t>
      </w:r>
      <w:r>
        <w:rPr>
          <w:rFonts w:hint="eastAsia" w:ascii="宋体" w:hAnsi="宋体" w:eastAsia="宋体" w:cs="宋体"/>
          <w:color w:val="000000"/>
          <w:sz w:val="21"/>
          <w:szCs w:val="21"/>
          <w:shd w:val="clear" w:color="auto" w:fill="FFFFFF"/>
        </w:rPr>
        <w:t>日（5个工作日）。</w:t>
      </w:r>
    </w:p>
    <w:p w14:paraId="6AF4FD29">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电话：0372—8181590</w:t>
      </w:r>
    </w:p>
    <w:p w14:paraId="1C809872">
      <w:pPr>
        <w:pStyle w:val="12"/>
        <w:widowControl/>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rPr>
        <w:t>通讯地址：</w:t>
      </w:r>
      <w:r>
        <w:rPr>
          <w:rFonts w:hint="eastAsia"/>
          <w:color w:val="000000"/>
          <w:sz w:val="21"/>
          <w:szCs w:val="21"/>
        </w:rPr>
        <w:t>滑县创业大道与欧阳路交叉口向东50米路北</w:t>
      </w:r>
      <w:r>
        <w:rPr>
          <w:rFonts w:hint="eastAsia" w:ascii="宋体" w:hAnsi="宋体" w:eastAsia="宋体" w:cs="宋体"/>
          <w:color w:val="000000"/>
          <w:sz w:val="21"/>
          <w:szCs w:val="21"/>
        </w:rPr>
        <w:t>（456400）</w:t>
      </w:r>
    </w:p>
    <w:p w14:paraId="1BA871D8">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听证告知：依据《中华人民共和国行政许可法》，自公示起五个工作日内申请人、有重大利益关系的利害关系人可对以下拟作出的建设项目环境影响评价文件批复决定要求听证。</w:t>
      </w:r>
    </w:p>
    <w:p w14:paraId="18B1375B">
      <w:pPr>
        <w:pStyle w:val="12"/>
        <w:widowControl/>
        <w:shd w:val="clear" w:color="auto" w:fill="FFFFFF"/>
        <w:spacing w:before="75" w:beforeAutospacing="0" w:after="75" w:afterAutospacing="0"/>
        <w:jc w:val="both"/>
        <w:rPr>
          <w:rFonts w:ascii="sans-serif" w:hAnsi="sans-serif" w:eastAsia="sans-serif" w:cs="sans-serif"/>
          <w:color w:val="000000"/>
        </w:rPr>
      </w:pPr>
      <w:r>
        <w:rPr>
          <w:rFonts w:hint="eastAsia" w:ascii="宋体" w:hAnsi="宋体" w:eastAsia="宋体" w:cs="宋体"/>
          <w:color w:val="000000"/>
          <w:sz w:val="21"/>
          <w:szCs w:val="21"/>
          <w:shd w:val="clear" w:color="auto" w:fill="FFFFFF"/>
        </w:rPr>
        <w:t>拟审批的建设项目环境影响文件</w:t>
      </w:r>
    </w:p>
    <w:tbl>
      <w:tblPr>
        <w:tblStyle w:val="15"/>
        <w:tblW w:w="8115" w:type="dxa"/>
        <w:tblInd w:w="0" w:type="dxa"/>
        <w:tblLayout w:type="autofit"/>
        <w:tblCellMar>
          <w:top w:w="15" w:type="dxa"/>
          <w:left w:w="15" w:type="dxa"/>
          <w:bottom w:w="15" w:type="dxa"/>
          <w:right w:w="15" w:type="dxa"/>
        </w:tblCellMar>
      </w:tblPr>
      <w:tblGrid>
        <w:gridCol w:w="399"/>
        <w:gridCol w:w="389"/>
        <w:gridCol w:w="997"/>
        <w:gridCol w:w="1103"/>
        <w:gridCol w:w="714"/>
        <w:gridCol w:w="860"/>
        <w:gridCol w:w="3653"/>
      </w:tblGrid>
      <w:tr w14:paraId="65ACC274">
        <w:tblPrEx>
          <w:tblCellMar>
            <w:top w:w="15" w:type="dxa"/>
            <w:left w:w="15" w:type="dxa"/>
            <w:bottom w:w="15" w:type="dxa"/>
            <w:right w:w="15" w:type="dxa"/>
          </w:tblCellMar>
        </w:tblPrEx>
        <w:trPr>
          <w:trHeight w:val="90" w:hRule="atLeast"/>
        </w:trPr>
        <w:tc>
          <w:tcPr>
            <w:tcW w:w="399" w:type="dxa"/>
            <w:tcBorders>
              <w:top w:val="single" w:color="auto" w:sz="6" w:space="0"/>
              <w:left w:val="single" w:color="auto" w:sz="6" w:space="0"/>
              <w:bottom w:val="single" w:color="auto" w:sz="4" w:space="0"/>
              <w:right w:val="single" w:color="auto" w:sz="6" w:space="0"/>
            </w:tcBorders>
            <w:shd w:val="clear" w:color="auto" w:fill="auto"/>
            <w:tcMar>
              <w:top w:w="0" w:type="dxa"/>
              <w:left w:w="0" w:type="dxa"/>
              <w:bottom w:w="0" w:type="dxa"/>
              <w:right w:w="0" w:type="dxa"/>
            </w:tcMar>
            <w:vAlign w:val="center"/>
          </w:tcPr>
          <w:p w14:paraId="4A6B5694">
            <w:pPr>
              <w:pStyle w:val="12"/>
              <w:widowControl/>
              <w:spacing w:beforeAutospacing="0" w:afterAutospacing="0" w:line="300" w:lineRule="atLeast"/>
              <w:jc w:val="center"/>
            </w:pPr>
            <w:r>
              <w:rPr>
                <w:rStyle w:val="17"/>
                <w:rFonts w:hint="eastAsia" w:ascii="宋体" w:hAnsi="宋体" w:eastAsia="宋体" w:cs="宋体"/>
                <w:color w:val="000000"/>
                <w:sz w:val="18"/>
                <w:szCs w:val="18"/>
              </w:rPr>
              <w:t>序号</w:t>
            </w:r>
          </w:p>
        </w:tc>
        <w:tc>
          <w:tcPr>
            <w:tcW w:w="389"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C8903E9">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30286E85">
            <w:pPr>
              <w:pStyle w:val="12"/>
              <w:widowControl/>
              <w:spacing w:beforeAutospacing="0" w:afterAutospacing="0" w:line="300" w:lineRule="atLeast"/>
              <w:jc w:val="center"/>
            </w:pPr>
            <w:r>
              <w:rPr>
                <w:rStyle w:val="17"/>
                <w:rFonts w:hint="eastAsia" w:ascii="宋体" w:hAnsi="宋体" w:eastAsia="宋体" w:cs="宋体"/>
                <w:color w:val="000000"/>
                <w:sz w:val="18"/>
                <w:szCs w:val="18"/>
              </w:rPr>
              <w:t>单位</w:t>
            </w:r>
          </w:p>
        </w:tc>
        <w:tc>
          <w:tcPr>
            <w:tcW w:w="997"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E8BB7E7">
            <w:pPr>
              <w:pStyle w:val="12"/>
              <w:widowControl/>
              <w:spacing w:beforeAutospacing="0" w:afterAutospacing="0" w:line="300" w:lineRule="atLeast"/>
              <w:jc w:val="center"/>
            </w:pPr>
            <w:r>
              <w:rPr>
                <w:rStyle w:val="17"/>
                <w:rFonts w:hint="eastAsia" w:ascii="宋体" w:hAnsi="宋体" w:eastAsia="宋体" w:cs="宋体"/>
                <w:color w:val="000000"/>
                <w:sz w:val="18"/>
                <w:szCs w:val="18"/>
              </w:rPr>
              <w:t>项目</w:t>
            </w:r>
          </w:p>
          <w:p w14:paraId="7F0822BE">
            <w:pPr>
              <w:pStyle w:val="12"/>
              <w:widowControl/>
              <w:spacing w:beforeAutospacing="0" w:afterAutospacing="0" w:line="300" w:lineRule="atLeast"/>
              <w:jc w:val="center"/>
            </w:pPr>
            <w:r>
              <w:rPr>
                <w:rStyle w:val="17"/>
                <w:rFonts w:hint="eastAsia" w:ascii="宋体" w:hAnsi="宋体" w:eastAsia="宋体" w:cs="宋体"/>
                <w:color w:val="000000"/>
                <w:sz w:val="18"/>
                <w:szCs w:val="18"/>
              </w:rPr>
              <w:t>名称</w:t>
            </w:r>
          </w:p>
        </w:tc>
        <w:tc>
          <w:tcPr>
            <w:tcW w:w="110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5EA3DE2">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62603EDB">
            <w:pPr>
              <w:pStyle w:val="12"/>
              <w:widowControl/>
              <w:spacing w:beforeAutospacing="0" w:afterAutospacing="0" w:line="300" w:lineRule="atLeast"/>
              <w:jc w:val="center"/>
            </w:pPr>
            <w:r>
              <w:rPr>
                <w:rStyle w:val="17"/>
                <w:rFonts w:hint="eastAsia" w:ascii="宋体" w:hAnsi="宋体" w:eastAsia="宋体" w:cs="宋体"/>
                <w:color w:val="000000"/>
                <w:sz w:val="18"/>
                <w:szCs w:val="18"/>
              </w:rPr>
              <w:t>地点</w:t>
            </w:r>
          </w:p>
        </w:tc>
        <w:tc>
          <w:tcPr>
            <w:tcW w:w="714"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6D1630E2">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环境影响评价机构</w:t>
            </w:r>
          </w:p>
        </w:tc>
        <w:tc>
          <w:tcPr>
            <w:tcW w:w="860"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D7BEF9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建设项目</w:t>
            </w:r>
          </w:p>
          <w:p w14:paraId="2DE7275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概况</w:t>
            </w:r>
          </w:p>
        </w:tc>
        <w:tc>
          <w:tcPr>
            <w:tcW w:w="365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168E59E6">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主要环境影响及预防或减轻不良环境影响的对策和措施</w:t>
            </w:r>
          </w:p>
        </w:tc>
      </w:tr>
      <w:tr w14:paraId="5F3322A4">
        <w:tblPrEx>
          <w:tblCellMar>
            <w:top w:w="15" w:type="dxa"/>
            <w:left w:w="15" w:type="dxa"/>
            <w:bottom w:w="15" w:type="dxa"/>
            <w:right w:w="15" w:type="dxa"/>
          </w:tblCellMar>
        </w:tblPrEx>
        <w:trPr>
          <w:trHeight w:val="90" w:hRule="atLeast"/>
        </w:trPr>
        <w:tc>
          <w:tcPr>
            <w:tcW w:w="399" w:type="dxa"/>
            <w:tcBorders>
              <w:top w:val="single" w:color="auto" w:sz="4" w:space="0"/>
              <w:left w:val="single" w:color="auto" w:sz="4" w:space="0"/>
              <w:bottom w:val="single" w:color="auto" w:sz="4" w:space="0"/>
              <w:right w:val="single" w:color="auto" w:sz="6" w:space="0"/>
            </w:tcBorders>
            <w:shd w:val="clear" w:color="auto" w:fill="auto"/>
            <w:tcMar>
              <w:top w:w="0" w:type="dxa"/>
              <w:left w:w="0" w:type="dxa"/>
              <w:bottom w:w="0" w:type="dxa"/>
              <w:right w:w="0" w:type="dxa"/>
            </w:tcMar>
            <w:vAlign w:val="center"/>
          </w:tcPr>
          <w:p w14:paraId="3A898CF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1.</w:t>
            </w:r>
          </w:p>
        </w:tc>
        <w:tc>
          <w:tcPr>
            <w:tcW w:w="389"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A69E7B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河南中膳食品有限公司</w:t>
            </w:r>
          </w:p>
        </w:tc>
        <w:tc>
          <w:tcPr>
            <w:tcW w:w="997"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4E49916">
            <w:pPr>
              <w:pStyle w:val="12"/>
              <w:widowControl/>
              <w:spacing w:beforeAutospacing="0" w:afterAutospacing="0" w:line="300" w:lineRule="atLeast"/>
              <w:jc w:val="center"/>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年产8000吨食品加工建设项目</w:t>
            </w:r>
          </w:p>
          <w:p w14:paraId="029A3167">
            <w:pPr>
              <w:pStyle w:val="12"/>
              <w:widowControl/>
              <w:spacing w:beforeAutospacing="0" w:afterAutospacing="0" w:line="300" w:lineRule="atLeast"/>
              <w:jc w:val="center"/>
              <w:rPr>
                <w:rFonts w:ascii="Times New Roman" w:hAnsi="Times New Roman"/>
                <w:color w:val="000000"/>
                <w:sz w:val="18"/>
                <w:szCs w:val="18"/>
              </w:rPr>
            </w:pPr>
          </w:p>
        </w:tc>
        <w:tc>
          <w:tcPr>
            <w:tcW w:w="1103"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16EBE34F">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eastAsia="zh-CN"/>
              </w:rPr>
              <w:t>滑县</w:t>
            </w:r>
            <w:r>
              <w:rPr>
                <w:rFonts w:hint="eastAsia" w:ascii="Times New Roman" w:hAnsi="Times New Roman"/>
                <w:color w:val="000000"/>
                <w:sz w:val="18"/>
                <w:szCs w:val="18"/>
                <w:lang w:val="en-US" w:eastAsia="zh-CN"/>
              </w:rPr>
              <w:t>产业集聚区万顺路同漓江路交叉口</w:t>
            </w:r>
          </w:p>
          <w:p w14:paraId="03A0EC25">
            <w:pPr>
              <w:pStyle w:val="12"/>
              <w:widowControl/>
              <w:spacing w:beforeAutospacing="0" w:afterAutospacing="0" w:line="300" w:lineRule="atLeast"/>
              <w:jc w:val="center"/>
              <w:rPr>
                <w:rFonts w:ascii="Times New Roman" w:hAnsi="Times New Roman"/>
                <w:color w:val="000000"/>
                <w:sz w:val="18"/>
                <w:szCs w:val="18"/>
              </w:rPr>
            </w:pPr>
          </w:p>
        </w:tc>
        <w:tc>
          <w:tcPr>
            <w:tcW w:w="714"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03EB121">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河南</w:t>
            </w:r>
            <w:r>
              <w:rPr>
                <w:rFonts w:hint="eastAsia" w:ascii="Times New Roman" w:hAnsi="Times New Roman"/>
                <w:color w:val="000000"/>
                <w:sz w:val="18"/>
                <w:szCs w:val="18"/>
                <w:lang w:eastAsia="zh-CN"/>
              </w:rPr>
              <w:t>丛宇</w:t>
            </w:r>
            <w:r>
              <w:rPr>
                <w:rFonts w:hint="eastAsia" w:ascii="Times New Roman" w:hAnsi="Times New Roman"/>
                <w:color w:val="000000"/>
                <w:sz w:val="18"/>
                <w:szCs w:val="18"/>
                <w:lang w:val="en-US" w:eastAsia="zh-CN"/>
              </w:rPr>
              <w:t>环保科技有限公司</w:t>
            </w:r>
          </w:p>
        </w:tc>
        <w:tc>
          <w:tcPr>
            <w:tcW w:w="860"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28A543A">
            <w:pPr>
              <w:pStyle w:val="12"/>
              <w:widowControl/>
              <w:spacing w:beforeAutospacing="0" w:afterAutospacing="0" w:line="300" w:lineRule="atLeast"/>
              <w:jc w:val="center"/>
              <w:rPr>
                <w:rFonts w:ascii="Times New Roman" w:hAnsi="Times New Roman"/>
                <w:color w:val="000000"/>
                <w:sz w:val="18"/>
                <w:szCs w:val="18"/>
              </w:rPr>
            </w:pPr>
            <w:r>
              <w:rPr>
                <w:rFonts w:ascii="Times New Roman" w:hAnsi="Times New Roman"/>
                <w:color w:val="000000"/>
                <w:sz w:val="18"/>
                <w:szCs w:val="18"/>
              </w:rPr>
              <w:t>总投资</w:t>
            </w:r>
            <w:r>
              <w:rPr>
                <w:rFonts w:hint="eastAsia" w:ascii="Times New Roman" w:hAnsi="Times New Roman"/>
                <w:color w:val="000000"/>
                <w:sz w:val="18"/>
                <w:szCs w:val="18"/>
                <w:lang w:val="en-US" w:eastAsia="zh-CN"/>
              </w:rPr>
              <w:t>1500</w:t>
            </w:r>
            <w:r>
              <w:rPr>
                <w:rFonts w:ascii="Times New Roman" w:hAnsi="Times New Roman"/>
                <w:color w:val="000000"/>
                <w:sz w:val="18"/>
                <w:szCs w:val="18"/>
              </w:rPr>
              <w:t>万元，环保投资</w:t>
            </w:r>
            <w:r>
              <w:rPr>
                <w:rFonts w:hint="eastAsia" w:ascii="Times New Roman" w:hAnsi="Times New Roman"/>
                <w:color w:val="000000"/>
                <w:sz w:val="18"/>
                <w:szCs w:val="18"/>
                <w:lang w:val="en-US" w:eastAsia="zh-CN"/>
              </w:rPr>
              <w:t>6100</w:t>
            </w:r>
            <w:r>
              <w:rPr>
                <w:rFonts w:ascii="Times New Roman" w:hAnsi="Times New Roman"/>
                <w:color w:val="000000"/>
                <w:sz w:val="18"/>
                <w:szCs w:val="18"/>
              </w:rPr>
              <w:t>万元。</w:t>
            </w:r>
          </w:p>
        </w:tc>
        <w:tc>
          <w:tcPr>
            <w:tcW w:w="3653"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790C4B37">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1.废气：①面粉投料、筛分、搅拌工序产生的粉尘，经收集后，引入1套覆膜袋式除尘器处理后，通过1根22m高排气筒（DA001）；鸡蛋馅料炒制、油炸、烘焙工序油烟废气，经收集后，引入1套静电油烟处理器处理后经1根22m高排气筒（DA002）；隧道炉、旋转炉、挂面烘干天然气燃烧废气采用低氮燃烧+烟气循环装置+1根22m高排气筒（DA003）。执行标准：《大气污染物综合排放标准》（GB16297-1996）、《恶臭污染物排放标准》（GB14554-93）、《餐饮业油烟污染物排放标准》（DB41/1604-2018）、《工业炉窑大气污染物排放标准》（DB41/1066-2020）《河南省重污染天气通用行业应急减排措施制定技术指南（2024年修订版）》通用行业涉PM企业要求和涉锅炉/炉窑A级企业要求、《安阳市2019年工业大气污染治理5个专项实施方案》（安环攻坚办〔2019〕196号）相关排放限值要求。</w:t>
            </w:r>
          </w:p>
          <w:p w14:paraId="60760886">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eastAsia="zh-CN"/>
              </w:rPr>
            </w:pPr>
            <w:r>
              <w:rPr>
                <w:rFonts w:hint="eastAsia" w:ascii="Times New Roman" w:hAnsi="Times New Roman"/>
                <w:color w:val="000000"/>
                <w:sz w:val="18"/>
                <w:szCs w:val="18"/>
                <w:lang w:val="en-US" w:eastAsia="zh-CN"/>
              </w:rPr>
              <w:t>2.废水：本项目生活废水经1座10m3化粪池收集、生产废水经5m3隔油池处理后，一同进入厂区污水处理站（日处理能力100t/d）处理后，通过污水管网排入滑县产业集聚区污水处理厂</w:t>
            </w:r>
            <w:r>
              <w:rPr>
                <w:rFonts w:hint="eastAsia" w:ascii="Times New Roman" w:hAnsi="Times New Roman"/>
                <w:color w:val="000000"/>
                <w:sz w:val="18"/>
                <w:szCs w:val="18"/>
                <w:lang w:eastAsia="zh-CN"/>
              </w:rPr>
              <w:t>。</w:t>
            </w:r>
          </w:p>
          <w:p w14:paraId="66D2CB70">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3.噪声：生产设备、环保治理设施风机等设备噪声，通过优化平面布置、选用低噪声设备、基础减震、隔声、消声等措施，噪声排放须满足《工业企业厂界环境噪声排放标准》（GB12348-2008）2类标准。</w:t>
            </w:r>
          </w:p>
          <w:p w14:paraId="51E57331">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4.固体废物：原料废包装材料、废除尘滤袋、压滤机废滤布外售废旧物资回收部门；除尘灰、面粉筛分杂质、土豆皮、蔬菜根和叶子、挂面边角料、豆渣外售养殖场作为饲料使用；蛋壳、废香辛料和畜禽毛、隔油池油污、产品研发固废、过期变质原料、职工生活垃圾环卫部门清运；废食用油和油渣外售专业油脂处理单位处置；污水处理站污泥交由有机肥料加工企业利用。厂区设置1座20m2一般固废暂存间，一般固废厂区暂存满足《一般工业固体废物贮存和填埋污染控制标准》（GB18599-2020）。</w:t>
            </w:r>
          </w:p>
          <w:p w14:paraId="724A548F">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r>
              <w:rPr>
                <w:rFonts w:hint="eastAsia" w:ascii="Times New Roman" w:hAnsi="Times New Roman"/>
                <w:color w:val="000000"/>
                <w:sz w:val="18"/>
                <w:szCs w:val="18"/>
                <w:lang w:val="en-US" w:eastAsia="zh-CN"/>
              </w:rPr>
              <w:t>废润滑油及其废桶在厂区危废间（10m2）暂存，定期交有资质单位处置。危险废物厂区暂存满足《危险废物贮存污染控制标准》（GB18597-2023）。</w:t>
            </w:r>
            <w:bookmarkStart w:id="0" w:name="_GoBack"/>
            <w:bookmarkEnd w:id="0"/>
          </w:p>
        </w:tc>
      </w:tr>
    </w:tbl>
    <w:p w14:paraId="4C4935B6">
      <w:pPr>
        <w:pStyle w:val="12"/>
        <w:widowControl/>
        <w:spacing w:beforeAutospacing="0" w:afterAutospacing="0" w:line="300" w:lineRule="atLeast"/>
        <w:jc w:val="center"/>
        <w:rPr>
          <w:rFonts w:ascii="Times New Roman" w:hAnsi="Times New Roman"/>
          <w:color w:val="000000"/>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AFF" w:usb1="C0007841" w:usb2="00000009" w:usb3="00000000" w:csb0="400001FF" w:csb1="FFFF0000"/>
  </w:font>
  <w:font w:name="宋体">
    <w:panose1 w:val="02010600030101010101"/>
    <w:charset w:val="7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7"/>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BjYTBhZThlNzU1YzE4MTAxZTVkY2IyYzEzZGQxMDYifQ=="/>
  </w:docVars>
  <w:rsids>
    <w:rsidRoot w:val="00D553BD"/>
    <w:rsid w:val="00021B7D"/>
    <w:rsid w:val="00051C04"/>
    <w:rsid w:val="000934E9"/>
    <w:rsid w:val="000C13E5"/>
    <w:rsid w:val="00191A76"/>
    <w:rsid w:val="00272D6F"/>
    <w:rsid w:val="002932FD"/>
    <w:rsid w:val="002D40B0"/>
    <w:rsid w:val="002F348A"/>
    <w:rsid w:val="00346272"/>
    <w:rsid w:val="0034687D"/>
    <w:rsid w:val="00351DEE"/>
    <w:rsid w:val="00424CC3"/>
    <w:rsid w:val="005227EA"/>
    <w:rsid w:val="00524ECE"/>
    <w:rsid w:val="0052598B"/>
    <w:rsid w:val="005901A6"/>
    <w:rsid w:val="005C56DB"/>
    <w:rsid w:val="00612AF7"/>
    <w:rsid w:val="00613302"/>
    <w:rsid w:val="0071483A"/>
    <w:rsid w:val="007F6C56"/>
    <w:rsid w:val="00836AE6"/>
    <w:rsid w:val="00854859"/>
    <w:rsid w:val="00896DDB"/>
    <w:rsid w:val="008F6A17"/>
    <w:rsid w:val="00B101CB"/>
    <w:rsid w:val="00B21E60"/>
    <w:rsid w:val="00B72CC9"/>
    <w:rsid w:val="00B72D3B"/>
    <w:rsid w:val="00C53645"/>
    <w:rsid w:val="00CE0507"/>
    <w:rsid w:val="00CE3621"/>
    <w:rsid w:val="00D553BD"/>
    <w:rsid w:val="00D93271"/>
    <w:rsid w:val="00DB2F10"/>
    <w:rsid w:val="00E12EFF"/>
    <w:rsid w:val="00EB48B5"/>
    <w:rsid w:val="00FA45AC"/>
    <w:rsid w:val="00FB5EA4"/>
    <w:rsid w:val="00FD244D"/>
    <w:rsid w:val="0751417D"/>
    <w:rsid w:val="09A15DC1"/>
    <w:rsid w:val="09E6605D"/>
    <w:rsid w:val="0B652750"/>
    <w:rsid w:val="126D0F3F"/>
    <w:rsid w:val="13FD1DAB"/>
    <w:rsid w:val="14A55308"/>
    <w:rsid w:val="159D7523"/>
    <w:rsid w:val="23BC64AB"/>
    <w:rsid w:val="28B71175"/>
    <w:rsid w:val="29F8185A"/>
    <w:rsid w:val="2ADD44ED"/>
    <w:rsid w:val="2C0676F0"/>
    <w:rsid w:val="2DC302F1"/>
    <w:rsid w:val="2DC86D5C"/>
    <w:rsid w:val="31811015"/>
    <w:rsid w:val="323D7466"/>
    <w:rsid w:val="362916BF"/>
    <w:rsid w:val="383B30F1"/>
    <w:rsid w:val="3A25474B"/>
    <w:rsid w:val="3A555B39"/>
    <w:rsid w:val="3B0E64B4"/>
    <w:rsid w:val="3BCC5E8A"/>
    <w:rsid w:val="3E6B2E9F"/>
    <w:rsid w:val="3FAE1904"/>
    <w:rsid w:val="40EC2972"/>
    <w:rsid w:val="44D13161"/>
    <w:rsid w:val="46CD11F9"/>
    <w:rsid w:val="47A4392B"/>
    <w:rsid w:val="4AA43B88"/>
    <w:rsid w:val="4C7835CC"/>
    <w:rsid w:val="4DB91C07"/>
    <w:rsid w:val="4E4D6E3D"/>
    <w:rsid w:val="4F2D1826"/>
    <w:rsid w:val="506B2B73"/>
    <w:rsid w:val="51C957E0"/>
    <w:rsid w:val="52376698"/>
    <w:rsid w:val="56C81A1D"/>
    <w:rsid w:val="56E408B3"/>
    <w:rsid w:val="591254C2"/>
    <w:rsid w:val="5AC029C4"/>
    <w:rsid w:val="5F050D4A"/>
    <w:rsid w:val="62712768"/>
    <w:rsid w:val="664F2219"/>
    <w:rsid w:val="6A074AD5"/>
    <w:rsid w:val="6CD213AC"/>
    <w:rsid w:val="6E992E87"/>
    <w:rsid w:val="6FE633A9"/>
    <w:rsid w:val="73257025"/>
    <w:rsid w:val="75B96372"/>
    <w:rsid w:val="78422CCE"/>
    <w:rsid w:val="78E76149"/>
    <w:rsid w:val="79F92000"/>
    <w:rsid w:val="7A76041E"/>
    <w:rsid w:val="7DD32B3D"/>
    <w:rsid w:val="7FCE3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Autospacing="1" w:afterAutospacing="1"/>
      <w:jc w:val="center"/>
      <w:outlineLvl w:val="0"/>
    </w:pPr>
    <w:rPr>
      <w:b/>
      <w:kern w:val="44"/>
      <w:sz w:val="44"/>
    </w:rPr>
  </w:style>
  <w:style w:type="paragraph" w:styleId="3">
    <w:name w:val="heading 4"/>
    <w:basedOn w:val="1"/>
    <w:next w:val="1"/>
    <w:unhideWhenUsed/>
    <w:qFormat/>
    <w:uiPriority w:val="0"/>
    <w:pPr>
      <w:spacing w:before="100" w:beforeAutospacing="1" w:after="100" w:afterAutospacing="1"/>
      <w:jc w:val="left"/>
      <w:outlineLvl w:val="3"/>
    </w:pPr>
    <w:rPr>
      <w:rFonts w:hint="eastAsia" w:ascii="宋体" w:hAnsi="宋体" w:eastAsia="宋体" w:cs="Times New Roman"/>
      <w:b/>
      <w:kern w:val="0"/>
      <w:sz w:val="24"/>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index 5"/>
    <w:basedOn w:val="1"/>
    <w:next w:val="1"/>
    <w:semiHidden/>
    <w:qFormat/>
    <w:uiPriority w:val="0"/>
    <w:pPr>
      <w:ind w:left="1680"/>
    </w:pPr>
    <w:rPr>
      <w:rFonts w:eastAsia="Times New Roman"/>
      <w:sz w:val="32"/>
    </w:rPr>
  </w:style>
  <w:style w:type="paragraph" w:styleId="5">
    <w:name w:val="annotation text"/>
    <w:basedOn w:val="1"/>
    <w:qFormat/>
    <w:uiPriority w:val="0"/>
    <w:pPr>
      <w:jc w:val="left"/>
    </w:pPr>
    <w:rPr>
      <w:kern w:val="0"/>
      <w:sz w:val="24"/>
      <w:szCs w:val="20"/>
    </w:rPr>
  </w:style>
  <w:style w:type="paragraph" w:styleId="6">
    <w:name w:val="Body Text"/>
    <w:basedOn w:val="1"/>
    <w:next w:val="7"/>
    <w:qFormat/>
    <w:uiPriority w:val="0"/>
    <w:rPr>
      <w:b/>
      <w:bCs/>
      <w:sz w:val="24"/>
    </w:rPr>
  </w:style>
  <w:style w:type="paragraph" w:styleId="7">
    <w:name w:val="Body Text 2"/>
    <w:basedOn w:val="1"/>
    <w:qFormat/>
    <w:uiPriority w:val="99"/>
    <w:pPr>
      <w:numPr>
        <w:ilvl w:val="0"/>
        <w:numId w:val="1"/>
      </w:numPr>
      <w:spacing w:beforeLines="50" w:line="336" w:lineRule="auto"/>
      <w:ind w:left="0" w:firstLine="0"/>
    </w:pPr>
    <w:rPr>
      <w:rFonts w:ascii="Times New Roman" w:hAnsi="Times New Roman" w:eastAsia="仿宋_GB2312" w:cs="Times New Roman"/>
      <w:kern w:val="0"/>
      <w:lang w:val="en-GB" w:eastAsia="en-US"/>
    </w:rPr>
  </w:style>
  <w:style w:type="paragraph" w:styleId="8">
    <w:name w:val="Body Text Indent"/>
    <w:basedOn w:val="1"/>
    <w:qFormat/>
    <w:uiPriority w:val="0"/>
    <w:pPr>
      <w:ind w:left="420" w:leftChars="200"/>
    </w:pPr>
  </w:style>
  <w:style w:type="paragraph" w:styleId="9">
    <w:name w:val="Block Text"/>
    <w:basedOn w:val="1"/>
    <w:next w:val="1"/>
    <w:qFormat/>
    <w:uiPriority w:val="0"/>
    <w:pPr>
      <w:spacing w:line="320" w:lineRule="exact"/>
      <w:ind w:left="113" w:right="113"/>
      <w:jc w:val="center"/>
    </w:pPr>
    <w:rPr>
      <w:b/>
      <w:sz w:val="13"/>
      <w:szCs w:val="15"/>
    </w:rPr>
  </w:style>
  <w:style w:type="paragraph" w:styleId="10">
    <w:name w:val="footer"/>
    <w:basedOn w:val="1"/>
    <w:link w:val="22"/>
    <w:qFormat/>
    <w:uiPriority w:val="0"/>
    <w:pPr>
      <w:tabs>
        <w:tab w:val="center" w:pos="4153"/>
        <w:tab w:val="right" w:pos="8306"/>
      </w:tabs>
      <w:snapToGrid w:val="0"/>
      <w:jc w:val="left"/>
    </w:pPr>
    <w:rPr>
      <w:sz w:val="18"/>
      <w:szCs w:val="18"/>
    </w:rPr>
  </w:style>
  <w:style w:type="paragraph" w:styleId="11">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6"/>
    <w:next w:val="14"/>
    <w:qFormat/>
    <w:uiPriority w:val="0"/>
    <w:pPr>
      <w:spacing w:after="120"/>
      <w:ind w:firstLine="420" w:firstLineChars="100"/>
    </w:pPr>
    <w:rPr>
      <w:sz w:val="21"/>
    </w:rPr>
  </w:style>
  <w:style w:type="paragraph" w:styleId="14">
    <w:name w:val="Body Text First Indent 2"/>
    <w:basedOn w:val="8"/>
    <w:qFormat/>
    <w:uiPriority w:val="0"/>
    <w:pPr>
      <w:ind w:firstLine="200" w:firstLineChars="200"/>
    </w:pPr>
    <w:rPr>
      <w:szCs w:val="21"/>
    </w:rPr>
  </w:style>
  <w:style w:type="character" w:styleId="17">
    <w:name w:val="Strong"/>
    <w:basedOn w:val="16"/>
    <w:qFormat/>
    <w:uiPriority w:val="0"/>
    <w:rPr>
      <w:b/>
    </w:rPr>
  </w:style>
  <w:style w:type="character" w:styleId="18">
    <w:name w:val="annotation reference"/>
    <w:basedOn w:val="16"/>
    <w:qFormat/>
    <w:uiPriority w:val="0"/>
    <w:rPr>
      <w:sz w:val="21"/>
      <w:szCs w:val="21"/>
    </w:rPr>
  </w:style>
  <w:style w:type="paragraph" w:customStyle="1" w:styleId="19">
    <w:name w:val="Default"/>
    <w:basedOn w:val="20"/>
    <w:unhideWhenUsed/>
    <w:qFormat/>
    <w:uiPriority w:val="99"/>
    <w:pPr>
      <w:autoSpaceDE w:val="0"/>
      <w:autoSpaceDN w:val="0"/>
    </w:pPr>
    <w:rPr>
      <w:rFonts w:hint="eastAsia" w:ascii="仿宋_GB2312" w:hAnsi="仿宋_GB2312" w:eastAsia="仿宋_GB2312" w:cs="Times New Roman"/>
      <w:color w:val="000000"/>
      <w:sz w:val="24"/>
    </w:rPr>
  </w:style>
  <w:style w:type="paragraph" w:customStyle="1" w:styleId="20">
    <w:name w:val="纯文本1"/>
    <w:basedOn w:val="1"/>
    <w:qFormat/>
    <w:uiPriority w:val="0"/>
    <w:pPr>
      <w:adjustRightInd w:val="0"/>
    </w:pPr>
    <w:rPr>
      <w:rFonts w:ascii="宋体" w:hAnsi="Courier New"/>
    </w:rPr>
  </w:style>
  <w:style w:type="character" w:customStyle="1" w:styleId="21">
    <w:name w:val="页眉 Char"/>
    <w:basedOn w:val="16"/>
    <w:link w:val="11"/>
    <w:qFormat/>
    <w:uiPriority w:val="0"/>
    <w:rPr>
      <w:rFonts w:asciiTheme="minorHAnsi" w:hAnsiTheme="minorHAnsi" w:eastAsiaTheme="minorEastAsia" w:cstheme="minorBidi"/>
      <w:kern w:val="2"/>
      <w:sz w:val="18"/>
      <w:szCs w:val="18"/>
    </w:rPr>
  </w:style>
  <w:style w:type="character" w:customStyle="1" w:styleId="22">
    <w:name w:val="页脚 Char"/>
    <w:basedOn w:val="16"/>
    <w:link w:val="10"/>
    <w:qFormat/>
    <w:uiPriority w:val="0"/>
    <w:rPr>
      <w:rFonts w:asciiTheme="minorHAnsi" w:hAnsiTheme="minorHAnsi" w:eastAsiaTheme="minorEastAsia" w:cstheme="minorBidi"/>
      <w:kern w:val="2"/>
      <w:sz w:val="18"/>
      <w:szCs w:val="18"/>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1114</Words>
  <Characters>1250</Characters>
  <Lines>1</Lines>
  <Paragraphs>2</Paragraphs>
  <TotalTime>0</TotalTime>
  <ScaleCrop>false</ScaleCrop>
  <LinksUpToDate>false</LinksUpToDate>
  <CharactersWithSpaces>1260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墨染秋凉</cp:lastModifiedBy>
  <dcterms:modified xsi:type="dcterms:W3CDTF">2026-07-07T07:03:16Z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8BE8F78994014D048921BA9B8DEF1A8D</vt:lpwstr>
  </property>
  <property fmtid="{D5CDD505-2E9C-101B-9397-08002B2CF9AE}" pid="4" name="KSOTemplateDocerSaveRecord">
    <vt:lpwstr>eyJoZGlkIjoiMmQxN2E3NzBjNWUyMGQyNjllMzdmZDlhNTNkMGIyNzMiLCJ1c2VySWQiOiI0MzY3NTg1OTAifQ==</vt:lpwstr>
  </property>
</Properties>
</file>