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14"/>
        <w:widowControl/>
        <w:spacing w:line="360" w:lineRule="auto"/>
        <w:jc w:val="center"/>
        <w:rPr>
          <w:rFonts w:ascii="方正小标宋简体" w:hAnsi="方正小标宋简体" w:eastAsia="方正小标宋简体" w:cs="方正小标宋简体"/>
          <w:color w:val="333333"/>
          <w:sz w:val="30"/>
          <w:szCs w:val="30"/>
        </w:rPr>
      </w:pPr>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15</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拟作出的建设项目环境影响评价文件</w:t>
      </w:r>
    </w:p>
    <w:p w14:paraId="7C5DCEEF">
      <w:pPr>
        <w:pStyle w:val="14"/>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p w14:paraId="794A2676">
      <w:pPr>
        <w:pStyle w:val="14"/>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环境影响评价文件作出审批意见。为保证审批意见的严肃性和公正性，现将各建设项目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15</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6月22</w:t>
      </w:r>
      <w:r>
        <w:rPr>
          <w:rFonts w:hint="eastAsia" w:ascii="宋体" w:hAnsi="宋体" w:eastAsia="宋体" w:cs="宋体"/>
          <w:color w:val="000000"/>
          <w:sz w:val="21"/>
          <w:szCs w:val="21"/>
          <w:shd w:val="clear" w:color="auto" w:fill="FFFFFF"/>
        </w:rPr>
        <w:t>日（5个工作日）。</w:t>
      </w:r>
    </w:p>
    <w:p w14:paraId="6AF4FD29">
      <w:pPr>
        <w:pStyle w:val="14"/>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14"/>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14"/>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听证告知：依据《中华人民共和国行政许可法》，自公示起五个工作日内申请人、有重大利益关系的利害关系人可对以下拟作出的建设项目环境影响评价文件批复决定要求听证。</w:t>
      </w:r>
    </w:p>
    <w:p w14:paraId="18B1375B">
      <w:pPr>
        <w:pStyle w:val="14"/>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拟审批的建设项目环境影响文件</w:t>
      </w:r>
    </w:p>
    <w:tbl>
      <w:tblPr>
        <w:tblStyle w:val="17"/>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14"/>
              <w:widowControl/>
              <w:spacing w:beforeAutospacing="0" w:afterAutospacing="0" w:line="300" w:lineRule="atLeast"/>
              <w:jc w:val="center"/>
            </w:pPr>
            <w:r>
              <w:rPr>
                <w:rStyle w:val="19"/>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14"/>
              <w:widowControl/>
              <w:spacing w:beforeAutospacing="0" w:afterAutospacing="0" w:line="300" w:lineRule="atLeast"/>
              <w:jc w:val="center"/>
            </w:pPr>
            <w:r>
              <w:rPr>
                <w:rStyle w:val="19"/>
                <w:rFonts w:hint="eastAsia" w:ascii="宋体" w:hAnsi="宋体" w:eastAsia="宋体" w:cs="宋体"/>
                <w:color w:val="000000"/>
                <w:sz w:val="18"/>
                <w:szCs w:val="18"/>
              </w:rPr>
              <w:t>建设</w:t>
            </w:r>
          </w:p>
          <w:p w14:paraId="30286E85">
            <w:pPr>
              <w:pStyle w:val="14"/>
              <w:widowControl/>
              <w:spacing w:beforeAutospacing="0" w:afterAutospacing="0" w:line="300" w:lineRule="atLeast"/>
              <w:jc w:val="center"/>
            </w:pPr>
            <w:r>
              <w:rPr>
                <w:rStyle w:val="19"/>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14"/>
              <w:widowControl/>
              <w:spacing w:beforeAutospacing="0" w:afterAutospacing="0" w:line="300" w:lineRule="atLeast"/>
              <w:jc w:val="center"/>
            </w:pPr>
            <w:r>
              <w:rPr>
                <w:rStyle w:val="19"/>
                <w:rFonts w:hint="eastAsia" w:ascii="宋体" w:hAnsi="宋体" w:eastAsia="宋体" w:cs="宋体"/>
                <w:color w:val="000000"/>
                <w:sz w:val="18"/>
                <w:szCs w:val="18"/>
              </w:rPr>
              <w:t>项目</w:t>
            </w:r>
          </w:p>
          <w:p w14:paraId="7F0822BE">
            <w:pPr>
              <w:pStyle w:val="14"/>
              <w:widowControl/>
              <w:spacing w:beforeAutospacing="0" w:afterAutospacing="0" w:line="300" w:lineRule="atLeast"/>
              <w:jc w:val="center"/>
            </w:pPr>
            <w:r>
              <w:rPr>
                <w:rStyle w:val="19"/>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14"/>
              <w:widowControl/>
              <w:spacing w:beforeAutospacing="0" w:afterAutospacing="0" w:line="300" w:lineRule="atLeast"/>
              <w:jc w:val="center"/>
            </w:pPr>
            <w:r>
              <w:rPr>
                <w:rStyle w:val="19"/>
                <w:rFonts w:hint="eastAsia" w:ascii="宋体" w:hAnsi="宋体" w:eastAsia="宋体" w:cs="宋体"/>
                <w:color w:val="000000"/>
                <w:sz w:val="18"/>
                <w:szCs w:val="18"/>
              </w:rPr>
              <w:t>建设</w:t>
            </w:r>
          </w:p>
          <w:p w14:paraId="62603EDB">
            <w:pPr>
              <w:pStyle w:val="14"/>
              <w:widowControl/>
              <w:spacing w:beforeAutospacing="0" w:afterAutospacing="0" w:line="300" w:lineRule="atLeast"/>
              <w:jc w:val="center"/>
            </w:pPr>
            <w:r>
              <w:rPr>
                <w:rStyle w:val="19"/>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14"/>
              <w:widowControl/>
              <w:spacing w:beforeAutospacing="0" w:afterAutospacing="0" w:line="300" w:lineRule="atLeast"/>
              <w:jc w:val="center"/>
            </w:pPr>
            <w:r>
              <w:rPr>
                <w:rStyle w:val="19"/>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14"/>
              <w:widowControl/>
              <w:spacing w:beforeAutospacing="0" w:afterAutospacing="0" w:line="300" w:lineRule="atLeast"/>
              <w:jc w:val="center"/>
            </w:pPr>
            <w:r>
              <w:rPr>
                <w:rStyle w:val="19"/>
                <w:rFonts w:hint="eastAsia" w:ascii="宋体" w:hAnsi="宋体" w:eastAsia="宋体" w:cs="宋体"/>
                <w:color w:val="000000"/>
                <w:sz w:val="18"/>
                <w:szCs w:val="18"/>
                <w:shd w:val="clear" w:color="auto" w:fill="FFFFFF"/>
              </w:rPr>
              <w:t>建设项目</w:t>
            </w:r>
          </w:p>
          <w:p w14:paraId="2DE72757">
            <w:pPr>
              <w:pStyle w:val="14"/>
              <w:widowControl/>
              <w:spacing w:beforeAutospacing="0" w:afterAutospacing="0" w:line="300" w:lineRule="atLeast"/>
              <w:jc w:val="center"/>
            </w:pPr>
            <w:r>
              <w:rPr>
                <w:rStyle w:val="19"/>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14"/>
              <w:widowControl/>
              <w:spacing w:beforeAutospacing="0" w:afterAutospacing="0" w:line="300" w:lineRule="atLeast"/>
              <w:jc w:val="center"/>
            </w:pPr>
            <w:r>
              <w:rPr>
                <w:rStyle w:val="19"/>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14"/>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14"/>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滑县源网荷储能源发展</w:t>
            </w:r>
            <w:r>
              <w:rPr>
                <w:rFonts w:hint="eastAsia" w:ascii="Times New Roman" w:hAnsi="Times New Roman"/>
                <w:color w:val="000000"/>
                <w:sz w:val="18"/>
                <w:szCs w:val="18"/>
              </w:rPr>
              <w:t>有限公司</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178E882">
            <w:pPr>
              <w:pStyle w:val="14"/>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安阳中盈化肥源网荷储一体化项目</w:t>
            </w: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3A0EC25">
            <w:pPr>
              <w:pStyle w:val="14"/>
              <w:widowControl/>
              <w:spacing w:beforeAutospacing="0" w:afterAutospacing="0" w:line="300" w:lineRule="atLeast"/>
              <w:jc w:val="center"/>
              <w:rPr>
                <w:rFonts w:ascii="Times New Roman" w:hAnsi="Times New Roman"/>
                <w:color w:val="000000"/>
                <w:sz w:val="18"/>
                <w:szCs w:val="18"/>
              </w:rPr>
            </w:pPr>
            <w:r>
              <w:rPr>
                <w:rFonts w:hint="default" w:ascii="Times New Roman" w:hAnsi="Times New Roman"/>
                <w:color w:val="000000"/>
                <w:sz w:val="18"/>
                <w:szCs w:val="18"/>
                <w:lang w:val="en-US" w:eastAsia="zh-CN"/>
              </w:rPr>
              <w:t>河南省安阳市滑县半坡店镇、焦虎镇、瓦岗寨乡</w:t>
            </w: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14"/>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河南</w:t>
            </w:r>
            <w:r>
              <w:rPr>
                <w:rFonts w:hint="eastAsia" w:ascii="Times New Roman" w:hAnsi="Times New Roman"/>
                <w:color w:val="000000"/>
                <w:sz w:val="18"/>
                <w:szCs w:val="18"/>
                <w:lang w:eastAsia="zh-CN"/>
              </w:rPr>
              <w:t>青盟环</w:t>
            </w:r>
            <w:r>
              <w:rPr>
                <w:rFonts w:hint="eastAsia" w:ascii="Times New Roman" w:hAnsi="Times New Roman"/>
                <w:color w:val="000000"/>
                <w:sz w:val="18"/>
                <w:szCs w:val="18"/>
              </w:rPr>
              <w:t>保科技有限公司</w:t>
            </w:r>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14"/>
              <w:widowControl/>
              <w:spacing w:beforeAutospacing="0" w:afterAutospacing="0" w:line="300" w:lineRule="atLeast"/>
              <w:jc w:val="center"/>
              <w:rPr>
                <w:rFonts w:ascii="Times New Roman" w:hAnsi="Times New Roman"/>
                <w:color w:val="000000"/>
                <w:sz w:val="18"/>
                <w:szCs w:val="18"/>
              </w:rPr>
            </w:pPr>
            <w:r>
              <w:rPr>
                <w:rFonts w:ascii="Times New Roman" w:hAnsi="Times New Roman"/>
                <w:color w:val="000000"/>
                <w:sz w:val="18"/>
                <w:szCs w:val="18"/>
              </w:rPr>
              <w:t>总投资</w:t>
            </w:r>
            <w:r>
              <w:rPr>
                <w:rFonts w:hint="default" w:ascii="Times New Roman" w:hAnsi="Times New Roman"/>
                <w:color w:val="000000"/>
                <w:sz w:val="18"/>
                <w:szCs w:val="18"/>
                <w:lang w:val="en-US" w:eastAsia="zh-CN"/>
              </w:rPr>
              <w:t>34297. 27</w:t>
            </w:r>
            <w:r>
              <w:rPr>
                <w:rFonts w:ascii="Times New Roman" w:hAnsi="Times New Roman"/>
                <w:color w:val="000000"/>
                <w:sz w:val="18"/>
                <w:szCs w:val="18"/>
              </w:rPr>
              <w:t>万元，环保投资</w:t>
            </w:r>
            <w:r>
              <w:rPr>
                <w:rFonts w:hint="eastAsia" w:ascii="Times New Roman" w:hAnsi="Times New Roman"/>
                <w:color w:val="000000"/>
                <w:sz w:val="18"/>
                <w:szCs w:val="18"/>
                <w:lang w:val="en-US" w:eastAsia="zh-CN"/>
              </w:rPr>
              <w:t>298</w:t>
            </w:r>
            <w:r>
              <w:rPr>
                <w:rFonts w:ascii="Times New Roman" w:hAnsi="Times New Roman"/>
                <w:color w:val="000000"/>
                <w:sz w:val="18"/>
                <w:szCs w:val="18"/>
              </w:rPr>
              <w:t>万元。</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127EB180">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rPr>
            </w:pPr>
            <w:r>
              <w:rPr>
                <w:rFonts w:hint="eastAsia" w:ascii="Times New Roman" w:hAnsi="Times New Roman"/>
                <w:color w:val="000000"/>
                <w:sz w:val="18"/>
                <w:szCs w:val="18"/>
                <w:lang w:val="en-US" w:eastAsia="zh-CN"/>
              </w:rPr>
              <w:t>2.废气：施工期废气包括施工扬尘和燃油机械废气，其中以施工扬尘污染为主。主要保护措施为施工工地现场围挡定期洒水、裸露黄土及物料覆盖等措施。</w:t>
            </w:r>
          </w:p>
          <w:p w14:paraId="225E37C2">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eastAsia="zh-CN"/>
              </w:rPr>
            </w:pPr>
            <w:r>
              <w:rPr>
                <w:rFonts w:hint="eastAsia" w:ascii="Times New Roman" w:hAnsi="Times New Roman"/>
                <w:color w:val="000000"/>
                <w:sz w:val="18"/>
                <w:szCs w:val="18"/>
                <w:lang w:val="en-US" w:eastAsia="zh-CN"/>
              </w:rPr>
              <w:t>3.废水：</w:t>
            </w:r>
            <w:r>
              <w:rPr>
                <w:rFonts w:hint="eastAsia" w:ascii="Times New Roman" w:hAnsi="Times New Roman"/>
                <w:color w:val="000000"/>
                <w:sz w:val="18"/>
                <w:szCs w:val="18"/>
              </w:rPr>
              <w:t>该项目</w:t>
            </w:r>
            <w:r>
              <w:rPr>
                <w:rFonts w:hint="eastAsia" w:ascii="Times New Roman" w:hAnsi="Times New Roman"/>
                <w:color w:val="000000"/>
                <w:sz w:val="18"/>
                <w:szCs w:val="18"/>
                <w:lang w:val="en-US" w:eastAsia="zh-CN"/>
              </w:rPr>
              <w:t>施工</w:t>
            </w:r>
            <w:r>
              <w:rPr>
                <w:rFonts w:hint="eastAsia" w:ascii="Times New Roman" w:hAnsi="Times New Roman"/>
                <w:color w:val="000000"/>
                <w:sz w:val="18"/>
                <w:szCs w:val="18"/>
              </w:rPr>
              <w:t>期废水主要为</w:t>
            </w:r>
            <w:r>
              <w:rPr>
                <w:rFonts w:hint="eastAsia" w:ascii="Times New Roman" w:hAnsi="Times New Roman"/>
                <w:color w:val="000000"/>
                <w:sz w:val="18"/>
                <w:szCs w:val="18"/>
                <w:lang w:val="en-US" w:eastAsia="zh-CN"/>
              </w:rPr>
              <w:t>施工人员</w:t>
            </w:r>
            <w:r>
              <w:rPr>
                <w:rFonts w:hint="eastAsia" w:ascii="Times New Roman" w:hAnsi="Times New Roman"/>
                <w:color w:val="000000"/>
                <w:sz w:val="18"/>
                <w:szCs w:val="18"/>
                <w:lang w:eastAsia="zh-CN"/>
              </w:rPr>
              <w:t>生活</w:t>
            </w:r>
            <w:r>
              <w:rPr>
                <w:rFonts w:hint="eastAsia" w:ascii="Times New Roman" w:hAnsi="Times New Roman"/>
                <w:color w:val="000000"/>
                <w:sz w:val="18"/>
                <w:szCs w:val="18"/>
                <w:lang w:val="en-US" w:eastAsia="zh-CN"/>
              </w:rPr>
              <w:t>污</w:t>
            </w:r>
            <w:r>
              <w:rPr>
                <w:rFonts w:hint="eastAsia" w:ascii="Times New Roman" w:hAnsi="Times New Roman"/>
                <w:color w:val="000000"/>
                <w:sz w:val="18"/>
                <w:szCs w:val="18"/>
                <w:lang w:eastAsia="zh-CN"/>
              </w:rPr>
              <w:t>水经过化粪池</w:t>
            </w:r>
            <w:r>
              <w:rPr>
                <w:rFonts w:hint="eastAsia" w:ascii="Times New Roman" w:hAnsi="Times New Roman"/>
                <w:color w:val="000000"/>
                <w:sz w:val="18"/>
                <w:szCs w:val="18"/>
                <w:lang w:val="en-US" w:eastAsia="zh-CN"/>
              </w:rPr>
              <w:t>（2m3）</w:t>
            </w:r>
            <w:r>
              <w:rPr>
                <w:rFonts w:hint="eastAsia" w:ascii="Times New Roman" w:hAnsi="Times New Roman"/>
                <w:color w:val="000000"/>
                <w:sz w:val="18"/>
                <w:szCs w:val="18"/>
                <w:lang w:eastAsia="zh-CN"/>
              </w:rPr>
              <w:t>处理后作为肥</w:t>
            </w:r>
            <w:r>
              <w:rPr>
                <w:rFonts w:hint="eastAsia" w:ascii="Times New Roman" w:hAnsi="Times New Roman"/>
                <w:color w:val="000000"/>
                <w:sz w:val="18"/>
                <w:szCs w:val="18"/>
                <w:lang w:val="en-US" w:eastAsia="zh-CN"/>
              </w:rPr>
              <w:t>田</w:t>
            </w:r>
            <w:r>
              <w:rPr>
                <w:rFonts w:hint="eastAsia" w:ascii="Times New Roman" w:hAnsi="Times New Roman"/>
                <w:color w:val="000000"/>
                <w:sz w:val="18"/>
                <w:szCs w:val="18"/>
                <w:lang w:val="en-GB"/>
              </w:rPr>
              <w:t>。</w:t>
            </w:r>
            <w:r>
              <w:rPr>
                <w:rFonts w:hint="eastAsia" w:ascii="Times New Roman" w:hAnsi="Times New Roman"/>
                <w:color w:val="000000"/>
                <w:sz w:val="18"/>
                <w:szCs w:val="18"/>
                <w:lang w:eastAsia="zh-CN"/>
              </w:rPr>
              <w:t>项目无废水排放。</w:t>
            </w:r>
          </w:p>
          <w:p w14:paraId="617A7B12">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4.噪声：营运期噪声主要为风电机组运行噪声。本项目风力发电机制造厂商通过采用隔音防震型电机、减速叶片和阻尼材料减振隔声等措施对风电机噪声进行控制，可有效降低噪声。本项目风机500m范围内无声环境敏感点，对周围声环境影响较小。</w:t>
            </w:r>
          </w:p>
          <w:p w14:paraId="5DD85356">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4.固体废物：</w:t>
            </w:r>
            <w:r>
              <w:rPr>
                <w:rFonts w:hint="eastAsia" w:ascii="Times New Roman" w:hAnsi="Times New Roman"/>
                <w:color w:val="000000"/>
                <w:sz w:val="18"/>
                <w:szCs w:val="18"/>
                <w:lang w:eastAsia="zh-CN"/>
              </w:rPr>
              <w:t>营运期固体废弃物主要为废变压器油、废润滑油、废蓄电池等，在</w:t>
            </w:r>
            <w:r>
              <w:rPr>
                <w:rFonts w:hint="eastAsia" w:ascii="Times New Roman" w:hAnsi="Times New Roman"/>
                <w:color w:val="000000"/>
                <w:sz w:val="18"/>
                <w:szCs w:val="18"/>
                <w:lang w:val="en-US" w:eastAsia="zh-CN"/>
              </w:rPr>
              <w:t>升压站</w:t>
            </w:r>
            <w:r>
              <w:rPr>
                <w:rFonts w:hint="eastAsia" w:ascii="Times New Roman" w:hAnsi="Times New Roman"/>
                <w:color w:val="000000"/>
                <w:sz w:val="18"/>
                <w:szCs w:val="18"/>
                <w:lang w:eastAsia="zh-CN"/>
              </w:rPr>
              <w:t>危废暂存间分类暂存后，定期交由就近有资质</w:t>
            </w:r>
            <w:r>
              <w:rPr>
                <w:rFonts w:hint="eastAsia" w:ascii="Times New Roman" w:hAnsi="Times New Roman"/>
                <w:color w:val="000000"/>
                <w:sz w:val="18"/>
                <w:szCs w:val="18"/>
                <w:lang w:val="en-US" w:eastAsia="zh-CN"/>
              </w:rPr>
              <w:t>危废单位进行安全处置。一般固体废物暂存应满足《一般工业固体废物贮存和填埋污染控制标准》（GB18599 -2020）要求，危险废物暂存应满足《危险废物贮存污染控制标准》（GB18597-2023）要求。</w:t>
            </w:r>
          </w:p>
          <w:p w14:paraId="0AB088C0">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bookmarkStart w:id="0" w:name="_GoBack"/>
            <w:bookmarkEnd w:id="0"/>
          </w:p>
        </w:tc>
      </w:tr>
    </w:tbl>
    <w:p w14:paraId="4C4935B6">
      <w:pPr>
        <w:pStyle w:val="14"/>
        <w:widowControl/>
        <w:spacing w:beforeAutospacing="0" w:afterAutospacing="0" w:line="300" w:lineRule="atLeast"/>
        <w:jc w:val="center"/>
        <w:rPr>
          <w:rFonts w:ascii="Times New Roman" w:hAnsi="Times New Roman"/>
          <w:color w:val="00000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9"/>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BjYTBhZThlNzU1YzE4MTAxZTVkY2IyYzEzZGQxMDYifQ=="/>
  </w:docVars>
  <w:rsids>
    <w:rsidRoot w:val="00D553BD"/>
    <w:rsid w:val="00021B7D"/>
    <w:rsid w:val="00051C04"/>
    <w:rsid w:val="000934E9"/>
    <w:rsid w:val="000C13E5"/>
    <w:rsid w:val="00191A76"/>
    <w:rsid w:val="00272D6F"/>
    <w:rsid w:val="002932FD"/>
    <w:rsid w:val="002D40B0"/>
    <w:rsid w:val="002F348A"/>
    <w:rsid w:val="00346272"/>
    <w:rsid w:val="0034687D"/>
    <w:rsid w:val="00351DEE"/>
    <w:rsid w:val="00424CC3"/>
    <w:rsid w:val="005227EA"/>
    <w:rsid w:val="00524ECE"/>
    <w:rsid w:val="0052598B"/>
    <w:rsid w:val="005901A6"/>
    <w:rsid w:val="005C56DB"/>
    <w:rsid w:val="00612AF7"/>
    <w:rsid w:val="00613302"/>
    <w:rsid w:val="0071483A"/>
    <w:rsid w:val="007F6C56"/>
    <w:rsid w:val="00836AE6"/>
    <w:rsid w:val="00854859"/>
    <w:rsid w:val="00896DDB"/>
    <w:rsid w:val="008F6A17"/>
    <w:rsid w:val="00B101CB"/>
    <w:rsid w:val="00B21E60"/>
    <w:rsid w:val="00B72CC9"/>
    <w:rsid w:val="00B72D3B"/>
    <w:rsid w:val="00C53645"/>
    <w:rsid w:val="00CE0507"/>
    <w:rsid w:val="00CE3621"/>
    <w:rsid w:val="00D553BD"/>
    <w:rsid w:val="00D93271"/>
    <w:rsid w:val="00DB2F10"/>
    <w:rsid w:val="00E12EFF"/>
    <w:rsid w:val="00EB48B5"/>
    <w:rsid w:val="00FA45AC"/>
    <w:rsid w:val="00FB5EA4"/>
    <w:rsid w:val="00FD244D"/>
    <w:rsid w:val="0751417D"/>
    <w:rsid w:val="09A15DC1"/>
    <w:rsid w:val="09E6605D"/>
    <w:rsid w:val="0B652750"/>
    <w:rsid w:val="126D0F3F"/>
    <w:rsid w:val="13FD1DAB"/>
    <w:rsid w:val="14A55308"/>
    <w:rsid w:val="151C4634"/>
    <w:rsid w:val="159D7523"/>
    <w:rsid w:val="21986466"/>
    <w:rsid w:val="23BC64AB"/>
    <w:rsid w:val="28B71175"/>
    <w:rsid w:val="29F8185A"/>
    <w:rsid w:val="2ADD44ED"/>
    <w:rsid w:val="2C0676F0"/>
    <w:rsid w:val="2DC302F1"/>
    <w:rsid w:val="2DC86D5C"/>
    <w:rsid w:val="31811015"/>
    <w:rsid w:val="323D7466"/>
    <w:rsid w:val="383B30F1"/>
    <w:rsid w:val="3A25474B"/>
    <w:rsid w:val="3A555B39"/>
    <w:rsid w:val="3B0E64B4"/>
    <w:rsid w:val="3BCC5E8A"/>
    <w:rsid w:val="3E6B2E9F"/>
    <w:rsid w:val="3FAE1904"/>
    <w:rsid w:val="40EC2972"/>
    <w:rsid w:val="44D13161"/>
    <w:rsid w:val="46CD11F9"/>
    <w:rsid w:val="47A4392B"/>
    <w:rsid w:val="4AA43B88"/>
    <w:rsid w:val="4C7835CC"/>
    <w:rsid w:val="4DB91C07"/>
    <w:rsid w:val="4E4D6E3D"/>
    <w:rsid w:val="4EF92D15"/>
    <w:rsid w:val="4F2D1826"/>
    <w:rsid w:val="506B2B73"/>
    <w:rsid w:val="51C957E0"/>
    <w:rsid w:val="52376698"/>
    <w:rsid w:val="56C81A1D"/>
    <w:rsid w:val="56E408B3"/>
    <w:rsid w:val="57AC4DC9"/>
    <w:rsid w:val="58604C6D"/>
    <w:rsid w:val="591254C2"/>
    <w:rsid w:val="5AC029C4"/>
    <w:rsid w:val="5F050D4A"/>
    <w:rsid w:val="62712768"/>
    <w:rsid w:val="664F2219"/>
    <w:rsid w:val="6A074AD5"/>
    <w:rsid w:val="6CD213AC"/>
    <w:rsid w:val="6FE633A9"/>
    <w:rsid w:val="73257025"/>
    <w:rsid w:val="75B96372"/>
    <w:rsid w:val="78422CCE"/>
    <w:rsid w:val="78E76149"/>
    <w:rsid w:val="79F92000"/>
    <w:rsid w:val="7A76041E"/>
    <w:rsid w:val="7DD32B3D"/>
    <w:rsid w:val="7FCE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Autospacing="1" w:afterAutospacing="1"/>
      <w:jc w:val="center"/>
      <w:outlineLvl w:val="0"/>
    </w:pPr>
    <w:rPr>
      <w:b/>
      <w:kern w:val="44"/>
      <w:sz w:val="44"/>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Times New Roman"/>
      <w:b/>
      <w:kern w:val="0"/>
      <w:sz w:val="24"/>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unhideWhenUsed/>
    <w:qFormat/>
    <w:uiPriority w:val="99"/>
    <w:pPr>
      <w:autoSpaceDE w:val="0"/>
      <w:autoSpaceDN w:val="0"/>
    </w:pPr>
    <w:rPr>
      <w:rFonts w:hint="eastAsia" w:ascii="仿宋_GB2312" w:hAnsi="仿宋_GB2312" w:eastAsia="仿宋_GB2312" w:cs="Times New Roman"/>
      <w:color w:val="000000"/>
      <w:sz w:val="24"/>
    </w:rPr>
  </w:style>
  <w:style w:type="paragraph" w:customStyle="1" w:styleId="3">
    <w:name w:val="纯文本1"/>
    <w:basedOn w:val="1"/>
    <w:qFormat/>
    <w:uiPriority w:val="0"/>
    <w:pPr>
      <w:adjustRightInd w:val="0"/>
    </w:pPr>
    <w:rPr>
      <w:rFonts w:ascii="宋体" w:hAnsi="Courier New"/>
    </w:rPr>
  </w:style>
  <w:style w:type="paragraph" w:styleId="6">
    <w:name w:val="index 5"/>
    <w:basedOn w:val="1"/>
    <w:next w:val="1"/>
    <w:semiHidden/>
    <w:qFormat/>
    <w:uiPriority w:val="0"/>
    <w:pPr>
      <w:ind w:left="1680"/>
    </w:pPr>
    <w:rPr>
      <w:rFonts w:eastAsia="Times New Roman"/>
      <w:sz w:val="32"/>
    </w:rPr>
  </w:style>
  <w:style w:type="paragraph" w:styleId="7">
    <w:name w:val="annotation text"/>
    <w:basedOn w:val="1"/>
    <w:qFormat/>
    <w:uiPriority w:val="0"/>
    <w:pPr>
      <w:jc w:val="left"/>
    </w:pPr>
    <w:rPr>
      <w:kern w:val="0"/>
      <w:sz w:val="24"/>
      <w:szCs w:val="20"/>
    </w:rPr>
  </w:style>
  <w:style w:type="paragraph" w:styleId="8">
    <w:name w:val="Body Text"/>
    <w:basedOn w:val="1"/>
    <w:next w:val="9"/>
    <w:qFormat/>
    <w:uiPriority w:val="0"/>
    <w:rPr>
      <w:b/>
      <w:bCs/>
      <w:sz w:val="24"/>
    </w:rPr>
  </w:style>
  <w:style w:type="paragraph" w:styleId="9">
    <w:name w:val="Body Text 2"/>
    <w:basedOn w:val="1"/>
    <w:qFormat/>
    <w:uiPriority w:val="99"/>
    <w:pPr>
      <w:numPr>
        <w:ilvl w:val="0"/>
        <w:numId w:val="1"/>
      </w:numPr>
      <w:spacing w:beforeLines="50" w:line="336" w:lineRule="auto"/>
      <w:ind w:left="0" w:firstLine="0"/>
    </w:pPr>
    <w:rPr>
      <w:rFonts w:ascii="Times New Roman" w:hAnsi="Times New Roman" w:eastAsia="仿宋_GB2312" w:cs="Times New Roman"/>
      <w:kern w:val="0"/>
      <w:lang w:val="en-GB" w:eastAsia="en-US"/>
    </w:rPr>
  </w:style>
  <w:style w:type="paragraph" w:styleId="10">
    <w:name w:val="Body Text Indent"/>
    <w:basedOn w:val="1"/>
    <w:qFormat/>
    <w:uiPriority w:val="0"/>
    <w:pPr>
      <w:ind w:left="420" w:leftChars="200"/>
    </w:pPr>
  </w:style>
  <w:style w:type="paragraph" w:styleId="11">
    <w:name w:val="Block Text"/>
    <w:basedOn w:val="1"/>
    <w:next w:val="1"/>
    <w:qFormat/>
    <w:uiPriority w:val="0"/>
    <w:pPr>
      <w:spacing w:line="320" w:lineRule="exact"/>
      <w:ind w:left="113" w:right="113"/>
      <w:jc w:val="center"/>
    </w:pPr>
    <w:rPr>
      <w:b/>
      <w:sz w:val="13"/>
      <w:szCs w:val="15"/>
    </w:rPr>
  </w:style>
  <w:style w:type="paragraph" w:styleId="12">
    <w:name w:val="footer"/>
    <w:basedOn w:val="1"/>
    <w:link w:val="22"/>
    <w:qFormat/>
    <w:uiPriority w:val="0"/>
    <w:pPr>
      <w:tabs>
        <w:tab w:val="center" w:pos="4153"/>
        <w:tab w:val="right" w:pos="8306"/>
      </w:tabs>
      <w:snapToGrid w:val="0"/>
      <w:jc w:val="left"/>
    </w:pPr>
    <w:rPr>
      <w:sz w:val="18"/>
      <w:szCs w:val="18"/>
    </w:rPr>
  </w:style>
  <w:style w:type="paragraph" w:styleId="13">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w:basedOn w:val="8"/>
    <w:next w:val="16"/>
    <w:qFormat/>
    <w:uiPriority w:val="0"/>
    <w:pPr>
      <w:spacing w:after="120"/>
      <w:ind w:firstLine="420" w:firstLineChars="100"/>
    </w:pPr>
    <w:rPr>
      <w:sz w:val="21"/>
    </w:rPr>
  </w:style>
  <w:style w:type="paragraph" w:styleId="16">
    <w:name w:val="Body Text First Indent 2"/>
    <w:basedOn w:val="10"/>
    <w:qFormat/>
    <w:uiPriority w:val="0"/>
    <w:pPr>
      <w:ind w:firstLine="200" w:firstLineChars="200"/>
    </w:pPr>
    <w:rPr>
      <w:szCs w:val="21"/>
    </w:r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character" w:customStyle="1" w:styleId="21">
    <w:name w:val="页眉 Char"/>
    <w:basedOn w:val="18"/>
    <w:link w:val="13"/>
    <w:qFormat/>
    <w:uiPriority w:val="0"/>
    <w:rPr>
      <w:rFonts w:asciiTheme="minorHAnsi" w:hAnsiTheme="minorHAnsi" w:eastAsiaTheme="minorEastAsia" w:cstheme="minorBidi"/>
      <w:kern w:val="2"/>
      <w:sz w:val="18"/>
      <w:szCs w:val="18"/>
    </w:rPr>
  </w:style>
  <w:style w:type="character" w:customStyle="1" w:styleId="22">
    <w:name w:val="页脚 Char"/>
    <w:basedOn w:val="18"/>
    <w:link w:val="12"/>
    <w:qFormat/>
    <w:uiPriority w:val="0"/>
    <w:rPr>
      <w:rFonts w:asciiTheme="minorHAnsi" w:hAnsiTheme="minorHAnsi" w:eastAsiaTheme="minorEastAsia" w:cstheme="minorBidi"/>
      <w:kern w:val="2"/>
      <w:sz w:val="18"/>
      <w:szCs w:val="18"/>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1194</Words>
  <Characters>1343</Characters>
  <Lines>1</Lines>
  <Paragraphs>2</Paragraphs>
  <TotalTime>0</TotalTime>
  <ScaleCrop>false</ScaleCrop>
  <LinksUpToDate>false</LinksUpToDate>
  <CharactersWithSpaces>1350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墨染秋凉</cp:lastModifiedBy>
  <dcterms:modified xsi:type="dcterms:W3CDTF">2026-06-23T03:19:22Z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8BE8F78994014D048921BA9B8DEF1A8D</vt:lpwstr>
  </property>
  <property fmtid="{D5CDD505-2E9C-101B-9397-08002B2CF9AE}" pid="4" name="KSOTemplateDocerSaveRecord">
    <vt:lpwstr>eyJoZGlkIjoiMmQxN2E3NzBjNWUyMGQyNjllMzdmZDlhNTNkMGIyNzMiLCJ1c2VySWQiOiI0MzY3NTg1OTAifQ==</vt:lpwstr>
  </property>
</Properties>
</file>