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2E6E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E3C2042">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豫0526环罚决字〔2025〕92号</w:t>
      </w:r>
      <w:bookmarkEnd w:id="0"/>
      <w:r>
        <w:rPr>
          <w:rFonts w:hint="default" w:ascii="FZKTK--GBK1-0" w:hAnsi="FZKTK--GBK1-0" w:eastAsia="FZKTK--GBK1-0" w:cs="FZKTK--GBK1-0"/>
          <w:color w:val="000000"/>
          <w:kern w:val="0"/>
          <w:sz w:val="32"/>
          <w:szCs w:val="32"/>
          <w:lang w:val="en-US" w:eastAsia="zh-CN" w:bidi="ar"/>
        </w:rPr>
        <w:t xml:space="preserve"> </w:t>
      </w:r>
    </w:p>
    <w:p w14:paraId="70E111B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滑县海会建材有限公司： </w:t>
      </w:r>
    </w:p>
    <w:p w14:paraId="1E94640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91410526MA3XDXT83X </w:t>
      </w:r>
    </w:p>
    <w:p w14:paraId="2F4FB98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地址：安阳市滑县四间房乡赵拐村东头 </w:t>
      </w:r>
    </w:p>
    <w:p w14:paraId="17DE4E3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法定代表人：聂世伟</w:t>
      </w:r>
      <w:r>
        <w:rPr>
          <w:rFonts w:hint="default" w:ascii="Times New Roman" w:hAnsi="Times New Roman" w:eastAsia="宋体" w:cs="Times New Roman"/>
          <w:color w:val="000000"/>
          <w:kern w:val="0"/>
          <w:sz w:val="32"/>
          <w:szCs w:val="32"/>
          <w:lang w:val="en-US" w:eastAsia="zh-CN" w:bidi="ar"/>
        </w:rPr>
        <w:t xml:space="preserve"> </w:t>
      </w:r>
    </w:p>
    <w:p w14:paraId="420DBD5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57D9E8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日现场检查时发现，你单位搅拌机正在卸料，搅拌机下方有车牌号为豫</w:t>
      </w:r>
      <w:r>
        <w:rPr>
          <w:rFonts w:hint="default" w:ascii="Times New Roman" w:hAnsi="Times New Roman" w:eastAsia="宋体" w:cs="Times New Roman"/>
          <w:color w:val="000000"/>
          <w:kern w:val="0"/>
          <w:sz w:val="32"/>
          <w:szCs w:val="32"/>
          <w:lang w:val="en-US" w:eastAsia="zh-CN" w:bidi="ar"/>
        </w:rPr>
        <w:t>JB9985</w:t>
      </w:r>
      <w:r>
        <w:rPr>
          <w:rFonts w:hint="eastAsia" w:ascii="仿宋" w:hAnsi="仿宋" w:eastAsia="仿宋" w:cs="仿宋"/>
          <w:color w:val="000000"/>
          <w:kern w:val="0"/>
          <w:sz w:val="32"/>
          <w:szCs w:val="32"/>
          <w:lang w:val="en-US" w:eastAsia="zh-CN" w:bidi="ar"/>
        </w:rPr>
        <w:t>的混凝土运输车正在装载成品混凝土，且混凝土存在外溢情况。经调查，你单位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日均存在生产作业情况。按照《安阳市生态环境保护委员会办公室关于实施重污染天气橙色预警（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日分别印发）要求，上述日期均属于重污染天气橙色预警（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年特殊时段应急减排“一企一策”实施方案》显示，你单位橙色预警下应急减排措施为：搅拌等涉气工序停产。你单位未按照规定及时启动重污染天气应急响应操作方案。 </w:t>
      </w:r>
    </w:p>
    <w:p w14:paraId="3437DBC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级响应）继续实施特别管控措施的通知》复印件，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078D88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年特殊时段应急减排“一企一策”实施方案》复印件，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日由滑县海会建材有限公司有限公司提供，证明相对人违法事实； </w:t>
      </w:r>
    </w:p>
    <w:p w14:paraId="4B68752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日由滑县海会建材有限公司提供，证明相对人身份； </w:t>
      </w:r>
    </w:p>
    <w:p w14:paraId="56C3A27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日由滑县海会建材有限公司提供，证明相对人管理类别、违法行为发生地点； </w:t>
      </w:r>
    </w:p>
    <w:p w14:paraId="70C2CB1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日由安阳市生态环境局滑县综合行政执法大队提供；工资表复印件，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日由滑县海会建材有限公司提供，证明企业规模； </w:t>
      </w:r>
    </w:p>
    <w:p w14:paraId="5C816D7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4DAD2A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B6A72C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104</w:t>
      </w:r>
      <w:r>
        <w:rPr>
          <w:rFonts w:hint="eastAsia" w:ascii="仿宋" w:hAnsi="仿宋" w:eastAsia="仿宋" w:cs="仿宋"/>
          <w:color w:val="000000"/>
          <w:kern w:val="0"/>
          <w:sz w:val="32"/>
          <w:szCs w:val="32"/>
          <w:lang w:val="en-US" w:eastAsia="zh-CN" w:bidi="ar"/>
        </w:rPr>
        <w:t xml:space="preserve">号），责令你单位按要求落实重污染天气橙色预警管控措施。 </w:t>
      </w:r>
    </w:p>
    <w:p w14:paraId="54F3FE1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日，根据责改要求，我局对你单位违法行为整改情况进行复查，你单位已按照规定启动重污染天气应急响应操作方案。 </w:t>
      </w:r>
    </w:p>
    <w:p w14:paraId="36EA7F2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88</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7F1369D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52D43D0">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740A709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52C111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个月以上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 </w:t>
      </w:r>
    </w:p>
    <w:p w14:paraId="1E393EEE">
      <w:pPr>
        <w:keepNext w:val="0"/>
        <w:keepLines w:val="0"/>
        <w:widowControl/>
        <w:suppressLineNumbers w:val="0"/>
        <w:jc w:val="left"/>
      </w:pPr>
      <w:r>
        <w:rPr>
          <w:rFonts w:hint="eastAsia" w:ascii="仿宋" w:hAnsi="仿宋" w:eastAsia="仿宋" w:cs="仿宋"/>
          <w:color w:val="000000"/>
          <w:kern w:val="0"/>
          <w:sz w:val="32"/>
          <w:szCs w:val="32"/>
          <w:lang w:val="en-US" w:eastAsia="zh-CN" w:bidi="ar"/>
        </w:rPr>
        <w:t>发生频次，内容：</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次以上，裁量等级：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[1,1,2,1,5,1,1,1]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15350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15350=10000+(30000-10000)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+2 </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 )/(5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鉴于你单位环保信用评价信用级别为警示，参照《河南省生态环境行政处罚裁量基准适用规则》第八条第五项：“生态环境行政处罚适用裁量基准确定处罚金额后，可以根据违法行为的性质、情节、危害后果等内容，综合考量，依照本规则（可以）不予处罚、从轻处罚、减轻处罚或者从重处罚。（五）从重处罚情形：</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、单位环保信用级别为警示或不良的；……对符合从重处罚情形的案件，可以在裁量基准确定罚款金额的基础上增加一定的百分值，但一般不超过</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，从重处罚后的罚款金额不得高于法定最高罚款金额。作出从重处罚决定的案件，应当在案卷中附具理由和证据材料。”的规定，自定义裁量金额：</w:t>
      </w:r>
      <w:r>
        <w:rPr>
          <w:rFonts w:hint="default" w:ascii="Times New Roman" w:hAnsi="Times New Roman" w:eastAsia="宋体" w:cs="Times New Roman"/>
          <w:color w:val="000000"/>
          <w:kern w:val="0"/>
          <w:sz w:val="32"/>
          <w:szCs w:val="32"/>
          <w:lang w:val="en-US" w:eastAsia="zh-CN" w:bidi="ar"/>
        </w:rPr>
        <w:t>+3070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18420</w:t>
      </w:r>
      <w:r>
        <w:rPr>
          <w:rFonts w:hint="eastAsia" w:ascii="仿宋" w:hAnsi="仿宋" w:eastAsia="仿宋" w:cs="仿宋"/>
          <w:color w:val="000000"/>
          <w:kern w:val="0"/>
          <w:sz w:val="32"/>
          <w:szCs w:val="32"/>
          <w:lang w:val="en-US" w:eastAsia="zh-CN" w:bidi="ar"/>
        </w:rPr>
        <w:t xml:space="preserve">元。 </w:t>
      </w:r>
    </w:p>
    <w:p w14:paraId="6FA482A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4DD47E8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壹万捌仟肆佰贰拾元整的行政处罚。 </w:t>
      </w:r>
    </w:p>
    <w:p w14:paraId="16E177F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0E6615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B9D5EE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2E3D685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D7248A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C1FBE4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3054C4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E153467">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B3D4CB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EBAF6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E3AC6"/>
    <w:rsid w:val="55CE3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2026-01-04T00:52:00Z</dcterms:created>
  <dc:creator>Administrator</dc:creator>
  <cp:lastModifiedBy>Administrator</cp:lastModifiedBy>
  <dcterms:modified xsi:type="dcterms:W3CDTF">2026-01-04T01:34:54Z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EDA4779423CE431B84D082C3BFE1E994_11</vt:lpwstr>
  </property>
  <property fmtid="{D5CDD505-2E9C-101B-9397-08002B2CF9AE}" pid="4" name="KSOTemplateDocerSaveRecord">
    <vt:lpwstr>eyJoZGlkIjoiZTIxN2YwZjg3Zjc3YWMwNzQ2Y2U3YTZhODA5NmVmOGQifQ==</vt:lpwstr>
  </property>
</Properties>
</file>