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滑县</w:t>
      </w: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审计局审计结果公告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eastAsia="宋体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年第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号</w:t>
      </w: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</w:pPr>
      <w:r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  <w:t>滑县公参民学校改革政策落实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</w:pPr>
      <w:r>
        <w:rPr>
          <w:rFonts w:hint="eastAsia" w:ascii="长城小标宋体" w:hAnsi="长城小标宋体" w:eastAsia="长城小标宋体" w:cs="长城小标宋体"/>
          <w:sz w:val="44"/>
          <w:szCs w:val="44"/>
          <w:lang w:val="en-US" w:eastAsia="zh-CN"/>
        </w:rPr>
        <w:t>专项审计调查结果</w:t>
      </w:r>
      <w:bookmarkStart w:id="0" w:name="_GoBack"/>
      <w:bookmarkEnd w:id="0"/>
    </w:p>
    <w:p>
      <w:pPr>
        <w:pStyle w:val="3"/>
        <w:ind w:left="0" w:leftChars="0" w:firstLine="0" w:firstLineChars="0"/>
        <w:rPr>
          <w:rFonts w:hint="eastAsia" w:eastAsia="仿宋_GB231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根据《中华人民共和国审计法》的规定，滑县审计局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自202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日，对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滑县教育局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相关学校公参民改革政策落实情况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进行了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专项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审计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调查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。现将审计调查结果公告如下：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被调查事项的基本情况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Cs w:val="2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滑县滑台高中创办于2020年8月，是一所全日制、寄宿制普通民办高级中学。前身是滑县第一高级中学，2019年9月第一高级中学从老校区迁出后，由滑县文化产业投资有限责任公司成立子公司，变更为滑县一中实验学校，并委托滑县第一高级中学共同培养。2022年8月更名为滑县滑台高中。学校占地面积约200亩，建筑面积5.1万多平方米，绿化面积 67800 平方米。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现有在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校学生 2368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名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，教职工174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名。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学校领导层设有校长一人，副校长4人，学校内设办公室、学生处、教务处、教科室、总务处、综治办、团委、工会8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个部门。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二、审计调查评价意见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审计调查结果表明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，滑县教育局及相关学校能够认真落实公参民学校改革政策，但审计调查也发现，滑县滑台高中在国有资产使用、教师资源配置等方面存在问题与不足，需要加以改善和完善。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审计调查发现的主要问题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1.滑县第一高级中学老校区资产出租管理不规范。   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2.滑县滑台高中应缴未缴租金。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审计调查建议</w:t>
      </w:r>
    </w:p>
    <w:p>
      <w:pPr>
        <w:ind w:firstLine="640" w:firstLineChars="200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1.滑台高中按照合同规定及时上缴租金。</w:t>
      </w:r>
    </w:p>
    <w:p>
      <w:pPr>
        <w:ind w:firstLine="640" w:firstLineChars="200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2.建立完善制度，规范资产出租管理。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五、审计调查发现问题的整改情况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针对发现的审计问题，滑县审计局已依法出具了专项审计调查报告，并提出了处理意见和整改建议。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目前，滑县滑台高中已经上缴租金，并已完善相关制度，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规范合同签，具体整改结果由滑县滑台高中向社会公告。              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445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2tWtSdAAAAAD&#10;AQAADwAAAAAAAAABACAAAAAiAAAAZHJzL2Rvd25yZXYueG1sUEsBAhQAFAAAAAgAh07iQDULaP6y&#10;AQAASQ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MDVhNWQwNmJkYmEyOTg1MDZmN2VmYmEwYTFjNGMifQ=="/>
  </w:docVars>
  <w:rsids>
    <w:rsidRoot w:val="15E77F1B"/>
    <w:rsid w:val="008C3CB1"/>
    <w:rsid w:val="01A4698D"/>
    <w:rsid w:val="01C40DDD"/>
    <w:rsid w:val="039833D3"/>
    <w:rsid w:val="064E0167"/>
    <w:rsid w:val="07442078"/>
    <w:rsid w:val="0AA43C12"/>
    <w:rsid w:val="0B462863"/>
    <w:rsid w:val="0B4B5CE1"/>
    <w:rsid w:val="0D86163D"/>
    <w:rsid w:val="0E4746A7"/>
    <w:rsid w:val="10914580"/>
    <w:rsid w:val="14EF051F"/>
    <w:rsid w:val="15E77F1B"/>
    <w:rsid w:val="177F0CEB"/>
    <w:rsid w:val="1800023D"/>
    <w:rsid w:val="1E8F40C9"/>
    <w:rsid w:val="215B0355"/>
    <w:rsid w:val="22B61C24"/>
    <w:rsid w:val="2865079A"/>
    <w:rsid w:val="2E707EE7"/>
    <w:rsid w:val="2F8512FC"/>
    <w:rsid w:val="30DA1E47"/>
    <w:rsid w:val="34AE06E2"/>
    <w:rsid w:val="35605657"/>
    <w:rsid w:val="391F110D"/>
    <w:rsid w:val="3A044E37"/>
    <w:rsid w:val="3C577B7C"/>
    <w:rsid w:val="3F406FEE"/>
    <w:rsid w:val="3FEC682B"/>
    <w:rsid w:val="44006D4C"/>
    <w:rsid w:val="44B37349"/>
    <w:rsid w:val="4554734F"/>
    <w:rsid w:val="4D9760D1"/>
    <w:rsid w:val="57412909"/>
    <w:rsid w:val="57421B0C"/>
    <w:rsid w:val="587B479B"/>
    <w:rsid w:val="58F14598"/>
    <w:rsid w:val="58FB0660"/>
    <w:rsid w:val="59675221"/>
    <w:rsid w:val="5DCF7A63"/>
    <w:rsid w:val="5EDC5CD9"/>
    <w:rsid w:val="62652744"/>
    <w:rsid w:val="640043E3"/>
    <w:rsid w:val="6406400A"/>
    <w:rsid w:val="64371EBE"/>
    <w:rsid w:val="66682803"/>
    <w:rsid w:val="67ED11DA"/>
    <w:rsid w:val="68030A35"/>
    <w:rsid w:val="68C74F92"/>
    <w:rsid w:val="6904039B"/>
    <w:rsid w:val="69F0453B"/>
    <w:rsid w:val="6A3823D3"/>
    <w:rsid w:val="6B2F7D93"/>
    <w:rsid w:val="6C947F50"/>
    <w:rsid w:val="6E0A419F"/>
    <w:rsid w:val="6FCC03A0"/>
    <w:rsid w:val="71A87F57"/>
    <w:rsid w:val="725D6F93"/>
    <w:rsid w:val="756B1EDB"/>
    <w:rsid w:val="772A140E"/>
    <w:rsid w:val="788F2A26"/>
    <w:rsid w:val="79262C4E"/>
    <w:rsid w:val="7D6A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600" w:lineRule="exact"/>
      <w:outlineLvl w:val="0"/>
    </w:pPr>
    <w:rPr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样式1"/>
    <w:basedOn w:val="1"/>
    <w:qFormat/>
    <w:uiPriority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702</Characters>
  <Lines>0</Lines>
  <Paragraphs>0</Paragraphs>
  <TotalTime>3</TotalTime>
  <ScaleCrop>false</ScaleCrop>
  <LinksUpToDate>false</LinksUpToDate>
  <CharactersWithSpaces>733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2023-12-25T01:55:00Z</dcterms:created>
  <dc:creator>阳</dc:creator>
  <cp:lastModifiedBy>fg</cp:lastModifiedBy>
  <dcterms:modified xsi:type="dcterms:W3CDTF">2025-12-28T07:50:13Z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FE551A2A0491474FB4AFFA3BF1F4F294_13</vt:lpwstr>
  </property>
  <property fmtid="{D5CDD505-2E9C-101B-9397-08002B2CF9AE}" pid="4" name="KSOTemplateDocerSaveRecord">
    <vt:lpwstr>eyJoZGlkIjoiODI3NDE3MWExYzQ4OTAzYTA4OTllMzVjZmFiOWJiYmYiLCJ1c2VySWQiOiI1MDU3MDU0MTgifQ==</vt:lpwstr>
  </property>
</Properties>
</file>