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Fonts w:hint="eastAsia" w:ascii="方正小标宋_GBK" w:hAnsi="方正小标宋_GBK" w:eastAsia="方正小标宋_GBK" w:cs="方正小标宋_GBK"/>
          <w:color w:val="000000"/>
          <w:kern w:val="0"/>
          <w:sz w:val="43"/>
          <w:szCs w:val="43"/>
          <w:lang w:val="en-US" w:eastAsia="zh-CN" w:bidi="ar"/>
        </w:rPr>
        <w:t>滑县</w:t>
      </w:r>
      <w:r>
        <w:rPr>
          <w:rFonts w:ascii="方正小标宋_GBK" w:hAnsi="方正小标宋_GBK" w:eastAsia="方正小标宋_GBK" w:cs="方正小标宋_GBK"/>
          <w:color w:val="000000"/>
          <w:kern w:val="0"/>
          <w:sz w:val="43"/>
          <w:szCs w:val="43"/>
          <w:lang w:val="en-US" w:eastAsia="zh-CN" w:bidi="ar"/>
        </w:rPr>
        <w:t>审计局审计结果公告</w:t>
      </w:r>
    </w:p>
    <w:p>
      <w:pPr>
        <w:keepNext w:val="0"/>
        <w:keepLines w:val="0"/>
        <w:widowControl/>
        <w:suppressLineNumbers w:val="0"/>
        <w:ind w:firstLine="3100" w:firstLineChars="1000"/>
        <w:jc w:val="both"/>
        <w:rPr>
          <w:rFonts w:hint="eastAsia" w:ascii="楷体" w:hAnsi="楷体" w:eastAsia="楷体" w:cs="楷体"/>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202</w:t>
      </w:r>
      <w:r>
        <w:rPr>
          <w:rFonts w:hint="eastAsia" w:eastAsia="宋体" w:cs="Times New Roman"/>
          <w:color w:val="000000"/>
          <w:kern w:val="0"/>
          <w:sz w:val="31"/>
          <w:szCs w:val="31"/>
          <w:lang w:val="en-US" w:eastAsia="zh-CN" w:bidi="ar"/>
        </w:rPr>
        <w:t>5</w:t>
      </w:r>
      <w:r>
        <w:rPr>
          <w:rFonts w:hint="eastAsia" w:ascii="楷体" w:hAnsi="楷体" w:eastAsia="楷体" w:cs="楷体"/>
          <w:color w:val="000000"/>
          <w:kern w:val="0"/>
          <w:sz w:val="31"/>
          <w:szCs w:val="31"/>
          <w:lang w:val="en-US" w:eastAsia="zh-CN" w:bidi="ar"/>
        </w:rPr>
        <w:t>年第</w:t>
      </w:r>
      <w:r>
        <w:rPr>
          <w:rFonts w:hint="eastAsia" w:eastAsia="宋体" w:cs="Times New Roman"/>
          <w:color w:val="000000"/>
          <w:kern w:val="0"/>
          <w:sz w:val="31"/>
          <w:szCs w:val="31"/>
          <w:lang w:val="en-US" w:eastAsia="zh-CN" w:bidi="ar"/>
        </w:rPr>
        <w:t>4</w:t>
      </w:r>
      <w:r>
        <w:rPr>
          <w:rFonts w:hint="eastAsia" w:ascii="楷体" w:hAnsi="楷体" w:eastAsia="楷体" w:cs="楷体"/>
          <w:color w:val="000000"/>
          <w:kern w:val="0"/>
          <w:sz w:val="31"/>
          <w:szCs w:val="31"/>
          <w:lang w:val="en-US" w:eastAsia="zh-CN" w:bidi="ar"/>
        </w:rPr>
        <w:t>号</w:t>
      </w:r>
    </w:p>
    <w:p>
      <w:pPr>
        <w:pStyle w:val="3"/>
        <w:rPr>
          <w:rFonts w:hint="eastAsia" w:ascii="楷体" w:hAnsi="楷体" w:eastAsia="楷体" w:cs="楷体"/>
          <w:color w:val="000000"/>
          <w:kern w:val="0"/>
          <w:sz w:val="31"/>
          <w:szCs w:val="31"/>
          <w:lang w:val="en-US" w:eastAsia="zh-CN" w:bidi="ar"/>
        </w:rPr>
      </w:pPr>
    </w:p>
    <w:p>
      <w:pPr>
        <w:widowControl w:val="0"/>
        <w:wordWrap/>
        <w:adjustRightInd/>
        <w:snapToGrid/>
        <w:spacing w:before="0" w:after="0" w:line="580" w:lineRule="exact"/>
        <w:ind w:right="0"/>
        <w:jc w:val="center"/>
        <w:textAlignment w:val="auto"/>
        <w:outlineLvl w:val="9"/>
        <w:rPr>
          <w:rFonts w:hint="eastAsia" w:ascii="长城小标宋体" w:hAnsi="长城小标宋体" w:eastAsia="长城小标宋体" w:cs="长城小标宋体"/>
          <w:sz w:val="44"/>
          <w:szCs w:val="44"/>
          <w:lang w:val="en-US" w:eastAsia="zh-CN"/>
        </w:rPr>
      </w:pPr>
      <w:r>
        <w:rPr>
          <w:rFonts w:hint="eastAsia" w:ascii="长城小标宋体" w:hAnsi="长城小标宋体" w:eastAsia="长城小标宋体" w:cs="长城小标宋体"/>
          <w:sz w:val="44"/>
          <w:szCs w:val="44"/>
          <w:lang w:val="en-US" w:eastAsia="zh-CN"/>
        </w:rPr>
        <w:t>滑县医疗保障局2024年度预算执行和其他</w:t>
      </w:r>
    </w:p>
    <w:p>
      <w:pPr>
        <w:widowControl w:val="0"/>
        <w:wordWrap/>
        <w:adjustRightInd/>
        <w:snapToGrid/>
        <w:spacing w:before="0" w:after="0" w:line="580" w:lineRule="exact"/>
        <w:ind w:right="0"/>
        <w:jc w:val="center"/>
        <w:textAlignment w:val="auto"/>
        <w:outlineLvl w:val="9"/>
        <w:rPr>
          <w:rFonts w:hint="eastAsia" w:ascii="长城小标宋体" w:hAnsi="长城小标宋体" w:eastAsia="长城小标宋体" w:cs="长城小标宋体"/>
          <w:sz w:val="44"/>
          <w:szCs w:val="44"/>
          <w:lang w:val="en-US" w:eastAsia="zh-CN"/>
        </w:rPr>
      </w:pPr>
      <w:r>
        <w:rPr>
          <w:rFonts w:hint="eastAsia" w:ascii="长城小标宋体" w:hAnsi="长城小标宋体" w:eastAsia="长城小标宋体" w:cs="长城小标宋体"/>
          <w:sz w:val="44"/>
          <w:szCs w:val="44"/>
          <w:lang w:val="en-US" w:eastAsia="zh-CN"/>
        </w:rPr>
        <w:t>财政收支情况审计结果</w:t>
      </w:r>
    </w:p>
    <w:p>
      <w:pPr>
        <w:widowControl w:val="0"/>
        <w:wordWrap/>
        <w:adjustRightInd/>
        <w:snapToGrid/>
        <w:spacing w:before="0" w:after="0" w:line="580" w:lineRule="exact"/>
        <w:ind w:right="0"/>
        <w:jc w:val="center"/>
        <w:textAlignment w:val="auto"/>
        <w:outlineLvl w:val="9"/>
        <w:rPr>
          <w:rFonts w:hint="eastAsia" w:ascii="长城小标宋体" w:hAnsi="长城小标宋体" w:eastAsia="长城小标宋体" w:cs="长城小标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 w:hAnsi="仿宋" w:eastAsia="仿宋" w:cs="仿宋"/>
          <w:color w:val="auto"/>
          <w:sz w:val="32"/>
        </w:rPr>
      </w:pPr>
      <w:r>
        <w:rPr>
          <w:rFonts w:hint="eastAsia" w:ascii="仿宋" w:hAnsi="仿宋" w:eastAsia="仿宋" w:cs="仿宋"/>
          <w:color w:val="auto"/>
          <w:sz w:val="32"/>
          <w:szCs w:val="32"/>
          <w:lang w:val="en-US" w:eastAsia="zh-CN"/>
        </w:rPr>
        <w:t>根据《中华人民共和国审计法》的规定，滑县审计局</w:t>
      </w:r>
      <w:r>
        <w:rPr>
          <w:rFonts w:hint="eastAsia" w:ascii="仿宋" w:hAnsi="仿宋" w:eastAsia="仿宋" w:cs="仿宋"/>
          <w:sz w:val="32"/>
          <w:szCs w:val="32"/>
        </w:rPr>
        <w:t>自</w:t>
      </w:r>
      <w:r>
        <w:rPr>
          <w:rFonts w:hint="eastAsia" w:ascii="仿宋" w:hAnsi="仿宋" w:eastAsia="仿宋" w:cs="仿宋"/>
          <w:color w:val="auto"/>
          <w:sz w:val="32"/>
          <w:szCs w:val="32"/>
          <w:lang w:val="en-US" w:eastAsia="zh-CN"/>
        </w:rPr>
        <w:t>2025年3月20日至5月27日</w:t>
      </w:r>
      <w:r>
        <w:rPr>
          <w:rFonts w:hint="eastAsia" w:ascii="仿宋" w:hAnsi="仿宋" w:eastAsia="仿宋" w:cs="仿宋"/>
          <w:sz w:val="32"/>
          <w:szCs w:val="32"/>
        </w:rPr>
        <w:t>，对</w:t>
      </w:r>
      <w:r>
        <w:rPr>
          <w:rFonts w:hint="eastAsia" w:ascii="仿宋" w:hAnsi="仿宋" w:eastAsia="仿宋" w:cs="仿宋"/>
          <w:sz w:val="32"/>
          <w:szCs w:val="32"/>
          <w:lang w:val="en-US" w:eastAsia="zh-CN"/>
        </w:rPr>
        <w:t>滑县医疗保障局2024年度预算执行和其他财政收支情况</w:t>
      </w:r>
      <w:r>
        <w:rPr>
          <w:rFonts w:hint="eastAsia" w:ascii="仿宋" w:hAnsi="仿宋" w:eastAsia="仿宋" w:cs="仿宋"/>
          <w:sz w:val="32"/>
          <w:szCs w:val="32"/>
        </w:rPr>
        <w:t>进行了审计</w:t>
      </w:r>
      <w:r>
        <w:rPr>
          <w:rFonts w:hint="eastAsia" w:ascii="仿宋" w:hAnsi="仿宋" w:eastAsia="仿宋" w:cs="仿宋"/>
          <w:color w:val="auto"/>
          <w:sz w:val="32"/>
          <w:szCs w:val="32"/>
          <w:lang w:val="en-US" w:eastAsia="zh-CN"/>
        </w:rPr>
        <w:t>。现将审计结果公告</w:t>
      </w:r>
      <w:r>
        <w:rPr>
          <w:rFonts w:hint="eastAsia" w:ascii="仿宋" w:hAnsi="仿宋" w:eastAsia="仿宋" w:cs="仿宋"/>
          <w:color w:val="auto"/>
          <w:sz w:val="32"/>
          <w:lang w:val="en-US" w:eastAsia="zh-CN"/>
        </w:rPr>
        <w:t>如下：</w:t>
      </w:r>
    </w:p>
    <w:p>
      <w:pPr>
        <w:keepNext w:val="0"/>
        <w:keepLines w:val="0"/>
        <w:pageBreakBefore w:val="0"/>
        <w:widowControl w:val="0"/>
        <w:numPr>
          <w:ilvl w:val="0"/>
          <w:numId w:val="1"/>
        </w:numPr>
        <w:kinsoku/>
        <w:wordWrap/>
        <w:overflowPunct/>
        <w:topLinePunct w:val="0"/>
        <w:autoSpaceDE/>
        <w:autoSpaceDN/>
        <w:bidi w:val="0"/>
        <w:adjustRightIn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基本情况</w:t>
      </w:r>
    </w:p>
    <w:p>
      <w:pPr>
        <w:pStyle w:val="3"/>
        <w:numPr>
          <w:ilvl w:val="0"/>
          <w:numId w:val="0"/>
        </w:numPr>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滑县医疗保障局为县财政一级预算单位，滑县医疗保障局的主要职能是贯彻落实国家和省级医保政策法规；监管调控全县医保基金，推进基金支付方式改革；组织实施医保筹资和待遇政策落实，健全完善大病保险制度；落实医保目录准入规则，拟定药品、医用耗材价格及医疗服务收费标准政策，建立价格监测与发布制度；监督管理医保范围内医疗服务，依法查处违法违规行为。内设办公室、法规和规划财务股、待遇保障股、医药服务管理股、医药价格和招标采购股、基金监管股6个股室，2个分支机构，滑县医疗保障服务中心和滑县医疗保障统计分析中心。在职人员82名，离退休人员8名。</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firstLine="640" w:firstLineChars="200"/>
        <w:jc w:val="both"/>
        <w:textAlignment w:val="auto"/>
        <w:outlineLvl w:val="9"/>
        <w:rPr>
          <w:rFonts w:hint="eastAsia" w:ascii="黑体" w:hAnsi="黑体" w:eastAsia="黑体" w:cs="黑体"/>
          <w:color w:val="auto"/>
          <w:szCs w:val="22"/>
          <w:highlight w:val="none"/>
          <w:lang w:val="en-US" w:eastAsia="zh-CN"/>
        </w:rPr>
      </w:pPr>
      <w:r>
        <w:rPr>
          <w:rFonts w:hint="eastAsia" w:ascii="黑体" w:hAnsi="黑体" w:eastAsia="黑体" w:cs="黑体"/>
          <w:color w:val="auto"/>
          <w:szCs w:val="22"/>
          <w:highlight w:val="none"/>
          <w:lang w:val="en-US" w:eastAsia="zh-CN"/>
        </w:rPr>
        <w:t>二、审计评价意见</w:t>
      </w:r>
    </w:p>
    <w:p>
      <w:pPr>
        <w:pStyle w:val="3"/>
        <w:numPr>
          <w:ilvl w:val="0"/>
          <w:numId w:val="0"/>
        </w:numPr>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次重点审计了滑县医保局，分析医保数据，并对有关事项进行了延伸审计。审计结果表明：该单位所提供审计时限内的会计资料基本真实反映了全年财政财务收支情况。能够较好执行2024年度部门预算，财政财务收支活动基本符合相关法律法规规定。但审计中也发现预算编制及医保基金流失等方面的问题，需要进一步纠正和改进。</w:t>
      </w:r>
    </w:p>
    <w:p>
      <w:pPr>
        <w:pStyle w:val="2"/>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三、审计发现的主要问题</w:t>
      </w:r>
    </w:p>
    <w:p>
      <w:pPr>
        <w:widowControl w:val="0"/>
        <w:numPr>
          <w:ilvl w:val="0"/>
          <w:numId w:val="0"/>
        </w:numPr>
        <w:tabs>
          <w:tab w:val="left" w:pos="312"/>
        </w:tabs>
        <w:spacing w:line="360" w:lineRule="auto"/>
        <w:ind w:firstLine="320" w:firstLineChars="100"/>
        <w:jc w:val="both"/>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（一）预算资金未经批准调剂使用。</w:t>
      </w:r>
    </w:p>
    <w:p>
      <w:pPr>
        <w:keepNext w:val="0"/>
        <w:keepLines w:val="0"/>
        <w:pageBreakBefore w:val="0"/>
        <w:widowControl w:val="0"/>
        <w:numPr>
          <w:ilvl w:val="0"/>
          <w:numId w:val="0"/>
        </w:numPr>
        <w:kinsoku/>
        <w:wordWrap/>
        <w:overflowPunct/>
        <w:topLinePunct w:val="0"/>
        <w:autoSpaceDE/>
        <w:autoSpaceDN/>
        <w:bidi w:val="0"/>
        <w:adjustRightInd/>
        <w:spacing w:line="60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楷体" w:hAnsi="楷体" w:eastAsia="楷体" w:cs="楷体"/>
          <w:sz w:val="32"/>
          <w:szCs w:val="32"/>
          <w:lang w:val="en-US" w:eastAsia="zh-CN"/>
        </w:rPr>
        <w:t>（二）部分优抚人员、特困人员及普通居民死亡后仍进行正常参保，导致国家基金流失。</w:t>
      </w:r>
    </w:p>
    <w:p>
      <w:pPr>
        <w:pStyle w:val="3"/>
        <w:numPr>
          <w:ilvl w:val="0"/>
          <w:numId w:val="0"/>
        </w:numPr>
        <w:ind w:firstLine="320" w:firstLineChars="100"/>
        <w:jc w:val="both"/>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（三）记账不及时，资金报销时间跨度大。</w:t>
      </w:r>
    </w:p>
    <w:p>
      <w:pPr>
        <w:widowControl w:val="0"/>
        <w:wordWrap/>
        <w:adjustRightInd/>
        <w:snapToGrid/>
        <w:spacing w:before="0" w:after="0" w:line="580" w:lineRule="exact"/>
        <w:ind w:right="0" w:firstLine="320" w:firstLineChars="100"/>
        <w:jc w:val="both"/>
        <w:textAlignment w:val="auto"/>
        <w:outlineLvl w:val="9"/>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（四）项目资金支出记账不规范。</w:t>
      </w:r>
    </w:p>
    <w:p>
      <w:pPr>
        <w:numPr>
          <w:ilvl w:val="0"/>
          <w:numId w:val="0"/>
        </w:numPr>
        <w:spacing w:line="360" w:lineRule="auto"/>
        <w:ind w:firstLine="320" w:firstLineChars="100"/>
        <w:jc w:val="both"/>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（五）未执行对公转账。</w:t>
      </w:r>
    </w:p>
    <w:p>
      <w:pPr>
        <w:pStyle w:val="3"/>
        <w:numPr>
          <w:ilvl w:val="0"/>
          <w:numId w:val="0"/>
        </w:numPr>
        <w:ind w:firstLine="320" w:firstLineChars="100"/>
        <w:jc w:val="both"/>
        <w:rPr>
          <w:rFonts w:hint="eastAsia" w:ascii="楷体" w:hAnsi="楷体" w:eastAsia="楷体" w:cs="楷体"/>
          <w:sz w:val="32"/>
          <w:szCs w:val="32"/>
          <w:highlight w:val="none"/>
          <w:lang w:val="en-US" w:eastAsia="zh-CN"/>
        </w:rPr>
      </w:pPr>
      <w:r>
        <w:rPr>
          <w:rFonts w:hint="eastAsia" w:ascii="楷体" w:hAnsi="楷体" w:eastAsia="楷体" w:cs="楷体"/>
          <w:sz w:val="32"/>
          <w:szCs w:val="32"/>
          <w:lang w:val="en-US" w:eastAsia="zh-CN"/>
        </w:rPr>
        <w:t>（六）</w:t>
      </w:r>
      <w:r>
        <w:rPr>
          <w:rFonts w:hint="eastAsia" w:ascii="楷体" w:hAnsi="楷体" w:eastAsia="楷体" w:cs="楷体"/>
          <w:i w:val="0"/>
          <w:iCs w:val="0"/>
          <w:caps w:val="0"/>
          <w:color w:val="000000"/>
          <w:spacing w:val="0"/>
          <w:sz w:val="32"/>
          <w:szCs w:val="32"/>
          <w:highlight w:val="none"/>
        </w:rPr>
        <w:t>公务用车运行维护费</w:t>
      </w:r>
      <w:r>
        <w:rPr>
          <w:rFonts w:hint="eastAsia" w:ascii="楷体" w:hAnsi="楷体" w:eastAsia="楷体" w:cs="楷体"/>
          <w:i w:val="0"/>
          <w:iCs w:val="0"/>
          <w:caps w:val="0"/>
          <w:color w:val="000000"/>
          <w:spacing w:val="0"/>
          <w:sz w:val="32"/>
          <w:szCs w:val="32"/>
          <w:highlight w:val="none"/>
          <w:lang w:val="en-US" w:eastAsia="zh-CN"/>
        </w:rPr>
        <w:t>列支</w:t>
      </w:r>
      <w:r>
        <w:rPr>
          <w:rFonts w:hint="eastAsia" w:ascii="楷体" w:hAnsi="楷体" w:eastAsia="楷体" w:cs="楷体"/>
          <w:i w:val="0"/>
          <w:iCs w:val="0"/>
          <w:caps w:val="0"/>
          <w:color w:val="000000"/>
          <w:spacing w:val="0"/>
          <w:sz w:val="32"/>
          <w:szCs w:val="32"/>
          <w:highlight w:val="none"/>
        </w:rPr>
        <w:t>不规范</w:t>
      </w:r>
      <w:r>
        <w:rPr>
          <w:rFonts w:hint="eastAsia" w:ascii="楷体" w:hAnsi="楷体" w:eastAsia="楷体" w:cs="楷体"/>
          <w:i w:val="0"/>
          <w:iCs w:val="0"/>
          <w:caps w:val="0"/>
          <w:color w:val="000000"/>
          <w:spacing w:val="0"/>
          <w:sz w:val="32"/>
          <w:szCs w:val="32"/>
          <w:highlight w:val="none"/>
          <w:lang w:val="en-US" w:eastAsia="zh-CN"/>
        </w:rPr>
        <w:t>。</w:t>
      </w:r>
    </w:p>
    <w:p>
      <w:pPr>
        <w:pStyle w:val="2"/>
        <w:keepLines w:val="0"/>
        <w:pageBreakBefore w:val="0"/>
        <w:widowControl w:val="0"/>
        <w:kinsoku/>
        <w:wordWrap/>
        <w:overflowPunct/>
        <w:topLinePunct w:val="0"/>
        <w:autoSpaceDE/>
        <w:autoSpaceDN/>
        <w:bidi w:val="0"/>
        <w:spacing w:line="600" w:lineRule="exact"/>
        <w:ind w:firstLine="320" w:firstLineChars="100"/>
        <w:textAlignment w:val="auto"/>
        <w:rPr>
          <w:rFonts w:hint="eastAsia" w:ascii="黑体" w:hAnsi="黑体" w:eastAsia="黑体" w:cs="黑体"/>
          <w:lang w:val="en-US" w:eastAsia="zh-CN"/>
        </w:rPr>
      </w:pPr>
      <w:r>
        <w:rPr>
          <w:rFonts w:hint="eastAsia" w:ascii="黑体" w:hAnsi="黑体" w:eastAsia="黑体" w:cs="黑体"/>
          <w:b w:val="0"/>
          <w:bCs w:val="0"/>
          <w:sz w:val="32"/>
          <w:szCs w:val="32"/>
          <w:lang w:val="en-US" w:eastAsia="zh-CN"/>
        </w:rPr>
        <w:t xml:space="preserve"> 四、审计处理情况和建议</w:t>
      </w:r>
    </w:p>
    <w:p>
      <w:pPr>
        <w:pStyle w:val="3"/>
        <w:numPr>
          <w:ilvl w:val="0"/>
          <w:numId w:val="0"/>
        </w:numPr>
        <w:ind w:firstLine="640" w:firstLineChars="200"/>
        <w:jc w:val="both"/>
        <w:rPr>
          <w:rFonts w:hint="default" w:ascii="仿宋" w:hAnsi="仿宋" w:eastAsia="仿宋" w:cs="仿宋"/>
          <w:sz w:val="32"/>
          <w:szCs w:val="32"/>
          <w:highlight w:val="none"/>
          <w:lang w:val="en-US" w:eastAsia="zh-CN"/>
        </w:rPr>
      </w:pPr>
      <w:r>
        <w:rPr>
          <w:rFonts w:hint="eastAsia"/>
          <w:b w:val="0"/>
          <w:bCs/>
          <w:color w:val="auto"/>
          <w:sz w:val="32"/>
          <w:szCs w:val="32"/>
          <w:lang w:val="en-US" w:eastAsia="zh-CN"/>
        </w:rPr>
        <w:t>对上述问题，滑县审计局已依法出具了审计报告，并提出了处理意见和整改建议，要求滑县医保局</w:t>
      </w:r>
      <w:r>
        <w:rPr>
          <w:rFonts w:hint="eastAsia" w:ascii="仿宋" w:hAnsi="仿宋" w:eastAsia="仿宋" w:cs="仿宋"/>
          <w:sz w:val="32"/>
          <w:szCs w:val="32"/>
          <w:highlight w:val="none"/>
          <w:lang w:val="en-US" w:eastAsia="zh-CN"/>
        </w:rPr>
        <w:t>合理规划和编制年度预算，</w:t>
      </w:r>
      <w:r>
        <w:rPr>
          <w:rFonts w:hint="default" w:ascii="仿宋" w:hAnsi="仿宋" w:eastAsia="仿宋" w:cs="仿宋"/>
          <w:sz w:val="32"/>
          <w:szCs w:val="32"/>
          <w:highlight w:val="none"/>
          <w:lang w:val="en-US" w:eastAsia="zh-CN"/>
        </w:rPr>
        <w:t>严格执行</w:t>
      </w:r>
      <w:r>
        <w:rPr>
          <w:rFonts w:hint="eastAsia" w:ascii="仿宋" w:hAnsi="仿宋" w:eastAsia="仿宋" w:cs="仿宋"/>
          <w:sz w:val="32"/>
          <w:szCs w:val="32"/>
          <w:highlight w:val="none"/>
          <w:lang w:val="en-US" w:eastAsia="zh-CN"/>
        </w:rPr>
        <w:t>预算；</w:t>
      </w:r>
      <w:r>
        <w:rPr>
          <w:rFonts w:hint="default" w:ascii="仿宋" w:hAnsi="仿宋" w:eastAsia="仿宋" w:cs="仿宋"/>
          <w:sz w:val="32"/>
          <w:szCs w:val="32"/>
          <w:highlight w:val="none"/>
          <w:lang w:val="en-US" w:eastAsia="zh-CN"/>
        </w:rPr>
        <w:t>加强财务相关人员培训，严格执行国家财经法规</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lang w:val="en-US" w:eastAsia="zh-CN"/>
        </w:rPr>
        <w:t>建立多部门参与的联动机制，完善医保基金管理工作</w:t>
      </w:r>
      <w:r>
        <w:rPr>
          <w:rFonts w:hint="default" w:ascii="仿宋" w:hAnsi="仿宋" w:eastAsia="仿宋" w:cs="仿宋"/>
          <w:sz w:val="32"/>
          <w:szCs w:val="32"/>
          <w:highlight w:val="none"/>
          <w:lang w:val="en-US" w:eastAsia="zh-CN"/>
        </w:rPr>
        <w:t>。</w:t>
      </w:r>
    </w:p>
    <w:p>
      <w:pPr>
        <w:keepLines w:val="0"/>
        <w:pageBreakBefore w:val="0"/>
        <w:widowControl w:val="0"/>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9"/>
        <w:rPr>
          <w:rFonts w:hint="eastAsia"/>
          <w:color w:val="auto"/>
          <w:lang w:eastAsia="zh-CN"/>
        </w:rPr>
      </w:pPr>
      <w:r>
        <w:rPr>
          <w:rFonts w:hint="eastAsia" w:ascii="黑体" w:hAnsi="黑体" w:eastAsia="黑体" w:cs="黑体"/>
          <w:color w:val="auto"/>
          <w:sz w:val="32"/>
          <w:szCs w:val="32"/>
          <w:shd w:val="clear" w:color="auto" w:fill="FFFFFF"/>
          <w:lang w:val="en-US" w:eastAsia="zh-CN"/>
        </w:rPr>
        <w:t>五、审计发现问题的整改情况</w:t>
      </w:r>
    </w:p>
    <w:p>
      <w:pPr>
        <w:pStyle w:val="8"/>
        <w:ind w:firstLine="640" w:firstLineChars="200"/>
        <w:rPr>
          <w:b w:val="0"/>
          <w:bCs/>
          <w:color w:val="auto"/>
          <w:sz w:val="32"/>
          <w:szCs w:val="32"/>
        </w:rPr>
      </w:pPr>
      <w:r>
        <w:rPr>
          <w:rFonts w:hint="eastAsia" w:ascii="仿宋" w:hAnsi="仿宋" w:eastAsia="仿宋" w:cs="仿宋"/>
          <w:b w:val="0"/>
          <w:bCs w:val="0"/>
          <w:color w:val="auto"/>
          <w:sz w:val="32"/>
          <w:szCs w:val="32"/>
          <w:highlight w:val="none"/>
          <w:lang w:val="en-US" w:eastAsia="zh-CN"/>
        </w:rPr>
        <w:t>目前，</w:t>
      </w:r>
      <w:r>
        <w:rPr>
          <w:rFonts w:hint="eastAsia"/>
          <w:b w:val="0"/>
          <w:bCs/>
          <w:color w:val="auto"/>
          <w:sz w:val="32"/>
          <w:szCs w:val="32"/>
          <w:lang w:val="en-US" w:eastAsia="zh-CN"/>
        </w:rPr>
        <w:t>滑县医保局</w:t>
      </w:r>
      <w:r>
        <w:rPr>
          <w:rFonts w:hint="eastAsia" w:ascii="仿宋" w:hAnsi="仿宋" w:eastAsia="仿宋" w:cs="仿宋"/>
          <w:b w:val="0"/>
          <w:bCs w:val="0"/>
          <w:color w:val="auto"/>
          <w:sz w:val="32"/>
          <w:szCs w:val="32"/>
          <w:lang w:val="en-US" w:eastAsia="zh-CN"/>
        </w:rPr>
        <w:t>对上述问题已整改。具体整改结果由滑县医保局</w:t>
      </w:r>
      <w:bookmarkStart w:id="0" w:name="_GoBack"/>
      <w:bookmarkEnd w:id="0"/>
      <w:r>
        <w:rPr>
          <w:rFonts w:hint="eastAsia" w:ascii="仿宋" w:hAnsi="仿宋" w:eastAsia="仿宋" w:cs="仿宋"/>
          <w:b w:val="0"/>
          <w:bCs w:val="0"/>
          <w:color w:val="auto"/>
          <w:sz w:val="32"/>
          <w:szCs w:val="32"/>
          <w:lang w:val="en-US" w:eastAsia="zh-CN"/>
        </w:rPr>
        <w:t>对社会公告。</w:t>
      </w:r>
    </w:p>
    <w:p>
      <w:pPr>
        <w:pStyle w:val="8"/>
        <w:ind w:firstLine="643" w:firstLineChars="200"/>
        <w:rPr>
          <w:b w:val="0"/>
          <w:bCs/>
          <w:color w:val="auto"/>
          <w:sz w:val="32"/>
          <w:szCs w:val="32"/>
        </w:rPr>
      </w:pPr>
      <w:r>
        <w:rPr>
          <w:rFonts w:hint="eastAsia" w:ascii="仿宋" w:hAnsi="仿宋" w:eastAsia="仿宋" w:cs="仿宋"/>
          <w:color w:val="auto"/>
          <w:sz w:val="32"/>
          <w:szCs w:val="32"/>
          <w:lang w:val="en-US" w:eastAsia="zh-CN"/>
        </w:rPr>
        <w:t xml:space="preserve">  </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长城小标宋体">
    <w:altName w:val="宋体"/>
    <w:panose1 w:val="0201060901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9B978"/>
    <w:multiLevelType w:val="singleLevel"/>
    <w:tmpl w:val="67F9B97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496D06"/>
    <w:rsid w:val="573A15FA"/>
    <w:rsid w:val="71496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spacing w:line="600" w:lineRule="exact"/>
      <w:outlineLvl w:val="0"/>
    </w:pPr>
    <w:rPr>
      <w:sz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样式1"/>
    <w:basedOn w:val="1"/>
    <w:qFormat/>
    <w:uiPriority w:val="0"/>
    <w:rPr>
      <w:b/>
      <w:color w:val="538135"/>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2025-12-22T00:39:00Z</dcterms:created>
  <dc:creator>阳</dc:creator>
  <cp:lastModifiedBy>fg</cp:lastModifiedBy>
  <dcterms:modified xsi:type="dcterms:W3CDTF">2025-12-28T07:48:19Z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AFB17FB08501476CA083E825CE6EDCB6_11</vt:lpwstr>
  </property>
  <property fmtid="{D5CDD505-2E9C-101B-9397-08002B2CF9AE}" pid="4" name="KSOTemplateDocerSaveRecord">
    <vt:lpwstr>eyJoZGlkIjoiNjA3NGM0OWIzZmRkZTU1YWE5MDljMDY2NDI2NTg0OGMiLCJ1c2VySWQiOiIyMjg5ODIxMTkifQ==</vt:lpwstr>
  </property>
</Properties>
</file>