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12</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15</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w:t>
      </w:r>
      <w:bookmarkStart w:id="0" w:name="_GoBack"/>
      <w:bookmarkEnd w:id="0"/>
      <w:r>
        <w:rPr>
          <w:rFonts w:hint="eastAsia" w:ascii="宋体" w:hAnsi="宋体" w:eastAsia="宋体" w:cs="宋体"/>
          <w:color w:val="000000"/>
          <w:sz w:val="21"/>
          <w:szCs w:val="21"/>
          <w:shd w:val="clear" w:color="auto" w:fill="FFFFFF"/>
        </w:rPr>
        <w:t>。公示期为2025年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15</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lang w:val="en-US" w:eastAsia="zh-CN"/>
        </w:rPr>
        <w:t>滑县</w:t>
      </w:r>
      <w:r>
        <w:rPr>
          <w:rFonts w:hint="eastAsia"/>
          <w:color w:val="000000"/>
          <w:sz w:val="21"/>
          <w:szCs w:val="21"/>
        </w:rPr>
        <w:t>创业大道与欧阳路</w:t>
      </w:r>
      <w:r>
        <w:rPr>
          <w:rFonts w:hint="eastAsia"/>
          <w:color w:val="000000"/>
          <w:sz w:val="21"/>
          <w:szCs w:val="21"/>
          <w:lang w:val="en-US" w:eastAsia="zh-CN"/>
        </w:rPr>
        <w:t>交叉口东北角</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河南恒诺织带有限公司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2"/>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年产2500吨织带、吊装带建设项目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滑县白道口镇电线电缆工业园188-2号</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河南省科悦环境技术</w:t>
            </w:r>
            <w:r>
              <w:rPr>
                <w:rFonts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30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10</w:t>
            </w:r>
            <w:r>
              <w:rPr>
                <w:rFonts w:ascii="Times New Roman" w:hAnsi="Times New Roman"/>
                <w:color w:val="000000"/>
                <w:sz w:val="18"/>
                <w:szCs w:val="18"/>
              </w:rPr>
              <w:t>万元</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占地面积2100m2</w:t>
            </w:r>
            <w:r>
              <w:rPr>
                <w:rFonts w:ascii="Times New Roman" w:hAnsi="Times New Roman"/>
                <w:color w:val="000000"/>
                <w:sz w:val="18"/>
                <w:szCs w:val="18"/>
              </w:rPr>
              <w:t>。</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11DD8659">
            <w:pPr>
              <w:keepNext w:val="0"/>
              <w:keepLines w:val="0"/>
              <w:widowControl/>
              <w:numPr>
                <w:ilvl w:val="0"/>
                <w:numId w:val="0"/>
              </w:numPr>
              <w:suppressLineNumbers w:val="0"/>
              <w:ind w:leftChars="0" w:firstLine="360" w:firstLineChars="200"/>
              <w:jc w:val="left"/>
              <w:rPr>
                <w:rFonts w:hint="default" w:ascii="Times New Roman" w:hAnsi="Times New Roman"/>
                <w:color w:val="000000"/>
                <w:sz w:val="18"/>
                <w:szCs w:val="18"/>
                <w:lang w:val="en-US" w:eastAsia="zh-CN"/>
              </w:rPr>
            </w:pPr>
            <w:r>
              <w:rPr>
                <w:rFonts w:ascii="Times New Roman" w:hAnsi="Times New Roman"/>
                <w:color w:val="000000"/>
                <w:sz w:val="18"/>
                <w:szCs w:val="18"/>
              </w:rPr>
              <w:t>1. 废气：</w:t>
            </w:r>
            <w:r>
              <w:rPr>
                <w:rFonts w:hint="eastAsia" w:ascii="Times New Roman" w:hAnsi="Times New Roman"/>
                <w:color w:val="000000"/>
                <w:sz w:val="18"/>
                <w:szCs w:val="18"/>
                <w:lang w:val="en-US" w:eastAsia="zh-CN"/>
              </w:rPr>
              <w:t>喷墨印花车间废气经密闭负压收集至活性炭吸附装置处理后通过15m高排气筒排放，废气排放满足《印刷工业挥发性有机物排放标准》（DB41/1956-2020）及《河南省重污染天气重点行业应急减排措施制定技术指南》（2024年修订版）-纺织印染与服饰制造企业A级指标相关要求。</w:t>
            </w:r>
          </w:p>
          <w:p w14:paraId="0A416D5D">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2. 废水：</w:t>
            </w:r>
            <w:r>
              <w:rPr>
                <w:rFonts w:hint="eastAsia" w:ascii="Times New Roman" w:hAnsi="Times New Roman"/>
                <w:color w:val="000000"/>
                <w:sz w:val="18"/>
                <w:szCs w:val="18"/>
                <w:lang w:val="en-US" w:eastAsia="zh-CN"/>
              </w:rPr>
              <w:t>生活污水依托虹雁电缆有限公司现有化粪池（10m3）处理后定期清掏用于周围农田施肥。</w:t>
            </w:r>
          </w:p>
          <w:p w14:paraId="04F2D38A">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3. 噪声：</w:t>
            </w:r>
            <w:r>
              <w:rPr>
                <w:rFonts w:hint="eastAsia" w:ascii="Times New Roman" w:hAnsi="Times New Roman"/>
                <w:color w:val="000000"/>
                <w:sz w:val="18"/>
                <w:szCs w:val="18"/>
                <w:lang w:val="en-US" w:eastAsia="zh-CN"/>
              </w:rPr>
              <w:t>主要为织带机、印花机产生的噪声，通过选用低噪声设备、基座减震、车间隔声、在风机的进风口和出风口安装消声器等措施后，厂界噪声满足《工业企业厂界环境噪声排放标准》（GB12348-2008）2类标准。</w:t>
            </w:r>
          </w:p>
          <w:p w14:paraId="654CDAE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4. 固体废物：生活垃圾经集中收集后由当地环卫部门统一清运；废包装材料、边角料及残次品集中暂存在一般固废暂存间（5m2）定期外售；废包装桶、废抹布（含清洗废液）、废活性炭、废润滑油暂存在危险废物暂存间（6m2）定期就近交有资质单位处置。一般固体废物暂存应满足《一般工业固体废物贮存和填埋污染控制标准》（GB18599 -2020）要求，危险废物暂存应满足《危险废物贮存污染控制标准》（GB18597-2023）要求。</w:t>
            </w:r>
          </w:p>
          <w:p w14:paraId="313E3DA4">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next w:val="4"/>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1034</Words>
  <Characters>1159</Characters>
  <Lines>1</Lines>
  <Paragraphs>2</Paragraphs>
  <TotalTime>0</TotalTime>
  <ScaleCrop>false</ScaleCrop>
  <LinksUpToDate>false</LinksUpToDate>
  <CharactersWithSpaces>1178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2025-12-22T07:07:02Z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