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9BCB">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11</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14</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4B1CA56D">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4F22F3F8">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14</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月2</w:t>
      </w:r>
      <w:r>
        <w:rPr>
          <w:rFonts w:hint="eastAsia" w:ascii="宋体" w:hAnsi="宋体" w:eastAsia="宋体" w:cs="宋体"/>
          <w:color w:val="000000"/>
          <w:sz w:val="21"/>
          <w:szCs w:val="21"/>
          <w:shd w:val="clear" w:color="auto" w:fill="FFFFFF"/>
          <w:lang w:val="en-US" w:eastAsia="zh-CN"/>
        </w:rPr>
        <w:t>0</w:t>
      </w:r>
      <w:r>
        <w:rPr>
          <w:rFonts w:hint="eastAsia" w:ascii="宋体" w:hAnsi="宋体" w:eastAsia="宋体" w:cs="宋体"/>
          <w:color w:val="000000"/>
          <w:sz w:val="21"/>
          <w:szCs w:val="21"/>
          <w:shd w:val="clear" w:color="auto" w:fill="FFFFFF"/>
        </w:rPr>
        <w:t>日（5个工作日）。</w:t>
      </w:r>
    </w:p>
    <w:p w14:paraId="2A1960F1">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0653024">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62E9B73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5FCCAA98">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7"/>
        <w:tblW w:w="8115" w:type="dxa"/>
        <w:tblInd w:w="0" w:type="dxa"/>
        <w:tblLayout w:type="autofit"/>
        <w:tblCellMar>
          <w:top w:w="15" w:type="dxa"/>
          <w:left w:w="15" w:type="dxa"/>
          <w:bottom w:w="15" w:type="dxa"/>
          <w:right w:w="15" w:type="dxa"/>
        </w:tblCellMar>
      </w:tblPr>
      <w:tblGrid>
        <w:gridCol w:w="398"/>
        <w:gridCol w:w="388"/>
        <w:gridCol w:w="995"/>
        <w:gridCol w:w="1100"/>
        <w:gridCol w:w="712"/>
        <w:gridCol w:w="877"/>
        <w:gridCol w:w="3645"/>
      </w:tblGrid>
      <w:tr w14:paraId="4C88D0E1">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1919EEDA">
            <w:pPr>
              <w:pStyle w:val="14"/>
              <w:widowControl/>
              <w:spacing w:beforeAutospacing="0" w:afterAutospacing="0" w:line="300" w:lineRule="atLeast"/>
              <w:jc w:val="center"/>
            </w:pPr>
            <w:r>
              <w:rPr>
                <w:rStyle w:val="19"/>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8A85A3A">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504DB5B5">
            <w:pPr>
              <w:pStyle w:val="14"/>
              <w:widowControl/>
              <w:spacing w:beforeAutospacing="0" w:afterAutospacing="0" w:line="300" w:lineRule="atLeast"/>
              <w:jc w:val="center"/>
            </w:pPr>
            <w:r>
              <w:rPr>
                <w:rStyle w:val="19"/>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3735C56">
            <w:pPr>
              <w:pStyle w:val="14"/>
              <w:widowControl/>
              <w:spacing w:beforeAutospacing="0" w:afterAutospacing="0" w:line="300" w:lineRule="atLeast"/>
              <w:jc w:val="center"/>
            </w:pPr>
            <w:r>
              <w:rPr>
                <w:rStyle w:val="19"/>
                <w:rFonts w:hint="eastAsia" w:ascii="宋体" w:hAnsi="宋体" w:eastAsia="宋体" w:cs="宋体"/>
                <w:color w:val="000000"/>
                <w:sz w:val="18"/>
                <w:szCs w:val="18"/>
              </w:rPr>
              <w:t>项目</w:t>
            </w:r>
          </w:p>
          <w:p w14:paraId="36FEEEB2">
            <w:pPr>
              <w:pStyle w:val="14"/>
              <w:widowControl/>
              <w:spacing w:beforeAutospacing="0" w:afterAutospacing="0" w:line="300" w:lineRule="atLeast"/>
              <w:jc w:val="center"/>
            </w:pPr>
            <w:r>
              <w:rPr>
                <w:rStyle w:val="19"/>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2BBA8FD">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3B515744">
            <w:pPr>
              <w:pStyle w:val="14"/>
              <w:widowControl/>
              <w:spacing w:beforeAutospacing="0" w:afterAutospacing="0" w:line="300" w:lineRule="atLeast"/>
              <w:jc w:val="center"/>
            </w:pPr>
            <w:r>
              <w:rPr>
                <w:rStyle w:val="19"/>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4C50AE9">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96C924B">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建设项目</w:t>
            </w:r>
          </w:p>
          <w:p w14:paraId="3E4A8983">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4BAB3E4">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主要环境影响及预防或减轻不良环境影响的对策和措施</w:t>
            </w:r>
          </w:p>
        </w:tc>
      </w:tr>
      <w:tr w14:paraId="08714C0B">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473FC09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3A216CB">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河南达润生物质能源有限公司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CB5DB53">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年产生物质燃料30万吨、动物油脂1.5万吨项目（一期工程）</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065FF87">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滑县王庄镇莫庄粮管所后门242号</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CC5CDD0">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河南青盟环保科技有限公司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76311C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新增占地面积为20000m2，总投资100万元，环保投资27.01万元。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5CA966A2">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w:t>
            </w:r>
          </w:p>
          <w:p w14:paraId="2701C2C9">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必须严格按照《河南省2025年蓝天保卫战实施方案》、《滑县2025年大气污染防治攻坚行动方案》等文件要求，严格落实工程建设工地扬尘“六个百分之百”措施；禁止现场搅拌混凝土和配制砂浆；每天定期不定期洒水，4级以上大风天气严禁作业；落实县环境污染攻坚办发布的重污染天气应急管控要求。</w:t>
            </w:r>
          </w:p>
          <w:p w14:paraId="6644CE68">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产尘工序二次密闭，废气由集气罩和集气管道收集经袋式除尘器处理后通过15米高排气筒排放；动物油脂熬制油烟、非甲烷总烃由集气管道收集后经“静电式油烟净化器+活性炭吸附装置”处理后通过15m排气筒排放；动物油脂加工车间产生的少量恶臭气体采取原料与产品不长时间储存、产品及时分装产品进入带盖收集桶、运输过程采用密闭设备、使用天然提取物除臭剂喷洒加工车间等措施。废气排放须满足《大气污染物综合排放标准》（GB16297-1996）表2二级、河南省地方标准《餐饮业油烟污染物排放标准》（DB41/1604-2018）“大型”要求、《恶臭污染物排放标准》（CB14554-93）表1标准、《河南省重污染天气通用行业应急减排措施制定技术指南（2024年修订版）》绩效引领性指标要求、及《安阳市2019年工业大气污染治理5个专项实施方案》（安环攻坚办〔2019〕196号）要求。</w:t>
            </w:r>
          </w:p>
          <w:p w14:paraId="3406A22D">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2.废水：</w:t>
            </w:r>
          </w:p>
          <w:p w14:paraId="4CDAC874">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施工期：施工车辆冲洗废水经沉淀池沉淀后循环使用，不外排；生活污水依托租赁厂区化粪池处理后定期清掏，用于沤制农肥。</w:t>
            </w:r>
          </w:p>
          <w:p w14:paraId="65AEA835">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营运期：熬炼废气经冷凝、油水分离后的废水全部回用于冷凝塔，不外排；生活废水依托租赁厂区10m3化粪池处理后由建设单位定期清掏用于肥田。</w:t>
            </w:r>
          </w:p>
          <w:p w14:paraId="555D5510">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3.噪声：</w:t>
            </w:r>
          </w:p>
          <w:p w14:paraId="28ECECB3">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采用低噪声、低振动的设备与方式进行地基施工与结构施工；对有固定基座的设备应作单独地基处理，以减少地面振动与结构噪声的传递；规范操作，并加强对设备的维护保养，以维持其正常运转；夜间（22:00至次日6:00之前）禁止施工作业。</w:t>
            </w:r>
          </w:p>
          <w:p w14:paraId="2C3FAD07">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营运期：破碎机、粉碎机、制粒机及风机等设备运行时产生的噪声，采用基础减震、厂房隔声、距离衰减等措施后，厂界噪声排放须满足《工业企业厂界环境噪声排放标准》（GB12348-2008）2类标准。</w:t>
            </w:r>
          </w:p>
          <w:p w14:paraId="350A441F">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4.固体废物：</w:t>
            </w:r>
          </w:p>
          <w:p w14:paraId="6334EC5A">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施工期：建筑垃圾分类后回收利用，及时清理；生活垃圾定期交环卫部门处理。</w:t>
            </w:r>
          </w:p>
          <w:p w14:paraId="1337C9E6">
            <w:pPr>
              <w:widowControl/>
              <w:ind w:firstLine="360" w:firstLineChars="200"/>
              <w:jc w:val="left"/>
              <w:rPr>
                <w:rFonts w:ascii="Times New Roman" w:hAnsi="Times New Roman"/>
                <w:color w:val="000000"/>
                <w:sz w:val="18"/>
                <w:szCs w:val="18"/>
              </w:rPr>
            </w:pPr>
            <w:r>
              <w:rPr>
                <w:rFonts w:hint="eastAsia" w:ascii="Times New Roman" w:hAnsi="Times New Roman"/>
                <w:color w:val="000000"/>
                <w:sz w:val="18"/>
                <w:szCs w:val="18"/>
              </w:rPr>
              <w:t>营运期：废包装材料、油渣、油烟净化器油泥收集后暂存于5m2一般固废暂存，分类处置；车间清扫及除尘器收尘不在一般固废间暂存直接回用于生产；废活性炭暂存于5m2危险废物暂存间，就近交由有资质单位处置；生活垃圾经垃圾桶收集后，交环卫部门统一处理。一般固体废物暂存应满足《一般工业固体废物贮存和填埋污染控制标准》（GB18599 -2020）要求，危险废物暂存应满足《危险废物贮存污染控制标准》（GB18597-2023）要求。</w:t>
            </w:r>
            <w:bookmarkStart w:id="0" w:name="_GoBack"/>
            <w:bookmarkEnd w:id="0"/>
          </w:p>
        </w:tc>
      </w:tr>
    </w:tbl>
    <w:p w14:paraId="669E6D38">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9"/>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84096"/>
    <w:rsid w:val="00D93271"/>
    <w:rsid w:val="00DB2F10"/>
    <w:rsid w:val="00E12EFF"/>
    <w:rsid w:val="00EB48B5"/>
    <w:rsid w:val="00F8257E"/>
    <w:rsid w:val="00FA45AC"/>
    <w:rsid w:val="00FB5EA4"/>
    <w:rsid w:val="00FD244D"/>
    <w:rsid w:val="09E6605D"/>
    <w:rsid w:val="0B652750"/>
    <w:rsid w:val="126D0F3F"/>
    <w:rsid w:val="159D7523"/>
    <w:rsid w:val="225C3FC5"/>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rPr>
      <w:kern w:val="0"/>
      <w:sz w:val="24"/>
      <w:szCs w:val="20"/>
    </w:rPr>
  </w:style>
  <w:style w:type="paragraph" w:styleId="8">
    <w:name w:val="Body Text"/>
    <w:basedOn w:val="1"/>
    <w:next w:val="9"/>
    <w:qFormat/>
    <w:uiPriority w:val="0"/>
    <w:rPr>
      <w:b/>
      <w:bCs/>
      <w:sz w:val="24"/>
    </w:rPr>
  </w:style>
  <w:style w:type="paragraph" w:styleId="9">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0">
    <w:name w:val="Body Text Indent"/>
    <w:basedOn w:val="1"/>
    <w:qFormat/>
    <w:uiPriority w:val="0"/>
    <w:pPr>
      <w:ind w:left="420" w:leftChars="200"/>
    </w:pPr>
  </w:style>
  <w:style w:type="paragraph" w:styleId="11">
    <w:name w:val="Block Text"/>
    <w:basedOn w:val="1"/>
    <w:next w:val="1"/>
    <w:qFormat/>
    <w:uiPriority w:val="0"/>
    <w:pPr>
      <w:spacing w:line="320" w:lineRule="exact"/>
      <w:ind w:left="113" w:right="113"/>
      <w:jc w:val="center"/>
    </w:pPr>
    <w:rPr>
      <w:b/>
      <w:sz w:val="13"/>
      <w:szCs w:val="15"/>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next w:val="16"/>
    <w:qFormat/>
    <w:uiPriority w:val="0"/>
    <w:pPr>
      <w:spacing w:after="120"/>
      <w:ind w:firstLine="420" w:firstLineChars="100"/>
    </w:pPr>
    <w:rPr>
      <w:sz w:val="21"/>
    </w:rPr>
  </w:style>
  <w:style w:type="paragraph" w:styleId="16">
    <w:name w:val="Body Text First Indent 2"/>
    <w:basedOn w:val="10"/>
    <w:qFormat/>
    <w:uiPriority w:val="0"/>
    <w:pPr>
      <w:ind w:firstLine="200" w:firstLineChars="200"/>
    </w:pPr>
    <w:rPr>
      <w:szCs w:val="21"/>
    </w:r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页眉 Char"/>
    <w:basedOn w:val="18"/>
    <w:link w:val="13"/>
    <w:qFormat/>
    <w:uiPriority w:val="0"/>
    <w:rPr>
      <w:rFonts w:asciiTheme="minorHAnsi" w:hAnsiTheme="minorHAnsi" w:eastAsiaTheme="minorEastAsia" w:cstheme="minorBidi"/>
      <w:kern w:val="2"/>
      <w:sz w:val="18"/>
      <w:szCs w:val="18"/>
    </w:rPr>
  </w:style>
  <w:style w:type="character" w:customStyle="1" w:styleId="22">
    <w:name w:val="页脚 Char"/>
    <w:basedOn w:val="18"/>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999</Words>
  <Characters>1132</Characters>
  <Lines>1</Lines>
  <Paragraphs>2</Paragraphs>
  <TotalTime>0</TotalTime>
  <ScaleCrop>false</ScaleCrop>
  <LinksUpToDate>false</LinksUpToDate>
  <CharactersWithSpaces>1148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2025-11-24T00:30:55Z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