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DED14">
      <w:pPr>
        <w:jc w:val="center"/>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滑县</w:t>
      </w:r>
      <w:r>
        <w:rPr>
          <w:rFonts w:hint="eastAsia" w:ascii="方正小标宋简体" w:hAnsi="方正小标宋简体" w:eastAsia="方正小标宋简体" w:cs="方正小标宋简体"/>
          <w:i w:val="0"/>
          <w:iCs w:val="0"/>
          <w:caps w:val="0"/>
          <w:color w:val="auto"/>
          <w:spacing w:val="0"/>
          <w:sz w:val="44"/>
          <w:szCs w:val="44"/>
          <w:shd w:val="clear" w:fill="FFFFFF"/>
        </w:rPr>
        <w:t>城市管理局检查事项和依据</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2505"/>
        <w:gridCol w:w="2430"/>
        <w:gridCol w:w="7590"/>
        <w:gridCol w:w="839"/>
      </w:tblGrid>
      <w:tr w14:paraId="32FA3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10" w:type="dxa"/>
          </w:tcPr>
          <w:p w14:paraId="6CF82C9D">
            <w:pPr>
              <w:jc w:val="center"/>
              <w:rPr>
                <w:rFonts w:hint="eastAsia" w:ascii="楷体_GB2312" w:hAnsi="楷体_GB2312" w:eastAsia="楷体_GB2312" w:cs="楷体_GB2312"/>
                <w:i w:val="0"/>
                <w:iCs w:val="0"/>
                <w:caps w:val="0"/>
                <w:color w:val="auto"/>
                <w:spacing w:val="0"/>
                <w:sz w:val="28"/>
                <w:szCs w:val="28"/>
                <w:shd w:val="clear" w:fill="FFFFFF"/>
                <w:vertAlign w:val="baseline"/>
                <w:lang w:val="en-US" w:eastAsia="zh-CN"/>
              </w:rPr>
            </w:pPr>
            <w:r>
              <w:rPr>
                <w:rFonts w:hint="eastAsia" w:ascii="楷体_GB2312" w:hAnsi="楷体_GB2312" w:eastAsia="楷体_GB2312" w:cs="楷体_GB2312"/>
                <w:i w:val="0"/>
                <w:iCs w:val="0"/>
                <w:caps w:val="0"/>
                <w:color w:val="auto"/>
                <w:spacing w:val="0"/>
                <w:sz w:val="28"/>
                <w:szCs w:val="28"/>
                <w:shd w:val="clear" w:fill="FFFFFF"/>
                <w:vertAlign w:val="baseline"/>
                <w:lang w:val="en-US" w:eastAsia="zh-CN"/>
              </w:rPr>
              <w:t>序号</w:t>
            </w:r>
          </w:p>
        </w:tc>
        <w:tc>
          <w:tcPr>
            <w:tcW w:w="2505" w:type="dxa"/>
          </w:tcPr>
          <w:p w14:paraId="414E7F55">
            <w:pPr>
              <w:jc w:val="center"/>
              <w:rPr>
                <w:rFonts w:hint="eastAsia" w:ascii="楷体_GB2312" w:hAnsi="楷体_GB2312" w:eastAsia="楷体_GB2312" w:cs="楷体_GB2312"/>
                <w:i w:val="0"/>
                <w:iCs w:val="0"/>
                <w:caps w:val="0"/>
                <w:color w:val="auto"/>
                <w:spacing w:val="0"/>
                <w:sz w:val="28"/>
                <w:szCs w:val="28"/>
                <w:shd w:val="clear" w:fill="FFFFFF"/>
                <w:vertAlign w:val="baseline"/>
                <w:lang w:val="en-US" w:eastAsia="zh-CN"/>
              </w:rPr>
            </w:pPr>
            <w:r>
              <w:rPr>
                <w:rFonts w:hint="eastAsia" w:ascii="楷体_GB2312" w:hAnsi="楷体_GB2312" w:eastAsia="楷体_GB2312" w:cs="楷体_GB2312"/>
                <w:i w:val="0"/>
                <w:iCs w:val="0"/>
                <w:caps w:val="0"/>
                <w:color w:val="auto"/>
                <w:spacing w:val="0"/>
                <w:sz w:val="28"/>
                <w:szCs w:val="28"/>
                <w:shd w:val="clear" w:fill="FFFFFF"/>
                <w:vertAlign w:val="baseline"/>
                <w:lang w:val="en-US" w:eastAsia="zh-CN"/>
              </w:rPr>
              <w:t>检查主体</w:t>
            </w:r>
          </w:p>
        </w:tc>
        <w:tc>
          <w:tcPr>
            <w:tcW w:w="2430" w:type="dxa"/>
          </w:tcPr>
          <w:p w14:paraId="248CF103">
            <w:pPr>
              <w:jc w:val="center"/>
              <w:rPr>
                <w:rFonts w:hint="eastAsia" w:ascii="楷体_GB2312" w:hAnsi="楷体_GB2312" w:eastAsia="楷体_GB2312" w:cs="楷体_GB2312"/>
                <w:i w:val="0"/>
                <w:iCs w:val="0"/>
                <w:caps w:val="0"/>
                <w:color w:val="auto"/>
                <w:spacing w:val="0"/>
                <w:sz w:val="28"/>
                <w:szCs w:val="28"/>
                <w:shd w:val="clear" w:fill="FFFFFF"/>
                <w:vertAlign w:val="baseline"/>
                <w:lang w:val="en-US" w:eastAsia="zh-CN"/>
              </w:rPr>
            </w:pPr>
            <w:r>
              <w:rPr>
                <w:rFonts w:hint="eastAsia" w:ascii="楷体_GB2312" w:hAnsi="楷体_GB2312" w:eastAsia="楷体_GB2312" w:cs="楷体_GB2312"/>
                <w:i w:val="0"/>
                <w:iCs w:val="0"/>
                <w:caps w:val="0"/>
                <w:color w:val="auto"/>
                <w:spacing w:val="0"/>
                <w:sz w:val="28"/>
                <w:szCs w:val="28"/>
                <w:shd w:val="clear" w:fill="FFFFFF"/>
                <w:vertAlign w:val="baseline"/>
                <w:lang w:val="en-US" w:eastAsia="zh-CN"/>
              </w:rPr>
              <w:t>行政检查事项</w:t>
            </w:r>
          </w:p>
        </w:tc>
        <w:tc>
          <w:tcPr>
            <w:tcW w:w="7590" w:type="dxa"/>
          </w:tcPr>
          <w:p w14:paraId="2253EDB7">
            <w:pPr>
              <w:jc w:val="center"/>
              <w:rPr>
                <w:rFonts w:hint="eastAsia" w:ascii="楷体_GB2312" w:hAnsi="楷体_GB2312" w:eastAsia="楷体_GB2312" w:cs="楷体_GB2312"/>
                <w:i w:val="0"/>
                <w:iCs w:val="0"/>
                <w:caps w:val="0"/>
                <w:color w:val="auto"/>
                <w:spacing w:val="0"/>
                <w:sz w:val="28"/>
                <w:szCs w:val="28"/>
                <w:shd w:val="clear" w:fill="FFFFFF"/>
                <w:vertAlign w:val="baseline"/>
                <w:lang w:val="en-US" w:eastAsia="zh-CN"/>
              </w:rPr>
            </w:pPr>
            <w:r>
              <w:rPr>
                <w:rFonts w:hint="eastAsia" w:ascii="楷体_GB2312" w:hAnsi="楷体_GB2312" w:eastAsia="楷体_GB2312" w:cs="楷体_GB2312"/>
                <w:i w:val="0"/>
                <w:iCs w:val="0"/>
                <w:caps w:val="0"/>
                <w:color w:val="auto"/>
                <w:spacing w:val="0"/>
                <w:sz w:val="28"/>
                <w:szCs w:val="28"/>
                <w:shd w:val="clear" w:fill="FFFFFF"/>
                <w:vertAlign w:val="baseline"/>
                <w:lang w:val="en-US" w:eastAsia="zh-CN"/>
              </w:rPr>
              <w:t>检查标准</w:t>
            </w:r>
          </w:p>
        </w:tc>
        <w:tc>
          <w:tcPr>
            <w:tcW w:w="839" w:type="dxa"/>
          </w:tcPr>
          <w:p w14:paraId="2938BF04">
            <w:pPr>
              <w:jc w:val="center"/>
              <w:rPr>
                <w:rFonts w:hint="eastAsia" w:ascii="楷体_GB2312" w:hAnsi="楷体_GB2312" w:eastAsia="楷体_GB2312" w:cs="楷体_GB2312"/>
                <w:i w:val="0"/>
                <w:iCs w:val="0"/>
                <w:caps w:val="0"/>
                <w:color w:val="auto"/>
                <w:spacing w:val="0"/>
                <w:sz w:val="28"/>
                <w:szCs w:val="28"/>
                <w:shd w:val="clear" w:fill="FFFFFF"/>
                <w:vertAlign w:val="baseline"/>
                <w:lang w:val="en-US" w:eastAsia="zh-CN"/>
              </w:rPr>
            </w:pPr>
            <w:r>
              <w:rPr>
                <w:rFonts w:hint="eastAsia" w:ascii="楷体_GB2312" w:hAnsi="楷体_GB2312" w:eastAsia="楷体_GB2312" w:cs="楷体_GB2312"/>
                <w:i w:val="0"/>
                <w:iCs w:val="0"/>
                <w:caps w:val="0"/>
                <w:color w:val="auto"/>
                <w:spacing w:val="0"/>
                <w:sz w:val="28"/>
                <w:szCs w:val="28"/>
                <w:shd w:val="clear" w:fill="FFFFFF"/>
                <w:vertAlign w:val="baseline"/>
                <w:lang w:val="en-US" w:eastAsia="zh-CN"/>
              </w:rPr>
              <w:t>备注</w:t>
            </w:r>
          </w:p>
        </w:tc>
      </w:tr>
      <w:tr w14:paraId="7599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810" w:type="dxa"/>
            <w:vAlign w:val="center"/>
          </w:tcPr>
          <w:p w14:paraId="66CF1EF5">
            <w:pPr>
              <w:jc w:val="center"/>
              <w:rPr>
                <w:rFonts w:hint="eastAsia" w:ascii="仿宋_GB2312" w:hAnsi="仿宋_GB2312" w:eastAsia="仿宋_GB2312" w:cs="仿宋_GB2312"/>
                <w:i w:val="0"/>
                <w:iCs w:val="0"/>
                <w:caps w:val="0"/>
                <w:color w:val="000000"/>
                <w:spacing w:val="0"/>
                <w:sz w:val="28"/>
                <w:szCs w:val="28"/>
                <w:shd w:val="clear" w:fill="FFFFFF"/>
                <w:lang w:val="en-US" w:eastAsia="zh-CN"/>
              </w:rPr>
            </w:pPr>
            <w:r>
              <w:rPr>
                <w:rFonts w:hint="eastAsia" w:ascii="仿宋_GB2312" w:hAnsi="仿宋_GB2312" w:eastAsia="仿宋_GB2312" w:cs="仿宋_GB2312"/>
                <w:i w:val="0"/>
                <w:iCs w:val="0"/>
                <w:caps w:val="0"/>
                <w:color w:val="000000"/>
                <w:spacing w:val="0"/>
                <w:sz w:val="28"/>
                <w:szCs w:val="28"/>
                <w:shd w:val="clear" w:fill="FFFFFF"/>
                <w:lang w:val="en-US" w:eastAsia="zh-CN"/>
              </w:rPr>
              <w:t>1</w:t>
            </w:r>
          </w:p>
        </w:tc>
        <w:tc>
          <w:tcPr>
            <w:tcW w:w="2505" w:type="dxa"/>
            <w:vAlign w:val="center"/>
          </w:tcPr>
          <w:p w14:paraId="7CB33E6D">
            <w:pPr>
              <w:jc w:val="center"/>
              <w:rPr>
                <w:rFonts w:hint="eastAsia" w:ascii="仿宋_GB2312" w:hAnsi="仿宋_GB2312" w:eastAsia="仿宋_GB2312" w:cs="仿宋_GB2312"/>
                <w:i w:val="0"/>
                <w:iCs w:val="0"/>
                <w:caps w:val="0"/>
                <w:color w:val="000000"/>
                <w:spacing w:val="0"/>
                <w:sz w:val="28"/>
                <w:szCs w:val="28"/>
                <w:shd w:val="clear" w:fill="FFFFFF"/>
                <w:lang w:val="en-US" w:eastAsia="zh-CN"/>
              </w:rPr>
            </w:pPr>
            <w:r>
              <w:rPr>
                <w:rFonts w:hint="eastAsia" w:ascii="仿宋_GB2312" w:hAnsi="仿宋_GB2312" w:eastAsia="仿宋_GB2312" w:cs="仿宋_GB2312"/>
                <w:i w:val="0"/>
                <w:iCs w:val="0"/>
                <w:caps w:val="0"/>
                <w:color w:val="000000"/>
                <w:spacing w:val="0"/>
                <w:sz w:val="28"/>
                <w:szCs w:val="28"/>
                <w:shd w:val="clear" w:fill="FFFFFF"/>
                <w:lang w:val="en-US" w:eastAsia="zh-CN"/>
              </w:rPr>
              <w:t>滑县城市管理局</w:t>
            </w:r>
          </w:p>
        </w:tc>
        <w:tc>
          <w:tcPr>
            <w:tcW w:w="2430" w:type="dxa"/>
            <w:vAlign w:val="center"/>
          </w:tcPr>
          <w:p w14:paraId="0A0B8DE9">
            <w:pPr>
              <w:jc w:val="left"/>
              <w:rPr>
                <w:rFonts w:hint="eastAsia" w:ascii="仿宋_GB2312" w:hAnsi="仿宋_GB2312" w:eastAsia="仿宋_GB2312" w:cs="仿宋_GB2312"/>
                <w:i w:val="0"/>
                <w:iCs w:val="0"/>
                <w:caps w:val="0"/>
                <w:color w:val="auto"/>
                <w:spacing w:val="0"/>
                <w:sz w:val="28"/>
                <w:szCs w:val="28"/>
                <w:shd w:val="clear" w:fill="FFFFFF"/>
                <w:vertAlign w:val="baseline"/>
              </w:rPr>
            </w:pPr>
            <w:r>
              <w:rPr>
                <w:rFonts w:hint="eastAsia" w:ascii="仿宋_GB2312" w:hAnsi="仿宋_GB2312" w:eastAsia="仿宋_GB2312" w:cs="仿宋_GB2312"/>
                <w:i w:val="0"/>
                <w:iCs w:val="0"/>
                <w:caps w:val="0"/>
                <w:color w:val="000000"/>
                <w:spacing w:val="0"/>
                <w:sz w:val="28"/>
                <w:szCs w:val="28"/>
                <w:shd w:val="clear" w:fill="FFFFFF"/>
                <w:lang w:val="en-US" w:eastAsia="zh-CN"/>
              </w:rPr>
              <w:t>对县城规划区内</w:t>
            </w:r>
            <w:r>
              <w:rPr>
                <w:rFonts w:hint="eastAsia" w:ascii="仿宋_GB2312" w:hAnsi="仿宋_GB2312" w:eastAsia="仿宋_GB2312" w:cs="仿宋_GB2312"/>
                <w:i w:val="0"/>
                <w:iCs w:val="0"/>
                <w:caps w:val="0"/>
                <w:color w:val="000000"/>
                <w:spacing w:val="0"/>
                <w:sz w:val="28"/>
                <w:szCs w:val="28"/>
                <w:shd w:val="clear" w:fill="FFFFFF"/>
              </w:rPr>
              <w:t>市容环境卫生监督检查</w:t>
            </w:r>
          </w:p>
        </w:tc>
        <w:tc>
          <w:tcPr>
            <w:tcW w:w="7590" w:type="dxa"/>
          </w:tcPr>
          <w:p w14:paraId="69A975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【政府规章】《河南省&lt;城市市容和环境卫生管理条例&gt;实施办法》(省政府令第29号，根据 2018年7月19日公布的《河南省人民政府关于废止和修改部分省政府规章的决定》省人民政 府令第185号第四次修订)第六条第一款：城市人民政府市容环境卫生行政主管部门的监察管理人员应当对本辖区的市容环境卫生工作进行监督检查。</w:t>
            </w:r>
          </w:p>
          <w:p w14:paraId="657F85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28"/>
                <w:szCs w:val="28"/>
                <w:shd w:val="clear" w:fill="FFFFFF"/>
                <w:vertAlign w:val="baseline"/>
              </w:rPr>
            </w:pPr>
            <w:r>
              <w:rPr>
                <w:rFonts w:hint="eastAsia" w:ascii="仿宋_GB2312" w:hAnsi="仿宋_GB2312" w:eastAsia="仿宋_GB2312" w:cs="仿宋_GB2312"/>
                <w:i w:val="0"/>
                <w:iCs w:val="0"/>
                <w:caps w:val="0"/>
                <w:color w:val="000000"/>
                <w:spacing w:val="0"/>
                <w:sz w:val="28"/>
                <w:szCs w:val="28"/>
                <w:shd w:val="clear" w:fill="FFFFFF"/>
              </w:rPr>
              <w:t>【地方性法规】《安阳市市容环境卫生管理条例》(2022年4月26日安阳市第十四届人民代表大会常务委员会第三十二次会议通过 2022年5月26日河南省第十三届人民代表大会常务委员会第三十二次会议批准)第五条 第一款：市、县（市）、区城市市容和环境卫生主管部门负责本行政区域内城市市容和环境卫生管理工作。</w:t>
            </w:r>
          </w:p>
        </w:tc>
        <w:tc>
          <w:tcPr>
            <w:tcW w:w="839" w:type="dxa"/>
          </w:tcPr>
          <w:p w14:paraId="7E7555B4">
            <w:pPr>
              <w:jc w:val="center"/>
              <w:rPr>
                <w:rFonts w:hint="eastAsia" w:ascii="仿宋_GB2312" w:hAnsi="仿宋_GB2312" w:eastAsia="仿宋_GB2312" w:cs="仿宋_GB2312"/>
                <w:i w:val="0"/>
                <w:iCs w:val="0"/>
                <w:caps w:val="0"/>
                <w:color w:val="auto"/>
                <w:spacing w:val="0"/>
                <w:sz w:val="28"/>
                <w:szCs w:val="28"/>
                <w:shd w:val="clear" w:fill="FFFFFF"/>
                <w:vertAlign w:val="baseline"/>
              </w:rPr>
            </w:pPr>
          </w:p>
        </w:tc>
      </w:tr>
      <w:tr w14:paraId="0430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10" w:type="dxa"/>
            <w:vAlign w:val="center"/>
          </w:tcPr>
          <w:p w14:paraId="1761AAC8">
            <w:pPr>
              <w:jc w:val="center"/>
              <w:rPr>
                <w:rFonts w:hint="eastAsia" w:ascii="仿宋_GB2312" w:hAnsi="仿宋_GB2312" w:eastAsia="仿宋_GB2312" w:cs="仿宋_GB2312"/>
                <w:i w:val="0"/>
                <w:iCs w:val="0"/>
                <w:caps w:val="0"/>
                <w:color w:val="auto"/>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000000"/>
                <w:spacing w:val="0"/>
                <w:sz w:val="28"/>
                <w:szCs w:val="28"/>
                <w:shd w:val="clear" w:fill="FFFFFF"/>
                <w:lang w:val="en-US" w:eastAsia="zh-CN"/>
              </w:rPr>
              <w:t>2</w:t>
            </w:r>
          </w:p>
        </w:tc>
        <w:tc>
          <w:tcPr>
            <w:tcW w:w="2505" w:type="dxa"/>
            <w:vAlign w:val="center"/>
          </w:tcPr>
          <w:p w14:paraId="75EE1C14">
            <w:pPr>
              <w:jc w:val="center"/>
              <w:rPr>
                <w:rFonts w:hint="eastAsia" w:ascii="仿宋_GB2312" w:hAnsi="仿宋_GB2312" w:eastAsia="仿宋_GB2312" w:cs="仿宋_GB2312"/>
                <w:i w:val="0"/>
                <w:iCs w:val="0"/>
                <w:caps w:val="0"/>
                <w:color w:val="auto"/>
                <w:spacing w:val="0"/>
                <w:sz w:val="28"/>
                <w:szCs w:val="28"/>
                <w:shd w:val="clear" w:fill="FFFFFF"/>
                <w:vertAlign w:val="baseline"/>
              </w:rPr>
            </w:pPr>
            <w:r>
              <w:rPr>
                <w:rFonts w:hint="eastAsia" w:ascii="仿宋_GB2312" w:hAnsi="仿宋_GB2312" w:eastAsia="仿宋_GB2312" w:cs="仿宋_GB2312"/>
                <w:i w:val="0"/>
                <w:iCs w:val="0"/>
                <w:caps w:val="0"/>
                <w:color w:val="000000"/>
                <w:spacing w:val="0"/>
                <w:sz w:val="28"/>
                <w:szCs w:val="28"/>
                <w:shd w:val="clear" w:fill="FFFFFF"/>
                <w:lang w:val="en-US" w:eastAsia="zh-CN"/>
              </w:rPr>
              <w:t>滑县城市管理局</w:t>
            </w:r>
          </w:p>
        </w:tc>
        <w:tc>
          <w:tcPr>
            <w:tcW w:w="2430" w:type="dxa"/>
            <w:vAlign w:val="center"/>
          </w:tcPr>
          <w:p w14:paraId="73738528">
            <w:pPr>
              <w:jc w:val="left"/>
              <w:rPr>
                <w:rFonts w:hint="eastAsia" w:ascii="仿宋_GB2312" w:hAnsi="仿宋_GB2312" w:eastAsia="仿宋_GB2312" w:cs="仿宋_GB2312"/>
                <w:i w:val="0"/>
                <w:iCs w:val="0"/>
                <w:caps w:val="0"/>
                <w:color w:val="auto"/>
                <w:spacing w:val="0"/>
                <w:sz w:val="28"/>
                <w:szCs w:val="28"/>
                <w:shd w:val="clear" w:fill="FFFFFF"/>
                <w:vertAlign w:val="baseline"/>
              </w:rPr>
            </w:pPr>
            <w:r>
              <w:rPr>
                <w:rFonts w:hint="eastAsia" w:ascii="仿宋_GB2312" w:hAnsi="仿宋_GB2312" w:eastAsia="仿宋_GB2312" w:cs="仿宋_GB2312"/>
                <w:i w:val="0"/>
                <w:iCs w:val="0"/>
                <w:caps w:val="0"/>
                <w:color w:val="000000"/>
                <w:spacing w:val="0"/>
                <w:sz w:val="28"/>
                <w:szCs w:val="28"/>
                <w:shd w:val="clear" w:fill="FFFFFF"/>
                <w:lang w:val="en-US" w:eastAsia="zh-CN"/>
              </w:rPr>
              <w:t>对县城规划</w:t>
            </w:r>
            <w:r>
              <w:rPr>
                <w:rFonts w:hint="eastAsia" w:ascii="仿宋_GB2312" w:hAnsi="仿宋_GB2312" w:eastAsia="仿宋_GB2312" w:cs="仿宋_GB2312"/>
                <w:i w:val="0"/>
                <w:iCs w:val="0"/>
                <w:caps w:val="0"/>
                <w:color w:val="000000"/>
                <w:spacing w:val="0"/>
                <w:sz w:val="28"/>
                <w:szCs w:val="28"/>
                <w:shd w:val="clear" w:fill="FFFFFF"/>
              </w:rPr>
              <w:t>区</w:t>
            </w:r>
            <w:r>
              <w:rPr>
                <w:rFonts w:hint="eastAsia" w:ascii="仿宋_GB2312" w:hAnsi="仿宋_GB2312" w:eastAsia="仿宋_GB2312" w:cs="仿宋_GB2312"/>
                <w:i w:val="0"/>
                <w:iCs w:val="0"/>
                <w:caps w:val="0"/>
                <w:color w:val="000000"/>
                <w:spacing w:val="0"/>
                <w:sz w:val="28"/>
                <w:szCs w:val="28"/>
                <w:shd w:val="clear" w:fill="FFFFFF"/>
                <w:lang w:val="en-US" w:eastAsia="zh-CN"/>
              </w:rPr>
              <w:t>内</w:t>
            </w:r>
            <w:r>
              <w:rPr>
                <w:rFonts w:hint="eastAsia" w:ascii="仿宋_GB2312" w:hAnsi="仿宋_GB2312" w:eastAsia="仿宋_GB2312" w:cs="仿宋_GB2312"/>
                <w:i w:val="0"/>
                <w:iCs w:val="0"/>
                <w:caps w:val="0"/>
                <w:color w:val="000000"/>
                <w:spacing w:val="0"/>
                <w:sz w:val="28"/>
                <w:szCs w:val="28"/>
                <w:shd w:val="clear" w:fill="FFFFFF"/>
              </w:rPr>
              <w:t>餐饮油烟日常监督检查</w:t>
            </w:r>
          </w:p>
        </w:tc>
        <w:tc>
          <w:tcPr>
            <w:tcW w:w="7590" w:type="dxa"/>
          </w:tcPr>
          <w:p w14:paraId="11E6A6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both"/>
              <w:rPr>
                <w:rFonts w:hint="eastAsia" w:ascii="仿宋_GB2312" w:hAnsi="仿宋_GB2312" w:eastAsia="仿宋_GB2312" w:cs="仿宋_GB2312"/>
                <w:i w:val="0"/>
                <w:iCs w:val="0"/>
                <w:caps w:val="0"/>
                <w:color w:val="000000"/>
                <w:spacing w:val="0"/>
                <w:kern w:val="2"/>
                <w:sz w:val="28"/>
                <w:szCs w:val="28"/>
                <w:shd w:val="clear" w:fill="FFFFFF"/>
                <w:lang w:val="en-US" w:eastAsia="zh-CN" w:bidi="ar-SA"/>
              </w:rPr>
            </w:pPr>
            <w:r>
              <w:rPr>
                <w:rFonts w:hint="eastAsia" w:ascii="仿宋_GB2312" w:hAnsi="仿宋_GB2312" w:eastAsia="仿宋_GB2312" w:cs="仿宋_GB2312"/>
                <w:i w:val="0"/>
                <w:iCs w:val="0"/>
                <w:caps w:val="0"/>
                <w:color w:val="000000"/>
                <w:spacing w:val="0"/>
                <w:sz w:val="28"/>
                <w:szCs w:val="28"/>
                <w:shd w:val="clear" w:fill="FFFFFF"/>
              </w:rPr>
              <w:t>【法律法规】</w:t>
            </w:r>
            <w:r>
              <w:rPr>
                <w:rFonts w:hint="eastAsia" w:ascii="仿宋_GB2312" w:hAnsi="仿宋_GB2312" w:eastAsia="仿宋_GB2312" w:cs="仿宋_GB2312"/>
                <w:i w:val="0"/>
                <w:iCs w:val="0"/>
                <w:caps w:val="0"/>
                <w:color w:val="000000"/>
                <w:spacing w:val="0"/>
                <w:kern w:val="2"/>
                <w:sz w:val="28"/>
                <w:szCs w:val="28"/>
                <w:shd w:val="clear" w:fill="FFFFFF"/>
                <w:lang w:val="en-US" w:eastAsia="zh-CN" w:bidi="ar-SA"/>
              </w:rPr>
              <w:t>第五条 县级以上人民政府生态环境主管部门对大气污染防治实施统一监督管理。</w:t>
            </w:r>
          </w:p>
          <w:p w14:paraId="371C4A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both"/>
              <w:rPr>
                <w:rFonts w:hint="eastAsia" w:ascii="仿宋_GB2312" w:hAnsi="仿宋_GB2312" w:eastAsia="仿宋_GB2312" w:cs="仿宋_GB2312"/>
                <w:i w:val="0"/>
                <w:iCs w:val="0"/>
                <w:caps w:val="0"/>
                <w:color w:val="auto"/>
                <w:spacing w:val="0"/>
                <w:sz w:val="28"/>
                <w:szCs w:val="28"/>
                <w:shd w:val="clear" w:fill="FFFFFF"/>
                <w:vertAlign w:val="baseline"/>
              </w:rPr>
            </w:pPr>
            <w:r>
              <w:rPr>
                <w:rFonts w:hint="eastAsia" w:ascii="仿宋_GB2312" w:hAnsi="仿宋_GB2312" w:eastAsia="仿宋_GB2312" w:cs="仿宋_GB2312"/>
                <w:i w:val="0"/>
                <w:iCs w:val="0"/>
                <w:caps w:val="0"/>
                <w:color w:val="000000"/>
                <w:spacing w:val="0"/>
                <w:kern w:val="2"/>
                <w:sz w:val="28"/>
                <w:szCs w:val="28"/>
                <w:shd w:val="clear" w:fill="FFFFFF"/>
                <w:lang w:val="en-US" w:eastAsia="zh-CN" w:bidi="ar-SA"/>
              </w:rPr>
              <w:t>县级以上人民政府其他有关部门在各自职责范围内对大气污染防治实施监督管理。</w:t>
            </w:r>
          </w:p>
        </w:tc>
        <w:tc>
          <w:tcPr>
            <w:tcW w:w="839" w:type="dxa"/>
          </w:tcPr>
          <w:p w14:paraId="462957C7">
            <w:pPr>
              <w:jc w:val="center"/>
              <w:rPr>
                <w:rFonts w:hint="eastAsia" w:ascii="仿宋_GB2312" w:hAnsi="仿宋_GB2312" w:eastAsia="仿宋_GB2312" w:cs="仿宋_GB2312"/>
                <w:i w:val="0"/>
                <w:iCs w:val="0"/>
                <w:caps w:val="0"/>
                <w:color w:val="auto"/>
                <w:spacing w:val="0"/>
                <w:sz w:val="28"/>
                <w:szCs w:val="28"/>
                <w:shd w:val="clear" w:fill="FFFFFF"/>
                <w:vertAlign w:val="baseline"/>
              </w:rPr>
            </w:pPr>
          </w:p>
        </w:tc>
      </w:tr>
      <w:tr w14:paraId="6BF1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vAlign w:val="center"/>
          </w:tcPr>
          <w:p w14:paraId="078A1573">
            <w:pPr>
              <w:jc w:val="center"/>
              <w:rPr>
                <w:rFonts w:hint="eastAsia" w:ascii="仿宋_GB2312" w:hAnsi="仿宋_GB2312" w:eastAsia="仿宋_GB2312" w:cs="仿宋_GB2312"/>
                <w:i w:val="0"/>
                <w:iCs w:val="0"/>
                <w:caps w:val="0"/>
                <w:color w:val="auto"/>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auto"/>
                <w:spacing w:val="0"/>
                <w:sz w:val="28"/>
                <w:szCs w:val="28"/>
                <w:shd w:val="clear" w:fill="FFFFFF"/>
                <w:vertAlign w:val="baseline"/>
                <w:lang w:val="en-US" w:eastAsia="zh-CN"/>
              </w:rPr>
              <w:t>3</w:t>
            </w:r>
          </w:p>
        </w:tc>
        <w:tc>
          <w:tcPr>
            <w:tcW w:w="2505" w:type="dxa"/>
            <w:vAlign w:val="center"/>
          </w:tcPr>
          <w:p w14:paraId="1C456BE8">
            <w:pPr>
              <w:jc w:val="center"/>
              <w:rPr>
                <w:rFonts w:hint="eastAsia" w:ascii="仿宋_GB2312" w:hAnsi="仿宋_GB2312" w:eastAsia="仿宋_GB2312" w:cs="仿宋_GB2312"/>
                <w:i w:val="0"/>
                <w:iCs w:val="0"/>
                <w:caps w:val="0"/>
                <w:color w:val="auto"/>
                <w:spacing w:val="0"/>
                <w:sz w:val="28"/>
                <w:szCs w:val="28"/>
                <w:shd w:val="clear" w:fill="FFFFFF"/>
                <w:vertAlign w:val="baseline"/>
              </w:rPr>
            </w:pPr>
            <w:r>
              <w:rPr>
                <w:rFonts w:hint="eastAsia" w:ascii="仿宋_GB2312" w:hAnsi="仿宋_GB2312" w:eastAsia="仿宋_GB2312" w:cs="仿宋_GB2312"/>
                <w:i w:val="0"/>
                <w:iCs w:val="0"/>
                <w:caps w:val="0"/>
                <w:color w:val="000000"/>
                <w:spacing w:val="0"/>
                <w:sz w:val="28"/>
                <w:szCs w:val="28"/>
                <w:shd w:val="clear" w:fill="FFFFFF"/>
                <w:lang w:val="en-US" w:eastAsia="zh-CN"/>
              </w:rPr>
              <w:t>滑县城市管理局</w:t>
            </w:r>
          </w:p>
        </w:tc>
        <w:tc>
          <w:tcPr>
            <w:tcW w:w="2430" w:type="dxa"/>
            <w:vAlign w:val="center"/>
          </w:tcPr>
          <w:p w14:paraId="6702A140">
            <w:pPr>
              <w:jc w:val="left"/>
              <w:rPr>
                <w:rFonts w:hint="eastAsia" w:ascii="仿宋_GB2312" w:hAnsi="仿宋_GB2312" w:eastAsia="仿宋_GB2312" w:cs="仿宋_GB2312"/>
                <w:i w:val="0"/>
                <w:iCs w:val="0"/>
                <w:caps w:val="0"/>
                <w:color w:val="auto"/>
                <w:spacing w:val="0"/>
                <w:sz w:val="28"/>
                <w:szCs w:val="28"/>
                <w:shd w:val="clear" w:fill="FFFFFF"/>
                <w:vertAlign w:val="baseline"/>
              </w:rPr>
            </w:pPr>
            <w:r>
              <w:rPr>
                <w:rFonts w:hint="eastAsia" w:ascii="仿宋_GB2312" w:hAnsi="仿宋_GB2312" w:eastAsia="仿宋_GB2312" w:cs="仿宋_GB2312"/>
                <w:i w:val="0"/>
                <w:iCs w:val="0"/>
                <w:caps w:val="0"/>
                <w:color w:val="000000"/>
                <w:spacing w:val="0"/>
                <w:sz w:val="28"/>
                <w:szCs w:val="28"/>
                <w:shd w:val="clear" w:fill="FFFFFF"/>
                <w:lang w:val="en-US" w:eastAsia="zh-CN"/>
              </w:rPr>
              <w:t>对县城规划</w:t>
            </w:r>
            <w:r>
              <w:rPr>
                <w:rFonts w:hint="eastAsia" w:ascii="仿宋_GB2312" w:hAnsi="仿宋_GB2312" w:eastAsia="仿宋_GB2312" w:cs="仿宋_GB2312"/>
                <w:i w:val="0"/>
                <w:iCs w:val="0"/>
                <w:caps w:val="0"/>
                <w:color w:val="000000"/>
                <w:spacing w:val="0"/>
                <w:sz w:val="28"/>
                <w:szCs w:val="28"/>
                <w:shd w:val="clear" w:fill="FFFFFF"/>
              </w:rPr>
              <w:t>区</w:t>
            </w:r>
            <w:r>
              <w:rPr>
                <w:rFonts w:hint="eastAsia" w:ascii="仿宋_GB2312" w:hAnsi="仿宋_GB2312" w:eastAsia="仿宋_GB2312" w:cs="仿宋_GB2312"/>
                <w:i w:val="0"/>
                <w:iCs w:val="0"/>
                <w:caps w:val="0"/>
                <w:color w:val="000000"/>
                <w:spacing w:val="0"/>
                <w:sz w:val="28"/>
                <w:szCs w:val="28"/>
                <w:shd w:val="clear" w:fill="FFFFFF"/>
                <w:lang w:val="en-US" w:eastAsia="zh-CN"/>
              </w:rPr>
              <w:t>内建筑垃圾产生、收集、运输、利用、处置等行为的</w:t>
            </w:r>
            <w:r>
              <w:rPr>
                <w:rFonts w:hint="eastAsia" w:ascii="仿宋_GB2312" w:hAnsi="仿宋_GB2312" w:eastAsia="仿宋_GB2312" w:cs="仿宋_GB2312"/>
                <w:i w:val="0"/>
                <w:iCs w:val="0"/>
                <w:caps w:val="0"/>
                <w:color w:val="000000"/>
                <w:spacing w:val="0"/>
                <w:sz w:val="28"/>
                <w:szCs w:val="28"/>
                <w:shd w:val="clear" w:fill="FFFFFF"/>
              </w:rPr>
              <w:t>日常监督检查</w:t>
            </w:r>
          </w:p>
        </w:tc>
        <w:tc>
          <w:tcPr>
            <w:tcW w:w="7590" w:type="dxa"/>
            <w:vAlign w:val="top"/>
          </w:tcPr>
          <w:p w14:paraId="352FAA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i w:val="0"/>
                <w:iCs w:val="0"/>
                <w:caps w:val="0"/>
                <w:color w:val="000000"/>
                <w:spacing w:val="0"/>
                <w:sz w:val="28"/>
                <w:szCs w:val="28"/>
                <w:shd w:val="clear" w:fill="FFFFFF"/>
              </w:rPr>
            </w:pPr>
            <w:r>
              <w:rPr>
                <w:rFonts w:hint="eastAsia" w:ascii="仿宋_GB2312" w:hAnsi="仿宋_GB2312" w:eastAsia="仿宋_GB2312" w:cs="仿宋_GB2312"/>
                <w:i w:val="0"/>
                <w:iCs w:val="0"/>
                <w:caps w:val="0"/>
                <w:color w:val="000000"/>
                <w:spacing w:val="0"/>
                <w:sz w:val="28"/>
                <w:szCs w:val="28"/>
                <w:shd w:val="clear" w:fill="FFFFFF"/>
              </w:rPr>
              <w:t>【法律法规】</w:t>
            </w:r>
            <w:r>
              <w:rPr>
                <w:rFonts w:hint="eastAsia" w:ascii="仿宋_GB2312" w:hAnsi="仿宋_GB2312" w:eastAsia="仿宋_GB2312" w:cs="仿宋_GB2312"/>
                <w:i w:val="0"/>
                <w:iCs w:val="0"/>
                <w:caps w:val="0"/>
                <w:color w:val="000000"/>
                <w:spacing w:val="0"/>
                <w:sz w:val="28"/>
                <w:szCs w:val="28"/>
                <w:shd w:val="clear" w:fill="FFFFFF"/>
                <w:lang w:eastAsia="zh-CN"/>
              </w:rPr>
              <w:t>《</w:t>
            </w:r>
            <w:r>
              <w:rPr>
                <w:rFonts w:hint="eastAsia" w:ascii="仿宋_GB2312" w:hAnsi="仿宋_GB2312" w:eastAsia="仿宋_GB2312" w:cs="仿宋_GB2312"/>
                <w:i w:val="0"/>
                <w:iCs w:val="0"/>
                <w:caps w:val="0"/>
                <w:color w:val="000000"/>
                <w:spacing w:val="0"/>
                <w:sz w:val="28"/>
                <w:szCs w:val="28"/>
                <w:shd w:val="clear" w:fill="FFFFFF"/>
                <w:lang w:val="en-US" w:eastAsia="zh-CN"/>
              </w:rPr>
              <w:t>中华人民共和国固体废物污染环境防治法》</w:t>
            </w:r>
            <w:r>
              <w:rPr>
                <w:rFonts w:hint="eastAsia" w:ascii="仿宋_GB2312" w:hAnsi="仿宋_GB2312" w:eastAsia="仿宋_GB2312" w:cs="仿宋_GB2312"/>
                <w:i w:val="0"/>
                <w:iCs w:val="0"/>
                <w:caps w:val="0"/>
                <w:color w:val="000000"/>
                <w:spacing w:val="0"/>
                <w:sz w:val="28"/>
                <w:szCs w:val="28"/>
                <w:shd w:val="clear" w:fill="FFFFFF"/>
              </w:rPr>
              <w:t>第六十二条 县级以上地方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p>
          <w:p w14:paraId="562CA6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i w:val="0"/>
                <w:iCs w:val="0"/>
                <w:caps w:val="0"/>
                <w:color w:val="auto"/>
                <w:spacing w:val="0"/>
                <w:sz w:val="28"/>
                <w:szCs w:val="28"/>
                <w:shd w:val="clear" w:fill="FFFFFF"/>
                <w:vertAlign w:val="baseline"/>
              </w:rPr>
            </w:pPr>
            <w:r>
              <w:rPr>
                <w:rFonts w:hint="eastAsia" w:ascii="仿宋_GB2312" w:hAnsi="仿宋_GB2312" w:eastAsia="仿宋_GB2312" w:cs="仿宋_GB2312"/>
                <w:i w:val="0"/>
                <w:iCs w:val="0"/>
                <w:caps w:val="0"/>
                <w:color w:val="000000"/>
                <w:spacing w:val="0"/>
                <w:sz w:val="28"/>
                <w:szCs w:val="28"/>
                <w:shd w:val="clear" w:fill="FFFFFF"/>
                <w:lang w:eastAsia="zh-CN"/>
              </w:rPr>
              <w:t>【</w:t>
            </w:r>
            <w:r>
              <w:rPr>
                <w:rFonts w:hint="eastAsia" w:ascii="仿宋_GB2312" w:hAnsi="仿宋_GB2312" w:eastAsia="仿宋_GB2312" w:cs="仿宋_GB2312"/>
                <w:i w:val="0"/>
                <w:iCs w:val="0"/>
                <w:caps w:val="0"/>
                <w:color w:val="000000"/>
                <w:spacing w:val="0"/>
                <w:sz w:val="28"/>
                <w:szCs w:val="28"/>
                <w:shd w:val="clear" w:fill="FFFFFF"/>
                <w:lang w:val="en-US" w:eastAsia="zh-CN"/>
              </w:rPr>
              <w:t>部门规章】</w:t>
            </w:r>
            <w:r>
              <w:rPr>
                <w:rFonts w:hint="eastAsia" w:ascii="仿宋_GB2312" w:hAnsi="仿宋_GB2312" w:eastAsia="仿宋_GB2312" w:cs="仿宋_GB2312"/>
                <w:i w:val="0"/>
                <w:iCs w:val="0"/>
                <w:caps w:val="0"/>
                <w:color w:val="000000"/>
                <w:spacing w:val="0"/>
                <w:sz w:val="28"/>
                <w:szCs w:val="28"/>
                <w:shd w:val="clear" w:fill="FFFFFF"/>
                <w:lang w:eastAsia="zh-CN"/>
              </w:rPr>
              <w:t>《</w:t>
            </w:r>
            <w:r>
              <w:rPr>
                <w:rFonts w:hint="eastAsia" w:ascii="仿宋_GB2312" w:hAnsi="仿宋_GB2312" w:eastAsia="仿宋_GB2312" w:cs="仿宋_GB2312"/>
                <w:i w:val="0"/>
                <w:iCs w:val="0"/>
                <w:caps w:val="0"/>
                <w:color w:val="000000"/>
                <w:spacing w:val="0"/>
                <w:sz w:val="28"/>
                <w:szCs w:val="28"/>
                <w:shd w:val="clear" w:fill="FFFFFF"/>
                <w:lang w:val="en-US" w:eastAsia="zh-CN"/>
              </w:rPr>
              <w:t>城市建筑垃圾管理规定》第二条本规定适用于城市规划区内建筑垃圾的倾倒、运输、中转、回填、消纳、利用等处置活动。本规定所称建筑垃圾，是指建设单位、施工单位新建、改建、扩建和拆除各类建筑物、构筑物、管网等以及居民装饰装修房屋过程中所产生的弃土、弃料及其它废弃物。第三条国务院建设主管部门负责全国城市建筑垃圾的管理工作。省、自治区建设主管部门负责本行政区域内城市建筑垃圾的管理工作。城市人民政府市容环境卫生主管部门负责本行政区域内建筑垃圾的管理工作。</w:t>
            </w:r>
          </w:p>
        </w:tc>
        <w:tc>
          <w:tcPr>
            <w:tcW w:w="839" w:type="dxa"/>
          </w:tcPr>
          <w:p w14:paraId="4791395B">
            <w:pPr>
              <w:jc w:val="center"/>
              <w:rPr>
                <w:rFonts w:hint="eastAsia" w:ascii="仿宋_GB2312" w:hAnsi="仿宋_GB2312" w:eastAsia="仿宋_GB2312" w:cs="仿宋_GB2312"/>
                <w:i w:val="0"/>
                <w:iCs w:val="0"/>
                <w:caps w:val="0"/>
                <w:color w:val="auto"/>
                <w:spacing w:val="0"/>
                <w:sz w:val="28"/>
                <w:szCs w:val="28"/>
                <w:shd w:val="clear" w:fill="FFFFFF"/>
                <w:vertAlign w:val="baseline"/>
              </w:rPr>
            </w:pPr>
          </w:p>
        </w:tc>
      </w:tr>
      <w:tr w14:paraId="5BD6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trPr>
        <w:tc>
          <w:tcPr>
            <w:tcW w:w="810" w:type="dxa"/>
            <w:vAlign w:val="center"/>
          </w:tcPr>
          <w:p w14:paraId="0C46E96D">
            <w:pPr>
              <w:jc w:val="center"/>
              <w:rPr>
                <w:rFonts w:hint="default" w:ascii="仿宋_GB2312" w:hAnsi="仿宋_GB2312" w:eastAsia="仿宋_GB2312" w:cs="仿宋_GB2312"/>
                <w:i w:val="0"/>
                <w:iCs w:val="0"/>
                <w:caps w:val="0"/>
                <w:color w:val="auto"/>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auto"/>
                <w:spacing w:val="0"/>
                <w:sz w:val="28"/>
                <w:szCs w:val="28"/>
                <w:shd w:val="clear" w:fill="FFFFFF"/>
                <w:vertAlign w:val="baseline"/>
                <w:lang w:val="en-US" w:eastAsia="zh-CN"/>
              </w:rPr>
              <w:t>4</w:t>
            </w:r>
          </w:p>
        </w:tc>
        <w:tc>
          <w:tcPr>
            <w:tcW w:w="2505" w:type="dxa"/>
            <w:vAlign w:val="center"/>
          </w:tcPr>
          <w:p w14:paraId="2544BA5C">
            <w:pPr>
              <w:jc w:val="center"/>
              <w:rPr>
                <w:rFonts w:hint="default" w:ascii="仿宋_GB2312" w:hAnsi="仿宋_GB2312" w:eastAsia="仿宋_GB2312" w:cs="仿宋_GB2312"/>
                <w:i w:val="0"/>
                <w:iCs w:val="0"/>
                <w:caps w:val="0"/>
                <w:color w:val="000000"/>
                <w:spacing w:val="0"/>
                <w:sz w:val="28"/>
                <w:szCs w:val="28"/>
                <w:shd w:val="clear" w:fill="FFFFFF"/>
                <w:lang w:val="en-US" w:eastAsia="zh-CN"/>
              </w:rPr>
            </w:pPr>
            <w:r>
              <w:rPr>
                <w:rFonts w:hint="eastAsia" w:ascii="仿宋_GB2312" w:hAnsi="仿宋_GB2312" w:eastAsia="仿宋_GB2312" w:cs="仿宋_GB2312"/>
                <w:i w:val="0"/>
                <w:iCs w:val="0"/>
                <w:caps w:val="0"/>
                <w:color w:val="000000"/>
                <w:spacing w:val="0"/>
                <w:sz w:val="28"/>
                <w:szCs w:val="28"/>
                <w:shd w:val="clear" w:fill="FFFFFF"/>
                <w:lang w:val="en-US" w:eastAsia="zh-CN"/>
              </w:rPr>
              <w:t>滑县城市管理局</w:t>
            </w:r>
          </w:p>
        </w:tc>
        <w:tc>
          <w:tcPr>
            <w:tcW w:w="2430" w:type="dxa"/>
            <w:vAlign w:val="center"/>
          </w:tcPr>
          <w:p w14:paraId="281A63D0">
            <w:pPr>
              <w:jc w:val="left"/>
              <w:rPr>
                <w:rFonts w:hint="eastAsia" w:ascii="仿宋_GB2312" w:hAnsi="仿宋_GB2312" w:eastAsia="仿宋_GB2312" w:cs="仿宋_GB2312"/>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kern w:val="0"/>
                <w:sz w:val="28"/>
                <w:szCs w:val="28"/>
                <w:lang w:val="en-US" w:eastAsia="zh-CN" w:bidi="ar"/>
              </w:rPr>
              <w:t>对县城规划区内噪声敏感建筑物集中区域内夜间</w:t>
            </w:r>
            <w:r>
              <w:rPr>
                <w:rFonts w:hint="eastAsia" w:ascii="仿宋" w:hAnsi="仿宋" w:eastAsia="仿宋" w:cs="仿宋"/>
                <w:i w:val="0"/>
                <w:iCs w:val="0"/>
                <w:caps w:val="0"/>
                <w:color w:val="000000"/>
                <w:spacing w:val="0"/>
                <w:kern w:val="0"/>
                <w:sz w:val="28"/>
                <w:szCs w:val="28"/>
                <w:lang w:val="en-US" w:eastAsia="zh-CN" w:bidi="ar"/>
              </w:rPr>
              <w:t>建筑施工作业</w:t>
            </w:r>
            <w:r>
              <w:rPr>
                <w:rFonts w:hint="eastAsia" w:ascii="仿宋" w:hAnsi="仿宋" w:eastAsia="仿宋" w:cs="仿宋"/>
                <w:i w:val="0"/>
                <w:iCs w:val="0"/>
                <w:caps w:val="0"/>
                <w:color w:val="000000"/>
                <w:spacing w:val="0"/>
                <w:kern w:val="0"/>
                <w:sz w:val="28"/>
                <w:szCs w:val="28"/>
                <w:lang w:val="en-US" w:eastAsia="zh-CN" w:bidi="ar"/>
              </w:rPr>
              <w:t>产生噪声的检查</w:t>
            </w:r>
          </w:p>
        </w:tc>
        <w:tc>
          <w:tcPr>
            <w:tcW w:w="7590" w:type="dxa"/>
          </w:tcPr>
          <w:p w14:paraId="56C011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i w:val="0"/>
                <w:iCs w:val="0"/>
                <w:caps w:val="0"/>
                <w:color w:val="000000"/>
                <w:spacing w:val="0"/>
                <w:sz w:val="28"/>
                <w:szCs w:val="28"/>
                <w:shd w:val="clear" w:fill="FFFFFF"/>
                <w:lang w:val="en-US" w:eastAsia="zh-CN"/>
              </w:rPr>
            </w:pPr>
            <w:r>
              <w:rPr>
                <w:rFonts w:hint="eastAsia" w:ascii="仿宋_GB2312" w:hAnsi="仿宋_GB2312" w:eastAsia="仿宋_GB2312" w:cs="仿宋_GB2312"/>
                <w:i w:val="0"/>
                <w:iCs w:val="0"/>
                <w:caps w:val="0"/>
                <w:color w:val="000000"/>
                <w:spacing w:val="0"/>
                <w:sz w:val="28"/>
                <w:szCs w:val="28"/>
                <w:shd w:val="clear" w:fill="FFFFFF"/>
                <w:lang w:val="en-US" w:eastAsia="zh-CN"/>
              </w:rPr>
              <w:t>【法律法规】《中华人民共和国噪声污染防治法》第八条 国务院生态环境主管部门对全国噪声污染防治实施统一监督管理。</w:t>
            </w:r>
          </w:p>
          <w:p w14:paraId="06A8AD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i w:val="0"/>
                <w:iCs w:val="0"/>
                <w:caps w:val="0"/>
                <w:color w:val="000000"/>
                <w:spacing w:val="0"/>
                <w:sz w:val="28"/>
                <w:szCs w:val="28"/>
                <w:shd w:val="clear" w:fill="FFFFFF"/>
                <w:lang w:val="en-US" w:eastAsia="zh-CN"/>
              </w:rPr>
            </w:pPr>
            <w:r>
              <w:rPr>
                <w:rFonts w:hint="eastAsia" w:ascii="仿宋_GB2312" w:hAnsi="仿宋_GB2312" w:eastAsia="仿宋_GB2312" w:cs="仿宋_GB2312"/>
                <w:i w:val="0"/>
                <w:iCs w:val="0"/>
                <w:caps w:val="0"/>
                <w:color w:val="000000"/>
                <w:spacing w:val="0"/>
                <w:sz w:val="28"/>
                <w:szCs w:val="28"/>
                <w:shd w:val="clear" w:fill="FFFFFF"/>
                <w:lang w:val="en-US" w:eastAsia="zh-CN"/>
              </w:rPr>
              <w:t>地方人民政府生态环境主管部门对本行政区域噪声污染防治实施统一监督管理。</w:t>
            </w:r>
          </w:p>
          <w:p w14:paraId="7F6425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i w:val="0"/>
                <w:iCs w:val="0"/>
                <w:caps w:val="0"/>
                <w:color w:val="000000"/>
                <w:spacing w:val="0"/>
                <w:sz w:val="28"/>
                <w:szCs w:val="28"/>
                <w:shd w:val="clear" w:fill="FFFFFF"/>
                <w:lang w:val="en-US" w:eastAsia="zh-CN"/>
              </w:rPr>
            </w:pPr>
            <w:r>
              <w:rPr>
                <w:rFonts w:hint="eastAsia" w:ascii="仿宋_GB2312" w:hAnsi="仿宋_GB2312" w:eastAsia="仿宋_GB2312" w:cs="仿宋_GB2312"/>
                <w:i w:val="0"/>
                <w:iCs w:val="0"/>
                <w:caps w:val="0"/>
                <w:color w:val="000000"/>
                <w:spacing w:val="0"/>
                <w:sz w:val="28"/>
                <w:szCs w:val="28"/>
                <w:shd w:val="clear" w:fill="FFFFFF"/>
                <w:lang w:val="en-US" w:eastAsia="zh-CN"/>
              </w:rPr>
              <w:t>各级住房和城乡建设、公安、交通运输、铁路监督管理、民用航空、海事等部门，在各自职责范围内，对建筑施工、交通运输和社会生活噪声污染防治实施监督管理。</w:t>
            </w:r>
          </w:p>
          <w:p w14:paraId="599AE1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i w:val="0"/>
                <w:iCs w:val="0"/>
                <w:caps w:val="0"/>
                <w:color w:val="000000"/>
                <w:spacing w:val="0"/>
                <w:sz w:val="28"/>
                <w:szCs w:val="28"/>
                <w:shd w:val="clear" w:fill="FFFFFF"/>
                <w:lang w:val="en-US" w:eastAsia="zh-CN"/>
              </w:rPr>
            </w:pPr>
            <w:r>
              <w:rPr>
                <w:rFonts w:hint="eastAsia" w:ascii="仿宋_GB2312" w:hAnsi="仿宋_GB2312" w:eastAsia="仿宋_GB2312" w:cs="仿宋_GB2312"/>
                <w:i w:val="0"/>
                <w:iCs w:val="0"/>
                <w:caps w:val="0"/>
                <w:color w:val="000000"/>
                <w:spacing w:val="0"/>
                <w:sz w:val="28"/>
                <w:szCs w:val="28"/>
                <w:shd w:val="clear" w:fill="FFFFFF"/>
                <w:lang w:val="en-US" w:eastAsia="zh-CN"/>
              </w:rPr>
              <w:t>基层群众性自治组织应当协助地方人民政府及其有关部门做好噪声污染防治工作。</w:t>
            </w:r>
          </w:p>
          <w:p w14:paraId="6B7A53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i w:val="0"/>
                <w:iCs w:val="0"/>
                <w:caps w:val="0"/>
                <w:color w:val="000000"/>
                <w:spacing w:val="0"/>
                <w:sz w:val="28"/>
                <w:szCs w:val="28"/>
                <w:shd w:val="clear" w:fill="FFFFFF"/>
                <w:lang w:val="en-US" w:eastAsia="zh-CN"/>
              </w:rPr>
            </w:pPr>
            <w:r>
              <w:rPr>
                <w:rFonts w:hint="eastAsia" w:ascii="仿宋_GB2312" w:hAnsi="仿宋_GB2312" w:eastAsia="仿宋_GB2312" w:cs="仿宋_GB2312"/>
                <w:i w:val="0"/>
                <w:iCs w:val="0"/>
                <w:caps w:val="0"/>
                <w:color w:val="000000"/>
                <w:spacing w:val="0"/>
                <w:sz w:val="28"/>
                <w:szCs w:val="28"/>
                <w:shd w:val="clear" w:fill="FFFFFF"/>
                <w:lang w:val="en-US" w:eastAsia="zh-CN"/>
              </w:rPr>
              <w:t>第四十三条 在噪声敏感建筑物集中区域，禁止夜间进行产生噪声的建筑施工作业，但抢修、抢险施工作业，因生产工艺要求或者其他特殊需要必须连续施工作业的除外。</w:t>
            </w:r>
          </w:p>
          <w:p w14:paraId="01EA45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i w:val="0"/>
                <w:iCs w:val="0"/>
                <w:caps w:val="0"/>
                <w:color w:val="000000"/>
                <w:spacing w:val="0"/>
                <w:sz w:val="28"/>
                <w:szCs w:val="28"/>
                <w:lang w:eastAsia="zh-CN"/>
              </w:rPr>
            </w:pPr>
            <w:r>
              <w:rPr>
                <w:rFonts w:hint="eastAsia" w:ascii="仿宋_GB2312" w:hAnsi="仿宋_GB2312" w:eastAsia="仿宋_GB2312" w:cs="仿宋_GB2312"/>
                <w:i w:val="0"/>
                <w:iCs w:val="0"/>
                <w:caps w:val="0"/>
                <w:color w:val="000000"/>
                <w:spacing w:val="0"/>
                <w:sz w:val="28"/>
                <w:szCs w:val="28"/>
                <w:shd w:val="clear" w:fill="FFFFFF"/>
                <w:lang w:val="en-US" w:eastAsia="zh-CN"/>
              </w:rPr>
              <w:t>因特殊需要必须连续施工作业的，应当取得地方人民政府住房和城乡建设、生态环境主管部门或者地方人民政府指定的部门的证明，并在施工现场显著位置公示或者以其他方式公告附近居民。</w:t>
            </w:r>
          </w:p>
        </w:tc>
        <w:tc>
          <w:tcPr>
            <w:tcW w:w="839" w:type="dxa"/>
          </w:tcPr>
          <w:p w14:paraId="77A122CA">
            <w:pPr>
              <w:jc w:val="center"/>
              <w:rPr>
                <w:rFonts w:hint="eastAsia" w:ascii="仿宋_GB2312" w:hAnsi="仿宋_GB2312" w:eastAsia="仿宋_GB2312" w:cs="仿宋_GB2312"/>
                <w:i w:val="0"/>
                <w:iCs w:val="0"/>
                <w:caps w:val="0"/>
                <w:color w:val="auto"/>
                <w:spacing w:val="0"/>
                <w:sz w:val="28"/>
                <w:szCs w:val="28"/>
                <w:shd w:val="clear" w:fill="FFFFFF"/>
                <w:vertAlign w:val="baseline"/>
              </w:rPr>
            </w:pPr>
          </w:p>
        </w:tc>
      </w:tr>
    </w:tbl>
    <w:p w14:paraId="1E8DB053">
      <w:pPr>
        <w:jc w:val="center"/>
        <w:rPr>
          <w:rFonts w:hint="eastAsia" w:ascii="方正小标宋简体" w:hAnsi="方正小标宋简体" w:eastAsia="方正小标宋简体" w:cs="方正小标宋简体"/>
          <w:i w:val="0"/>
          <w:iCs w:val="0"/>
          <w:caps w:val="0"/>
          <w:color w:val="auto"/>
          <w:spacing w:val="0"/>
          <w:sz w:val="44"/>
          <w:szCs w:val="44"/>
          <w:shd w:val="clear" w:fill="FFFFFF"/>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CC543B"/>
    <w:rsid w:val="01E925F2"/>
    <w:rsid w:val="05241B93"/>
    <w:rsid w:val="07CE6EBF"/>
    <w:rsid w:val="0E213113"/>
    <w:rsid w:val="1025513D"/>
    <w:rsid w:val="132B7C1A"/>
    <w:rsid w:val="1B9B4505"/>
    <w:rsid w:val="1D4B3D09"/>
    <w:rsid w:val="2D686211"/>
    <w:rsid w:val="2E1A575D"/>
    <w:rsid w:val="30E738F1"/>
    <w:rsid w:val="30FC739C"/>
    <w:rsid w:val="32DA370D"/>
    <w:rsid w:val="35111533"/>
    <w:rsid w:val="3A296D28"/>
    <w:rsid w:val="3A9B19D4"/>
    <w:rsid w:val="3AF64E5C"/>
    <w:rsid w:val="3D695DB9"/>
    <w:rsid w:val="40672966"/>
    <w:rsid w:val="407D1B7C"/>
    <w:rsid w:val="41CC543B"/>
    <w:rsid w:val="42FA5706"/>
    <w:rsid w:val="44A41DCD"/>
    <w:rsid w:val="46115240"/>
    <w:rsid w:val="497F0713"/>
    <w:rsid w:val="4C997D3D"/>
    <w:rsid w:val="4DF6339A"/>
    <w:rsid w:val="4E4A7541"/>
    <w:rsid w:val="51024103"/>
    <w:rsid w:val="51DD06CC"/>
    <w:rsid w:val="556E1BAD"/>
    <w:rsid w:val="5BDB5C7C"/>
    <w:rsid w:val="602C4CF9"/>
    <w:rsid w:val="60AA4D27"/>
    <w:rsid w:val="60FD48E7"/>
    <w:rsid w:val="61D05B58"/>
    <w:rsid w:val="62612C54"/>
    <w:rsid w:val="63B079EF"/>
    <w:rsid w:val="64964E36"/>
    <w:rsid w:val="74B530B7"/>
    <w:rsid w:val="75183646"/>
    <w:rsid w:val="768A2321"/>
    <w:rsid w:val="7D6733BC"/>
    <w:rsid w:val="7E53377A"/>
    <w:rsid w:val="7E9975A5"/>
    <w:rsid w:val="7F233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909</Words>
  <Characters>925</Characters>
  <Lines>0</Lines>
  <Paragraphs>0</Paragraphs>
  <TotalTime>1</TotalTime>
  <ScaleCrop>false</ScaleCrop>
  <LinksUpToDate>false</LinksUpToDate>
  <CharactersWithSpaces>930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2025-08-07T02:28:00Z</dcterms:created>
  <dc:creator>Administrator</dc:creator>
  <cp:lastModifiedBy>Administrator</cp:lastModifiedBy>
  <dcterms:modified xsi:type="dcterms:W3CDTF">2025-08-13T03:03:20Z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0AFDC979BFDD4BB2A75F9BE2C63F815E_11</vt:lpwstr>
  </property>
  <property fmtid="{D5CDD505-2E9C-101B-9397-08002B2CF9AE}" pid="4" name="KSOTemplateDocerSaveRecord">
    <vt:lpwstr>eyJoZGlkIjoiZThmMDY5MTRkYzVhZmIyOGFkODJkNTJmNmZlNDVjYTMifQ==</vt:lpwstr>
  </property>
</Properties>
</file>