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7</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7</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w:t>
      </w:r>
      <w:r>
        <w:rPr>
          <w:rFonts w:hint="eastAsia" w:ascii="方正小标宋简体" w:hAnsi="方正小标宋简体" w:eastAsia="方正小标宋简体" w:cs="方正小标宋简体"/>
          <w:color w:val="333333"/>
          <w:sz w:val="30"/>
          <w:szCs w:val="30"/>
          <w:lang w:eastAsia="zh-CN"/>
        </w:rPr>
        <w:t>准</w:t>
      </w:r>
      <w:bookmarkStart w:id="0" w:name="_GoBack"/>
      <w:bookmarkEnd w:id="0"/>
      <w:r>
        <w:rPr>
          <w:rFonts w:hint="eastAsia" w:ascii="方正小标宋简体" w:hAnsi="方正小标宋简体" w:eastAsia="方正小标宋简体" w:cs="方正小标宋简体"/>
          <w:color w:val="333333"/>
          <w:sz w:val="30"/>
          <w:szCs w:val="30"/>
        </w:rPr>
        <w:t>决定的公示</w:t>
      </w:r>
    </w:p>
    <w:p w14:paraId="794A2676">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日（5个工作日）。</w:t>
      </w:r>
    </w:p>
    <w:p w14:paraId="6AF4FD29">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1BA871D8">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30286E85">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7F0822BE">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2603EDB">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DE7275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2"/>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河南果丰机械设备有限公司</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2"/>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年产35万只周转筐</w:t>
            </w:r>
            <w:r>
              <w:rPr>
                <w:rFonts w:hint="default" w:ascii="Times New Roman" w:hAnsi="Times New Roman"/>
                <w:color w:val="000000"/>
                <w:sz w:val="18"/>
                <w:szCs w:val="18"/>
                <w:lang w:eastAsia="zh-CN"/>
              </w:rPr>
              <w:t>建设项目</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2"/>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lang w:val="en-US" w:eastAsia="zh-CN"/>
              </w:rPr>
              <w:t>滑县白道口镇民寨村沙窝1号</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eastAsia="zh-CN"/>
              </w:rPr>
              <w:t>河南省昊德环保科技有限公司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占地面积为</w:t>
            </w:r>
            <w:r>
              <w:rPr>
                <w:rFonts w:hint="eastAsia" w:ascii="Times New Roman" w:hAnsi="Times New Roman"/>
                <w:color w:val="000000"/>
                <w:sz w:val="18"/>
                <w:szCs w:val="18"/>
                <w:lang w:val="en-US" w:eastAsia="zh-CN"/>
              </w:rPr>
              <w:t>15000</w:t>
            </w:r>
            <w:r>
              <w:rPr>
                <w:rFonts w:hint="eastAsia" w:ascii="Times New Roman" w:hAnsi="Times New Roman"/>
                <w:color w:val="000000"/>
                <w:sz w:val="18"/>
                <w:szCs w:val="18"/>
              </w:rPr>
              <w:t>m</w:t>
            </w:r>
            <w:r>
              <w:rPr>
                <w:rFonts w:hint="eastAsia" w:ascii="Times New Roman" w:hAnsi="Times New Roman"/>
                <w:color w:val="000000"/>
                <w:sz w:val="18"/>
                <w:szCs w:val="18"/>
                <w:vertAlign w:val="superscript"/>
              </w:rPr>
              <w:t>2</w:t>
            </w:r>
            <w:r>
              <w:rPr>
                <w:rFonts w:hint="eastAsia" w:ascii="Times New Roman" w:hAnsi="Times New Roman"/>
                <w:color w:val="000000"/>
                <w:sz w:val="18"/>
                <w:szCs w:val="18"/>
              </w:rPr>
              <w:t>，总投资200万元，环保投资</w:t>
            </w:r>
            <w:r>
              <w:rPr>
                <w:rFonts w:hint="eastAsia" w:ascii="Times New Roman" w:hAnsi="Times New Roman"/>
                <w:color w:val="000000"/>
                <w:sz w:val="18"/>
                <w:szCs w:val="18"/>
                <w:lang w:val="en-US" w:eastAsia="zh-CN"/>
              </w:rPr>
              <w:t>20</w:t>
            </w:r>
            <w:r>
              <w:rPr>
                <w:rFonts w:hint="eastAsia" w:ascii="Times New Roman" w:hAnsi="Times New Roman"/>
                <w:color w:val="000000"/>
                <w:sz w:val="18"/>
                <w:szCs w:val="18"/>
              </w:rPr>
              <w:t>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3B89255">
            <w:pPr>
              <w:keepNext w:val="0"/>
              <w:keepLines w:val="0"/>
              <w:widowControl/>
              <w:numPr>
                <w:ilvl w:val="0"/>
                <w:numId w:val="0"/>
              </w:numPr>
              <w:suppressLineNumbers w:val="0"/>
              <w:ind w:leftChars="0"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rPr>
              <w:t>1. 废气：</w:t>
            </w:r>
            <w:r>
              <w:rPr>
                <w:rFonts w:hint="eastAsia" w:ascii="Times New Roman" w:hAnsi="Times New Roman"/>
                <w:color w:val="000000"/>
                <w:sz w:val="18"/>
                <w:szCs w:val="18"/>
                <w:lang w:eastAsia="zh-CN"/>
              </w:rPr>
              <w:t>注塑工序二次密闭，废气由集气罩收集，经“活性炭吸附”处理后，通过15m高排气筒排放</w:t>
            </w:r>
            <w:r>
              <w:rPr>
                <w:rFonts w:hint="default" w:ascii="Times New Roman" w:hAnsi="Times New Roman"/>
                <w:color w:val="000000"/>
                <w:sz w:val="18"/>
                <w:szCs w:val="18"/>
                <w:lang w:eastAsia="zh-CN"/>
              </w:rPr>
              <w:t>。废气排放须满足</w:t>
            </w:r>
            <w:r>
              <w:rPr>
                <w:rFonts w:ascii="Times New Roman" w:hAnsi="Times New Roman"/>
                <w:color w:val="000000"/>
                <w:sz w:val="18"/>
                <w:szCs w:val="18"/>
              </w:rPr>
              <w:t>废气排放须满足《合成树脂工业污染物排放标准》（GB31572-2015，含2024年修改单）限值要求、《河南省重污染天气通用行业应急减排措施制定技术指南（202</w:t>
            </w:r>
            <w:r>
              <w:rPr>
                <w:rFonts w:hint="eastAsia" w:ascii="Times New Roman" w:hAnsi="Times New Roman"/>
                <w:color w:val="000000"/>
                <w:sz w:val="18"/>
                <w:szCs w:val="18"/>
              </w:rPr>
              <w:t>4</w:t>
            </w:r>
            <w:r>
              <w:rPr>
                <w:rFonts w:ascii="Times New Roman" w:hAnsi="Times New Roman"/>
                <w:color w:val="000000"/>
                <w:sz w:val="18"/>
                <w:szCs w:val="18"/>
              </w:rPr>
              <w:t>年修订版）》中塑料制品行业A级要求、《挥发性有机物无组织排放控制标准》（GB37822-2019）限值要求</w:t>
            </w:r>
            <w:r>
              <w:rPr>
                <w:rFonts w:hint="eastAsia" w:ascii="Times New Roman" w:hAnsi="Times New Roman"/>
                <w:color w:val="000000"/>
                <w:sz w:val="18"/>
                <w:szCs w:val="18"/>
              </w:rPr>
              <w:t>、</w:t>
            </w:r>
            <w:r>
              <w:rPr>
                <w:rFonts w:ascii="Times New Roman" w:hAnsi="Times New Roman"/>
                <w:color w:val="000000"/>
                <w:sz w:val="18"/>
                <w:szCs w:val="18"/>
              </w:rPr>
              <w:t>《关于全省开展工业企业挥发性有机物专项治理工作中排放建议值的通知》（豫环攻坚办〔2017〕162号）要求。</w:t>
            </w:r>
          </w:p>
          <w:p w14:paraId="1E8E06EB">
            <w:pPr>
              <w:keepNext w:val="0"/>
              <w:keepLines w:val="0"/>
              <w:widowControl/>
              <w:numPr>
                <w:ilvl w:val="0"/>
                <w:numId w:val="0"/>
              </w:numPr>
              <w:suppressLineNumbers w:val="0"/>
              <w:ind w:leftChars="0"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rPr>
              <w:t>废水：</w:t>
            </w:r>
            <w:r>
              <w:rPr>
                <w:rFonts w:hint="default" w:ascii="Times New Roman" w:hAnsi="Times New Roman"/>
                <w:color w:val="000000"/>
                <w:sz w:val="18"/>
                <w:szCs w:val="18"/>
                <w:lang w:val="en-US" w:eastAsia="zh-CN"/>
              </w:rPr>
              <w:t>生活污水经化粪池（10m3）</w:t>
            </w:r>
            <w:r>
              <w:rPr>
                <w:rFonts w:hint="eastAsia" w:ascii="Times New Roman" w:hAnsi="Times New Roman"/>
                <w:color w:val="000000"/>
                <w:sz w:val="18"/>
                <w:szCs w:val="18"/>
                <w:lang w:val="en-US" w:eastAsia="zh-CN"/>
              </w:rPr>
              <w:t>处理</w:t>
            </w:r>
            <w:r>
              <w:rPr>
                <w:rFonts w:hint="default" w:ascii="Times New Roman" w:hAnsi="Times New Roman"/>
                <w:color w:val="000000"/>
                <w:sz w:val="18"/>
                <w:szCs w:val="18"/>
                <w:lang w:val="en-US" w:eastAsia="zh-CN"/>
              </w:rPr>
              <w:t>后，定期清掏，外运肥田</w:t>
            </w:r>
            <w:r>
              <w:rPr>
                <w:rFonts w:hint="eastAsia" w:ascii="Times New Roman" w:hAnsi="Times New Roman"/>
                <w:color w:val="000000"/>
                <w:sz w:val="18"/>
                <w:szCs w:val="18"/>
                <w:lang w:val="en-US" w:eastAsia="zh-CN"/>
              </w:rPr>
              <w:t>，冷却水循环利用，不外排</w:t>
            </w:r>
            <w:r>
              <w:rPr>
                <w:rFonts w:hint="default" w:ascii="Times New Roman" w:hAnsi="Times New Roman"/>
                <w:color w:val="000000"/>
                <w:sz w:val="18"/>
                <w:szCs w:val="18"/>
                <w:lang w:val="en-US" w:eastAsia="zh-CN"/>
              </w:rPr>
              <w:t>。</w:t>
            </w:r>
          </w:p>
          <w:p w14:paraId="67965BAC">
            <w:pPr>
              <w:keepNext w:val="0"/>
              <w:keepLines w:val="0"/>
              <w:widowControl/>
              <w:numPr>
                <w:ilvl w:val="0"/>
                <w:numId w:val="0"/>
              </w:numPr>
              <w:suppressLineNumbers w:val="0"/>
              <w:ind w:leftChars="0" w:firstLine="360" w:firstLineChars="200"/>
              <w:jc w:val="left"/>
              <w:rPr>
                <w:rFonts w:hint="default" w:ascii="Times New Roman" w:hAnsi="Times New Roman"/>
                <w:color w:val="000000"/>
                <w:sz w:val="18"/>
                <w:szCs w:val="18"/>
              </w:rPr>
            </w:pPr>
            <w:r>
              <w:rPr>
                <w:rFonts w:hint="default" w:ascii="Times New Roman" w:hAnsi="Times New Roman"/>
                <w:color w:val="000000"/>
                <w:sz w:val="18"/>
                <w:szCs w:val="18"/>
              </w:rPr>
              <w:t>噪声</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搅拌机、注塑机、破碎机等</w:t>
            </w:r>
            <w:r>
              <w:rPr>
                <w:rFonts w:hint="default" w:ascii="Times New Roman" w:hAnsi="Times New Roman"/>
                <w:color w:val="000000"/>
                <w:sz w:val="18"/>
                <w:szCs w:val="18"/>
                <w:lang w:eastAsia="zh-CN"/>
              </w:rPr>
              <w:t>设备运行时产生的噪声，</w:t>
            </w:r>
            <w:r>
              <w:rPr>
                <w:rFonts w:hint="eastAsia" w:ascii="Times New Roman" w:hAnsi="Times New Roman"/>
                <w:color w:val="000000"/>
                <w:sz w:val="18"/>
                <w:szCs w:val="18"/>
                <w:lang w:val="en-US" w:eastAsia="zh-CN"/>
              </w:rPr>
              <w:t>采用</w:t>
            </w:r>
            <w:r>
              <w:rPr>
                <w:rFonts w:hint="default" w:ascii="Times New Roman" w:hAnsi="Times New Roman"/>
                <w:color w:val="000000"/>
                <w:sz w:val="18"/>
                <w:szCs w:val="18"/>
                <w:lang w:val="en-US" w:eastAsia="zh-CN"/>
              </w:rPr>
              <w:t>基础减震</w:t>
            </w:r>
            <w:r>
              <w:rPr>
                <w:rFonts w:hint="eastAsia" w:ascii="Times New Roman" w:hAnsi="Times New Roman"/>
                <w:color w:val="000000"/>
                <w:sz w:val="18"/>
                <w:szCs w:val="18"/>
                <w:lang w:val="en-US" w:eastAsia="zh-CN"/>
              </w:rPr>
              <w:t>、厂房隔声</w:t>
            </w:r>
            <w:r>
              <w:rPr>
                <w:rFonts w:hint="default" w:ascii="Times New Roman" w:hAnsi="Times New Roman"/>
                <w:color w:val="000000"/>
                <w:sz w:val="18"/>
                <w:szCs w:val="18"/>
                <w:lang w:eastAsia="zh-CN"/>
              </w:rPr>
              <w:t>等措施后，</w:t>
            </w:r>
            <w:r>
              <w:rPr>
                <w:rFonts w:hint="default" w:ascii="Times New Roman" w:hAnsi="Times New Roman"/>
                <w:color w:val="000000"/>
                <w:sz w:val="18"/>
                <w:szCs w:val="18"/>
                <w:lang w:val="en-US" w:eastAsia="zh-CN"/>
              </w:rPr>
              <w:t>厂界噪声排放须满足《工业企业厂界环境噪声排放标准》（GB12348-2008）</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lang w:val="en-US" w:eastAsia="zh-CN"/>
              </w:rPr>
              <w:t>类标准。</w:t>
            </w:r>
          </w:p>
          <w:p w14:paraId="554C9275">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hint="default" w:ascii="Times New Roman" w:hAnsi="Times New Roman"/>
                <w:color w:val="000000"/>
                <w:sz w:val="18"/>
                <w:szCs w:val="18"/>
              </w:rPr>
              <w:t>固体废物：</w:t>
            </w:r>
            <w:r>
              <w:rPr>
                <w:rFonts w:hint="eastAsia" w:ascii="Times New Roman" w:hAnsi="Times New Roman"/>
                <w:color w:val="000000"/>
                <w:sz w:val="18"/>
                <w:szCs w:val="18"/>
                <w:lang w:val="en-US" w:eastAsia="zh-CN"/>
              </w:rPr>
              <w:t>废包装材料、边角料收集后暂存于10m2一般固废间</w:t>
            </w:r>
            <w:r>
              <w:rPr>
                <w:rFonts w:ascii="Times New Roman" w:hAnsi="Times New Roman"/>
                <w:color w:val="000000"/>
                <w:sz w:val="18"/>
                <w:szCs w:val="18"/>
              </w:rPr>
              <w:t>暂存</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定期外售；生活垃圾经垃圾桶收集后，交环卫部门统一处理。废活性炭、废机油、废机油桶，经5m2的危废暂存间暂存，定期委托就近有资质单位处置。</w:t>
            </w:r>
            <w:r>
              <w:rPr>
                <w:rFonts w:hint="default" w:ascii="Times New Roman" w:hAnsi="Times New Roman"/>
                <w:color w:val="000000"/>
                <w:sz w:val="18"/>
                <w:szCs w:val="18"/>
                <w:lang w:eastAsia="zh-CN"/>
              </w:rPr>
              <w:t>一般固体废物暂存应满足《一般工业固体废物贮存和填埋污染控制标准》（GB18599 -2020）要求</w:t>
            </w:r>
            <w:r>
              <w:rPr>
                <w:rFonts w:hint="eastAsia" w:ascii="Times New Roman" w:hAnsi="Times New Roman"/>
                <w:color w:val="000000"/>
                <w:sz w:val="18"/>
                <w:szCs w:val="18"/>
                <w:lang w:eastAsia="zh-CN"/>
              </w:rPr>
              <w:t>，</w:t>
            </w:r>
            <w:r>
              <w:rPr>
                <w:rFonts w:ascii="Times New Roman" w:hAnsi="Times New Roman"/>
                <w:color w:val="000000"/>
                <w:sz w:val="18"/>
                <w:szCs w:val="18"/>
              </w:rPr>
              <w:t>危险废物暂存应满足《危险废物贮存污染控制标准》（GB18597-2023）要求。</w:t>
            </w:r>
          </w:p>
        </w:tc>
      </w:tr>
    </w:tbl>
    <w:p w14:paraId="4C4935B6">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44045F"/>
    <w:rsid w:val="126D0F3F"/>
    <w:rsid w:val="159D7523"/>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2C310A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annotation text"/>
    <w:basedOn w:val="1"/>
    <w:qFormat/>
    <w:uiPriority w:val="0"/>
    <w:pPr>
      <w:jc w:val="left"/>
    </w:pPr>
    <w:rPr>
      <w:kern w:val="0"/>
      <w:sz w:val="24"/>
      <w:szCs w:val="20"/>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Block Text"/>
    <w:basedOn w:val="1"/>
    <w:next w:val="1"/>
    <w:qFormat/>
    <w:uiPriority w:val="0"/>
    <w:pPr>
      <w:spacing w:line="320" w:lineRule="exact"/>
      <w:ind w:left="113" w:right="113"/>
      <w:jc w:val="center"/>
    </w:pPr>
    <w:rPr>
      <w:b/>
      <w:sz w:val="13"/>
      <w:szCs w:val="15"/>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902</Words>
  <Characters>1015</Characters>
  <Lines>1</Lines>
  <Paragraphs>2</Paragraphs>
  <TotalTime>0</TotalTime>
  <ScaleCrop>false</ScaleCrop>
  <LinksUpToDate>false</LinksUpToDate>
  <CharactersWithSpaces>1031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墨染秋凉</cp:lastModifiedBy>
  <dcterms:modified xsi:type="dcterms:W3CDTF">2025-07-15T07:34:41Z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eyJoZGlkIjoiMmQxN2E3NzBjNWUyMGQyNjllMzdmZDlhNTNkMGIyNzMiLCJ1c2VySWQiOiI0MzY3NTg1OTAifQ==</vt:lpwstr>
  </property>
</Properties>
</file>