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ED006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FA61667">
      <w:pPr>
        <w:framePr w:w="6492" w:wrap="auto" w:vAnchor="margin" w:hAnchor="text" w:x="2861" w:y="4407"/>
        <w:widowControl w:val="0"/>
        <w:autoSpaceDE w:val="0"/>
        <w:autoSpaceDN w:val="0"/>
        <w:spacing w:before="0" w:after="0" w:line="688" w:lineRule="exact"/>
        <w:ind w:left="0" w:right="0" w:firstLine="0"/>
        <w:jc w:val="left"/>
        <w:rPr>
          <w:rFonts w:ascii="Times New Roman"/>
          <w:color w:val="000000"/>
          <w:spacing w:val="0"/>
          <w:sz w:val="52"/>
        </w:rPr>
      </w:pPr>
      <w:r>
        <w:rPr>
          <w:rFonts w:ascii="微软雅黑" w:hAnsi="微软雅黑" w:cs="微软雅黑"/>
          <w:color w:val="000000"/>
          <w:spacing w:val="0"/>
          <w:sz w:val="52"/>
        </w:rPr>
        <w:t>滑县财政监督检查服务中心</w:t>
      </w:r>
    </w:p>
    <w:p w14:paraId="59E7DA7B">
      <w:pPr>
        <w:framePr w:w="6492" w:wrap="auto" w:vAnchor="margin" w:hAnchor="text" w:x="2861" w:y="4407"/>
        <w:widowControl w:val="0"/>
        <w:autoSpaceDE w:val="0"/>
        <w:autoSpaceDN w:val="0"/>
        <w:spacing w:before="263" w:after="0" w:line="688" w:lineRule="exact"/>
        <w:ind w:left="888" w:right="0" w:firstLine="0"/>
        <w:jc w:val="left"/>
        <w:rPr>
          <w:rFonts w:ascii="Times New Roman"/>
          <w:color w:val="000000"/>
          <w:spacing w:val="0"/>
          <w:sz w:val="52"/>
        </w:rPr>
      </w:pPr>
      <w:r>
        <w:rPr>
          <w:rFonts w:ascii="微软雅黑"/>
          <w:color w:val="000000"/>
          <w:spacing w:val="0"/>
          <w:sz w:val="52"/>
        </w:rPr>
        <w:t>2017</w:t>
      </w:r>
      <w:r>
        <w:rPr>
          <w:rFonts w:ascii="Times New Roman"/>
          <w:color w:val="000000"/>
          <w:spacing w:val="-2"/>
          <w:sz w:val="52"/>
        </w:rPr>
        <w:t xml:space="preserve"> </w:t>
      </w:r>
      <w:r>
        <w:rPr>
          <w:rFonts w:ascii="微软雅黑" w:hAnsi="微软雅黑" w:cs="微软雅黑"/>
          <w:color w:val="000000"/>
          <w:spacing w:val="0"/>
          <w:sz w:val="52"/>
        </w:rPr>
        <w:t>年度部门决算</w:t>
      </w:r>
    </w:p>
    <w:p w14:paraId="7BF76ECE">
      <w:pPr>
        <w:framePr w:w="2797" w:wrap="auto" w:vAnchor="margin" w:hAnchor="text" w:x="4702" w:y="1109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二〇一八年十二月</w:t>
      </w:r>
    </w:p>
    <w:p w14:paraId="4FAFCC4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0" o:spid="_x0000_s1026" o:spt="75" type="#_x0000_t75" style="position:absolute;left:0pt;margin-left:-1pt;margin-top:-1pt;height:843pt;width:59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29A7D74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7639200">
      <w:pPr>
        <w:framePr w:w="600" w:wrap="auto" w:vAnchor="margin" w:hAnchor="text" w:x="5261" w:y="1558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黑体" w:hAnsi="黑体" w:cs="黑体"/>
          <w:color w:val="000000"/>
          <w:spacing w:val="0"/>
          <w:sz w:val="36"/>
        </w:rPr>
        <w:t>目</w:t>
      </w:r>
    </w:p>
    <w:p w14:paraId="4C2B1A78">
      <w:pPr>
        <w:framePr w:w="600" w:wrap="auto" w:vAnchor="margin" w:hAnchor="text" w:x="6341" w:y="1558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黑体" w:hAnsi="黑体" w:cs="黑体"/>
          <w:color w:val="000000"/>
          <w:spacing w:val="0"/>
          <w:sz w:val="36"/>
        </w:rPr>
        <w:t>录</w:t>
      </w:r>
    </w:p>
    <w:p w14:paraId="58E8099B">
      <w:pPr>
        <w:framePr w:w="1519" w:wrap="auto" w:vAnchor="margin" w:hAnchor="text" w:x="1586" w:y="221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第一部分</w:t>
      </w:r>
    </w:p>
    <w:p w14:paraId="67C13B56">
      <w:pPr>
        <w:framePr w:w="4716" w:wrap="auto" w:vAnchor="margin" w:hAnchor="text" w:x="3506" w:y="221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滑县财政监督检查服务中心概况</w:t>
      </w:r>
    </w:p>
    <w:p w14:paraId="2ACD4801">
      <w:pPr>
        <w:framePr w:w="2159" w:wrap="auto" w:vAnchor="margin" w:hAnchor="text" w:x="1586" w:y="284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0"/>
          <w:sz w:val="32"/>
        </w:rPr>
        <w:t>一、主要职责</w:t>
      </w:r>
    </w:p>
    <w:p w14:paraId="002DCAB3">
      <w:pPr>
        <w:framePr w:w="3438" w:wrap="auto" w:vAnchor="margin" w:hAnchor="text" w:x="1586" w:y="3482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0"/>
          <w:sz w:val="32"/>
        </w:rPr>
        <w:t>二、部门决算单位构成</w:t>
      </w:r>
    </w:p>
    <w:p w14:paraId="2DE71F00">
      <w:pPr>
        <w:framePr w:w="1519" w:wrap="auto" w:vAnchor="margin" w:hAnchor="text" w:x="1586" w:y="411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第二部分</w:t>
      </w:r>
    </w:p>
    <w:p w14:paraId="51360E33">
      <w:pPr>
        <w:framePr w:w="7108" w:wrap="auto" w:vAnchor="margin" w:hAnchor="text" w:x="3506" w:y="411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滑县财政监督检查服务中心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黑体"/>
          <w:color w:val="000000"/>
          <w:spacing w:val="0"/>
          <w:sz w:val="32"/>
        </w:rPr>
        <w:t>2017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黑体" w:hAnsi="黑体" w:cs="黑体"/>
          <w:color w:val="000000"/>
          <w:spacing w:val="0"/>
          <w:sz w:val="32"/>
        </w:rPr>
        <w:t>年度部门决算表</w:t>
      </w:r>
    </w:p>
    <w:p w14:paraId="2EE68F38">
      <w:pPr>
        <w:framePr w:w="3438" w:wrap="auto" w:vAnchor="margin" w:hAnchor="text" w:x="1586" w:y="475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0"/>
          <w:sz w:val="32"/>
        </w:rPr>
        <w:t>一、收入支出决算总表</w:t>
      </w:r>
    </w:p>
    <w:p w14:paraId="54591735">
      <w:pPr>
        <w:framePr w:w="2478" w:wrap="auto" w:vAnchor="margin" w:hAnchor="text" w:x="1586" w:y="538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0"/>
          <w:sz w:val="32"/>
        </w:rPr>
        <w:t>二、收入决算表</w:t>
      </w:r>
    </w:p>
    <w:p w14:paraId="1BD67B60">
      <w:pPr>
        <w:framePr w:w="2478" w:wrap="auto" w:vAnchor="margin" w:hAnchor="text" w:x="1586" w:y="601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0"/>
          <w:sz w:val="32"/>
        </w:rPr>
        <w:t>三、支出决算表</w:t>
      </w:r>
    </w:p>
    <w:p w14:paraId="7995AB19">
      <w:pPr>
        <w:framePr w:w="7600" w:wrap="auto" w:vAnchor="margin" w:hAnchor="text" w:x="1586" w:y="6652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0"/>
          <w:sz w:val="32"/>
        </w:rPr>
        <w:t>四、财政拨款收入支出决算总表</w:t>
      </w:r>
    </w:p>
    <w:p w14:paraId="0C4F9569">
      <w:pPr>
        <w:framePr w:w="7600" w:wrap="auto" w:vAnchor="margin" w:hAnchor="text" w:x="1586" w:y="6652"/>
        <w:widowControl w:val="0"/>
        <w:autoSpaceDE w:val="0"/>
        <w:autoSpaceDN w:val="0"/>
        <w:spacing w:before="31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0"/>
          <w:sz w:val="32"/>
        </w:rPr>
        <w:t>五、一般公共预算财政拨款支出决算表</w:t>
      </w:r>
    </w:p>
    <w:p w14:paraId="1CE254AD">
      <w:pPr>
        <w:framePr w:w="7600" w:wrap="auto" w:vAnchor="margin" w:hAnchor="text" w:x="1586" w:y="6652"/>
        <w:widowControl w:val="0"/>
        <w:autoSpaceDE w:val="0"/>
        <w:autoSpaceDN w:val="0"/>
        <w:spacing w:before="31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0"/>
          <w:sz w:val="32"/>
        </w:rPr>
        <w:t>六、一般公共预算财政拨款基本支出决算表</w:t>
      </w:r>
    </w:p>
    <w:p w14:paraId="384262E5">
      <w:pPr>
        <w:framePr w:w="7600" w:wrap="auto" w:vAnchor="margin" w:hAnchor="text" w:x="1586" w:y="6652"/>
        <w:widowControl w:val="0"/>
        <w:autoSpaceDE w:val="0"/>
        <w:autoSpaceDN w:val="0"/>
        <w:spacing w:before="31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0"/>
          <w:sz w:val="32"/>
        </w:rPr>
        <w:t>七、一般公共预算财政拨款“三公”经费支出决算表</w:t>
      </w:r>
    </w:p>
    <w:p w14:paraId="02D26687">
      <w:pPr>
        <w:framePr w:w="7600" w:wrap="auto" w:vAnchor="margin" w:hAnchor="text" w:x="1586" w:y="6652"/>
        <w:widowControl w:val="0"/>
        <w:autoSpaceDE w:val="0"/>
        <w:autoSpaceDN w:val="0"/>
        <w:spacing w:before="31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0"/>
          <w:sz w:val="32"/>
        </w:rPr>
        <w:t>八、政府性基金预算财政拨款收入支出决算表</w:t>
      </w:r>
    </w:p>
    <w:p w14:paraId="1A09D3A5">
      <w:pPr>
        <w:framePr w:w="1519" w:wrap="auto" w:vAnchor="margin" w:hAnchor="text" w:x="1586" w:y="9822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第三部分</w:t>
      </w:r>
    </w:p>
    <w:p w14:paraId="679AC4FB">
      <w:pPr>
        <w:framePr w:w="7108" w:wrap="auto" w:vAnchor="margin" w:hAnchor="text" w:x="3506" w:y="9822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滑县财政监督检查服务中心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黑体"/>
          <w:color w:val="000000"/>
          <w:spacing w:val="0"/>
          <w:sz w:val="32"/>
        </w:rPr>
        <w:t>2017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黑体" w:hAnsi="黑体" w:cs="黑体"/>
          <w:color w:val="000000"/>
          <w:spacing w:val="0"/>
          <w:sz w:val="32"/>
        </w:rPr>
        <w:t>年度部门决算情</w:t>
      </w:r>
    </w:p>
    <w:p w14:paraId="0FA654CA">
      <w:pPr>
        <w:framePr w:w="1200" w:wrap="auto" w:vAnchor="margin" w:hAnchor="text" w:x="3506" w:y="1045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况说明</w:t>
      </w:r>
    </w:p>
    <w:p w14:paraId="2CB567E8">
      <w:pPr>
        <w:framePr w:w="1519" w:wrap="auto" w:vAnchor="margin" w:hAnchor="text" w:x="1586" w:y="1109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第四部分</w:t>
      </w:r>
    </w:p>
    <w:p w14:paraId="5CBC0D67">
      <w:pPr>
        <w:framePr w:w="1519" w:wrap="auto" w:vAnchor="margin" w:hAnchor="text" w:x="3506" w:y="1109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名词解释</w:t>
      </w:r>
    </w:p>
    <w:p w14:paraId="7A6E8E0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" o:spid="_x0000_s1027" o:spt="75" type="#_x0000_t75" style="position:absolute;left:0pt;margin-left:-1pt;margin-top:-1pt;height:843pt;width:59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75243BD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0D013F7">
      <w:pPr>
        <w:framePr w:w="8640" w:wrap="auto" w:vAnchor="margin" w:hAnchor="text" w:x="1586" w:y="6020"/>
        <w:widowControl w:val="0"/>
        <w:autoSpaceDE w:val="0"/>
        <w:autoSpaceDN w:val="0"/>
        <w:spacing w:before="0" w:after="0" w:line="634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微软雅黑" w:hAnsi="微软雅黑" w:cs="微软雅黑"/>
          <w:color w:val="000000"/>
          <w:spacing w:val="0"/>
          <w:sz w:val="48"/>
        </w:rPr>
        <w:t>第一部分</w:t>
      </w:r>
      <w:r>
        <w:rPr>
          <w:rFonts w:ascii="Times New Roman"/>
          <w:color w:val="000000"/>
          <w:spacing w:val="600"/>
          <w:sz w:val="48"/>
        </w:rPr>
        <w:t xml:space="preserve"> </w:t>
      </w:r>
      <w:r>
        <w:rPr>
          <w:rFonts w:ascii="微软雅黑" w:hAnsi="微软雅黑" w:cs="微软雅黑"/>
          <w:color w:val="000000"/>
          <w:spacing w:val="0"/>
          <w:sz w:val="48"/>
        </w:rPr>
        <w:t>滑县财政监督检查服务中心</w:t>
      </w:r>
    </w:p>
    <w:p w14:paraId="6D286A29">
      <w:pPr>
        <w:framePr w:w="8640" w:wrap="auto" w:vAnchor="margin" w:hAnchor="text" w:x="1586" w:y="6020"/>
        <w:widowControl w:val="0"/>
        <w:autoSpaceDE w:val="0"/>
        <w:autoSpaceDN w:val="0"/>
        <w:spacing w:before="317" w:after="0" w:line="634" w:lineRule="exact"/>
        <w:ind w:left="456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微软雅黑" w:hAnsi="微软雅黑" w:cs="微软雅黑"/>
          <w:color w:val="000000"/>
          <w:spacing w:val="0"/>
          <w:sz w:val="48"/>
        </w:rPr>
        <w:t>概况</w:t>
      </w:r>
    </w:p>
    <w:p w14:paraId="5A4DB9CB">
      <w:pPr>
        <w:framePr w:w="523" w:wrap="auto" w:vAnchor="margin" w:hAnchor="text" w:x="5839" w:y="1564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</w:p>
    <w:p w14:paraId="37AEFBF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" o:spid="_x0000_s1028" o:spt="75" type="#_x0000_t75" style="position:absolute;left:0pt;margin-left:-1pt;margin-top:-1pt;height:843pt;width:59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09D9E29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1A955E1">
      <w:pPr>
        <w:framePr w:w="2157" w:wrap="auto" w:vAnchor="margin" w:hAnchor="text" w:x="2844" w:y="158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一、主要职责</w:t>
      </w:r>
    </w:p>
    <w:p w14:paraId="5F0EA40C">
      <w:pPr>
        <w:framePr w:w="8546" w:wrap="auto" w:vAnchor="margin" w:hAnchor="text" w:x="2227" w:y="2214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滑县财政监督检查服务中心机关内设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个职能科室。</w:t>
      </w:r>
    </w:p>
    <w:p w14:paraId="45C90314">
      <w:pPr>
        <w:framePr w:w="8546" w:wrap="auto" w:vAnchor="margin" w:hAnchor="text" w:x="2227" w:y="2214"/>
        <w:widowControl w:val="0"/>
        <w:autoSpaceDE w:val="0"/>
        <w:autoSpaceDN w:val="0"/>
        <w:spacing w:before="31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根据批准的单位主要职责内设机构和人员编制，单位的主</w:t>
      </w:r>
    </w:p>
    <w:p w14:paraId="52F45624">
      <w:pPr>
        <w:framePr w:w="8546" w:wrap="auto" w:vAnchor="margin" w:hAnchor="text" w:x="2227" w:y="2214"/>
        <w:widowControl w:val="0"/>
        <w:autoSpaceDE w:val="0"/>
        <w:autoSpaceDN w:val="0"/>
        <w:spacing w:before="31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要职责是：对县本级及乡镇政府预决算草案的真实性、准</w:t>
      </w:r>
    </w:p>
    <w:p w14:paraId="1C310772">
      <w:pPr>
        <w:framePr w:w="8546" w:wrap="auto" w:vAnchor="margin" w:hAnchor="text" w:x="2227" w:y="2214"/>
        <w:widowControl w:val="0"/>
        <w:autoSpaceDE w:val="0"/>
        <w:autoSpaceDN w:val="0"/>
        <w:spacing w:before="31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确性、合法性进行审查稽核，对乡镇政府预算执行情况进</w:t>
      </w:r>
    </w:p>
    <w:p w14:paraId="1747F5B7">
      <w:pPr>
        <w:framePr w:w="8546" w:wrap="auto" w:vAnchor="margin" w:hAnchor="text" w:x="2227" w:y="2214"/>
        <w:widowControl w:val="0"/>
        <w:autoSpaceDE w:val="0"/>
        <w:autoSpaceDN w:val="0"/>
        <w:spacing w:before="31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行监督；对本级各部门及其所属单位的预算执行情况及预</w:t>
      </w:r>
    </w:p>
    <w:p w14:paraId="5944B207">
      <w:pPr>
        <w:framePr w:w="8546" w:wrap="auto" w:vAnchor="margin" w:hAnchor="text" w:x="2227" w:y="2214"/>
        <w:widowControl w:val="0"/>
        <w:autoSpaceDE w:val="0"/>
        <w:autoSpaceDN w:val="0"/>
        <w:spacing w:before="31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"/>
          <w:sz w:val="32"/>
        </w:rPr>
        <w:t>算外资金管理和使用情况进行监督；对本级预算收支情况，</w:t>
      </w:r>
    </w:p>
    <w:p w14:paraId="0846B43C">
      <w:pPr>
        <w:framePr w:w="8546" w:wrap="auto" w:vAnchor="margin" w:hAnchor="text" w:x="2227" w:y="2214"/>
        <w:widowControl w:val="0"/>
        <w:autoSpaceDE w:val="0"/>
        <w:autoSpaceDN w:val="0"/>
        <w:spacing w:before="31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"/>
          <w:sz w:val="32"/>
        </w:rPr>
        <w:t>本级国库办理的收纳、划分、留解情况，本级资金的拨付、</w:t>
      </w:r>
    </w:p>
    <w:p w14:paraId="51542BEE">
      <w:pPr>
        <w:framePr w:w="8546" w:wrap="auto" w:vAnchor="margin" w:hAnchor="text" w:x="2227" w:y="2214"/>
        <w:widowControl w:val="0"/>
        <w:autoSpaceDE w:val="0"/>
        <w:autoSpaceDN w:val="0"/>
        <w:spacing w:before="31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使用和效益进行监督；对本级各部门、各单位执行财税政</w:t>
      </w:r>
    </w:p>
    <w:p w14:paraId="3DA42D79">
      <w:pPr>
        <w:framePr w:w="8546" w:wrap="auto" w:vAnchor="margin" w:hAnchor="text" w:x="2227" w:y="2214"/>
        <w:widowControl w:val="0"/>
        <w:autoSpaceDE w:val="0"/>
        <w:autoSpaceDN w:val="0"/>
        <w:spacing w:before="31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策、法规情况进行监督检查等；法律、法规和县人民政府</w:t>
      </w:r>
    </w:p>
    <w:p w14:paraId="5F838A37">
      <w:pPr>
        <w:framePr w:w="8546" w:wrap="auto" w:vAnchor="margin" w:hAnchor="text" w:x="2227" w:y="2214"/>
        <w:widowControl w:val="0"/>
        <w:autoSpaceDE w:val="0"/>
        <w:autoSpaceDN w:val="0"/>
        <w:spacing w:before="317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授权的其他财政监督事项。</w:t>
      </w:r>
    </w:p>
    <w:p w14:paraId="231BFC08">
      <w:pPr>
        <w:framePr w:w="3438" w:wrap="auto" w:vAnchor="margin" w:hAnchor="text" w:x="2856" w:y="855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二、部门决算单位构成</w:t>
      </w:r>
    </w:p>
    <w:p w14:paraId="28726C77">
      <w:pPr>
        <w:framePr w:w="8389" w:wrap="auto" w:vAnchor="margin" w:hAnchor="text" w:x="2225" w:y="9189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纳入滑县财政监督检查服务中心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2017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年度部门决算编</w:t>
      </w:r>
    </w:p>
    <w:p w14:paraId="5DB25478">
      <w:pPr>
        <w:framePr w:w="8389" w:wrap="auto" w:vAnchor="margin" w:hAnchor="text" w:x="2225" w:y="9189"/>
        <w:widowControl w:val="0"/>
        <w:autoSpaceDE w:val="0"/>
        <w:autoSpaceDN w:val="0"/>
        <w:spacing w:before="31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制范围的单位为本级，无下属单位。</w:t>
      </w:r>
    </w:p>
    <w:p w14:paraId="06478950">
      <w:pPr>
        <w:framePr w:w="523" w:wrap="auto" w:vAnchor="margin" w:hAnchor="text" w:x="5839" w:y="1564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</w:p>
    <w:p w14:paraId="02F9A83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" o:spid="_x0000_s1029" o:spt="75" type="#_x0000_t75" style="position:absolute;left:0pt;margin-left:-1pt;margin-top:-1pt;height:843pt;width:59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1B84C97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2F66D1B">
      <w:pPr>
        <w:framePr w:w="8806" w:wrap="auto" w:vAnchor="margin" w:hAnchor="text" w:x="1699" w:y="4750"/>
        <w:widowControl w:val="0"/>
        <w:autoSpaceDE w:val="0"/>
        <w:autoSpaceDN w:val="0"/>
        <w:spacing w:before="0" w:after="0" w:line="634" w:lineRule="exact"/>
        <w:ind w:left="3322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微软雅黑" w:hAnsi="微软雅黑" w:cs="微软雅黑"/>
          <w:color w:val="000000"/>
          <w:spacing w:val="0"/>
          <w:sz w:val="48"/>
        </w:rPr>
        <w:t>第二部分</w:t>
      </w:r>
    </w:p>
    <w:p w14:paraId="5940014F">
      <w:pPr>
        <w:framePr w:w="8806" w:wrap="auto" w:vAnchor="margin" w:hAnchor="text" w:x="1699" w:y="4750"/>
        <w:widowControl w:val="0"/>
        <w:autoSpaceDE w:val="0"/>
        <w:autoSpaceDN w:val="0"/>
        <w:spacing w:before="319" w:after="0" w:line="634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微软雅黑" w:hAnsi="微软雅黑" w:cs="微软雅黑"/>
          <w:color w:val="000000"/>
          <w:spacing w:val="0"/>
          <w:sz w:val="48"/>
        </w:rPr>
        <w:t>滑县财政监督检查服务中心</w:t>
      </w:r>
      <w:r>
        <w:rPr>
          <w:rFonts w:ascii="Times New Roman"/>
          <w:color w:val="000000"/>
          <w:spacing w:val="0"/>
          <w:sz w:val="48"/>
        </w:rPr>
        <w:t xml:space="preserve"> </w:t>
      </w:r>
      <w:r>
        <w:rPr>
          <w:rFonts w:ascii="微软雅黑"/>
          <w:color w:val="000000"/>
          <w:spacing w:val="-1"/>
          <w:sz w:val="48"/>
        </w:rPr>
        <w:t>2017</w:t>
      </w:r>
      <w:r>
        <w:rPr>
          <w:rFonts w:ascii="Times New Roman"/>
          <w:color w:val="000000"/>
          <w:spacing w:val="2"/>
          <w:sz w:val="48"/>
        </w:rPr>
        <w:t xml:space="preserve"> </w:t>
      </w:r>
      <w:r>
        <w:rPr>
          <w:rFonts w:ascii="微软雅黑" w:hAnsi="微软雅黑" w:cs="微软雅黑"/>
          <w:color w:val="000000"/>
          <w:spacing w:val="0"/>
          <w:sz w:val="48"/>
        </w:rPr>
        <w:t>年度部</w:t>
      </w:r>
    </w:p>
    <w:p w14:paraId="75D1C723">
      <w:pPr>
        <w:framePr w:w="8806" w:wrap="auto" w:vAnchor="margin" w:hAnchor="text" w:x="1699" w:y="4750"/>
        <w:widowControl w:val="0"/>
        <w:autoSpaceDE w:val="0"/>
        <w:autoSpaceDN w:val="0"/>
        <w:spacing w:before="317" w:after="0" w:line="634" w:lineRule="exact"/>
        <w:ind w:left="3322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微软雅黑" w:hAnsi="微软雅黑" w:cs="微软雅黑"/>
          <w:color w:val="000000"/>
          <w:spacing w:val="0"/>
          <w:sz w:val="48"/>
        </w:rPr>
        <w:t>门决算表</w:t>
      </w:r>
    </w:p>
    <w:p w14:paraId="34D9EEB9">
      <w:pPr>
        <w:framePr w:w="1519" w:wrap="auto" w:vAnchor="margin" w:hAnchor="text" w:x="5340" w:y="855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后附附件</w:t>
      </w:r>
    </w:p>
    <w:p w14:paraId="062C5B4C">
      <w:pPr>
        <w:framePr w:w="523" w:wrap="auto" w:vAnchor="margin" w:hAnchor="text" w:x="5839" w:y="1564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</w:p>
    <w:p w14:paraId="0803FC3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4" o:spid="_x0000_s1030" o:spt="75" type="#_x0000_t75" style="position:absolute;left:0pt;margin-left:-1pt;margin-top:-1pt;height:843pt;width:59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64C8A94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5B3F7E0">
      <w:pPr>
        <w:framePr w:w="2160" w:wrap="auto" w:vAnchor="margin" w:hAnchor="text" w:x="5021" w:y="5384"/>
        <w:widowControl w:val="0"/>
        <w:autoSpaceDE w:val="0"/>
        <w:autoSpaceDN w:val="0"/>
        <w:spacing w:before="0" w:after="0" w:line="634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微软雅黑" w:hAnsi="微软雅黑" w:cs="微软雅黑"/>
          <w:color w:val="000000"/>
          <w:spacing w:val="0"/>
          <w:sz w:val="48"/>
        </w:rPr>
        <w:t>第三部分</w:t>
      </w:r>
    </w:p>
    <w:p w14:paraId="5BC1A4D1">
      <w:pPr>
        <w:framePr w:w="6286" w:wrap="auto" w:vAnchor="margin" w:hAnchor="text" w:x="2959" w:y="6337"/>
        <w:widowControl w:val="0"/>
        <w:autoSpaceDE w:val="0"/>
        <w:autoSpaceDN w:val="0"/>
        <w:spacing w:before="0" w:after="0" w:line="634" w:lineRule="exact"/>
        <w:ind w:left="142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微软雅黑" w:hAnsi="微软雅黑" w:cs="微软雅黑"/>
          <w:color w:val="000000"/>
          <w:spacing w:val="0"/>
          <w:sz w:val="48"/>
        </w:rPr>
        <w:t>滑县财政监督检查服务中心</w:t>
      </w:r>
    </w:p>
    <w:p w14:paraId="5BF5F7C5">
      <w:pPr>
        <w:framePr w:w="6286" w:wrap="auto" w:vAnchor="margin" w:hAnchor="text" w:x="2959" w:y="6337"/>
        <w:widowControl w:val="0"/>
        <w:autoSpaceDE w:val="0"/>
        <w:autoSpaceDN w:val="0"/>
        <w:spacing w:before="317" w:after="0" w:line="634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微软雅黑"/>
          <w:color w:val="000000"/>
          <w:spacing w:val="-1"/>
          <w:sz w:val="48"/>
        </w:rPr>
        <w:t>2017</w:t>
      </w:r>
      <w:r>
        <w:rPr>
          <w:rFonts w:ascii="Times New Roman"/>
          <w:color w:val="000000"/>
          <w:spacing w:val="2"/>
          <w:sz w:val="48"/>
        </w:rPr>
        <w:t xml:space="preserve"> </w:t>
      </w:r>
      <w:r>
        <w:rPr>
          <w:rFonts w:ascii="微软雅黑" w:hAnsi="微软雅黑" w:cs="微软雅黑"/>
          <w:color w:val="000000"/>
          <w:spacing w:val="0"/>
          <w:sz w:val="48"/>
        </w:rPr>
        <w:t>年度部门决算情况说明</w:t>
      </w:r>
    </w:p>
    <w:p w14:paraId="057E8685">
      <w:pPr>
        <w:framePr w:w="523" w:wrap="auto" w:vAnchor="margin" w:hAnchor="text" w:x="5839" w:y="1564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</w:p>
    <w:p w14:paraId="75B9286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5" o:spid="_x0000_s1031" o:spt="75" type="#_x0000_t75" style="position:absolute;left:0pt;margin-left:-1pt;margin-top:-1pt;height:843pt;width:59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73EBB52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B540C5B">
      <w:pPr>
        <w:framePr w:w="5357" w:wrap="auto" w:vAnchor="margin" w:hAnchor="text" w:x="2227" w:y="147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一、关于收入支出决算总体情况说明</w:t>
      </w:r>
    </w:p>
    <w:p w14:paraId="285FEECA">
      <w:pPr>
        <w:framePr w:w="9029" w:wrap="auto" w:vAnchor="margin" w:hAnchor="text" w:x="1586" w:y="2092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/>
          <w:color w:val="000000"/>
          <w:spacing w:val="0"/>
          <w:sz w:val="32"/>
        </w:rPr>
        <w:t>2017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 w:hAnsi="仿宋" w:cs="仿宋"/>
          <w:color w:val="000000"/>
          <w:spacing w:val="4"/>
          <w:sz w:val="32"/>
        </w:rPr>
        <w:t>年度收入总计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115.85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 w:hAnsi="仿宋" w:cs="仿宋"/>
          <w:color w:val="000000"/>
          <w:spacing w:val="3"/>
          <w:sz w:val="32"/>
        </w:rPr>
        <w:t>万元，支出总计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104.44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仿宋" w:hAnsi="仿宋" w:cs="仿宋"/>
          <w:color w:val="000000"/>
          <w:spacing w:val="4"/>
          <w:sz w:val="32"/>
        </w:rPr>
        <w:t>万元，</w:t>
      </w:r>
    </w:p>
    <w:p w14:paraId="56813D98">
      <w:pPr>
        <w:framePr w:w="9029" w:wrap="auto" w:vAnchor="margin" w:hAnchor="text" w:x="1586" w:y="2092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与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2016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-4"/>
          <w:sz w:val="32"/>
        </w:rPr>
        <w:t>年相比，收入增加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22.19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-6"/>
          <w:sz w:val="32"/>
        </w:rPr>
        <w:t>万元，增长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仿宋" w:hAnsi="仿宋" w:cs="仿宋"/>
          <w:color w:val="000000"/>
          <w:spacing w:val="-3"/>
          <w:sz w:val="32"/>
        </w:rPr>
        <w:t>23.69%，支出增加</w:t>
      </w:r>
    </w:p>
    <w:p w14:paraId="34411915">
      <w:pPr>
        <w:framePr w:w="9029" w:wrap="auto" w:vAnchor="margin" w:hAnchor="text" w:x="1586" w:y="2092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/>
          <w:color w:val="000000"/>
          <w:spacing w:val="0"/>
          <w:sz w:val="32"/>
        </w:rPr>
        <w:t>23.87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万元，增长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29.63%。</w:t>
      </w:r>
    </w:p>
    <w:p w14:paraId="71052626">
      <w:pPr>
        <w:framePr w:w="4078" w:wrap="auto" w:vAnchor="margin" w:hAnchor="text" w:x="2227" w:y="3962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二、关于收入决算情况说明</w:t>
      </w:r>
    </w:p>
    <w:p w14:paraId="7858C609">
      <w:pPr>
        <w:framePr w:w="9029" w:wrap="auto" w:vAnchor="margin" w:hAnchor="text" w:x="1586" w:y="4583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/>
          <w:color w:val="000000"/>
          <w:spacing w:val="0"/>
          <w:sz w:val="32"/>
        </w:rPr>
        <w:t>2017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仿宋" w:hAnsi="仿宋" w:cs="仿宋"/>
          <w:color w:val="000000"/>
          <w:spacing w:val="28"/>
          <w:sz w:val="32"/>
        </w:rPr>
        <w:t>年度收入合计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115.85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仿宋" w:hAnsi="仿宋" w:cs="仿宋"/>
          <w:color w:val="000000"/>
          <w:spacing w:val="29"/>
          <w:sz w:val="32"/>
        </w:rPr>
        <w:t>万元，其中：财政拨款收入</w:t>
      </w:r>
    </w:p>
    <w:p w14:paraId="0F5ED5D6">
      <w:pPr>
        <w:framePr w:w="9029" w:wrap="auto" w:vAnchor="margin" w:hAnchor="text" w:x="1586" w:y="4583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/>
          <w:color w:val="000000"/>
          <w:spacing w:val="0"/>
          <w:sz w:val="32"/>
        </w:rPr>
        <w:t>115.85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万元，占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100%；</w:t>
      </w:r>
    </w:p>
    <w:p w14:paraId="00BD5D82">
      <w:pPr>
        <w:framePr w:w="4078" w:wrap="auto" w:vAnchor="margin" w:hAnchor="text" w:x="2227" w:y="582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三、关于支出决算情况说明</w:t>
      </w:r>
    </w:p>
    <w:p w14:paraId="338A8AB0">
      <w:pPr>
        <w:framePr w:w="9187" w:wrap="auto" w:vAnchor="margin" w:hAnchor="text" w:x="1586" w:y="6450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/>
          <w:color w:val="000000"/>
          <w:spacing w:val="0"/>
          <w:sz w:val="32"/>
        </w:rPr>
        <w:t>2017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仿宋" w:hAnsi="仿宋" w:cs="仿宋"/>
          <w:color w:val="000000"/>
          <w:spacing w:val="8"/>
          <w:sz w:val="32"/>
        </w:rPr>
        <w:t>年度支出合计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104.44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仿宋" w:hAnsi="仿宋" w:cs="仿宋"/>
          <w:color w:val="000000"/>
          <w:spacing w:val="8"/>
          <w:sz w:val="32"/>
        </w:rPr>
        <w:t>万元，其中：基本支出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101.53</w:t>
      </w:r>
    </w:p>
    <w:p w14:paraId="0704A06A">
      <w:pPr>
        <w:framePr w:w="9187" w:wrap="auto" w:vAnchor="margin" w:hAnchor="text" w:x="1586" w:y="6450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万元，占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97.21%；项目支出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2.91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万元，占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2.79%。</w:t>
      </w:r>
    </w:p>
    <w:p w14:paraId="18D3B01A">
      <w:pPr>
        <w:framePr w:w="9187" w:wrap="auto" w:vAnchor="margin" w:hAnchor="text" w:x="1586" w:y="6450"/>
        <w:widowControl w:val="0"/>
        <w:autoSpaceDE w:val="0"/>
        <w:autoSpaceDN w:val="0"/>
        <w:spacing w:before="30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四、关于财政拨款收入支出决算总体情况说明</w:t>
      </w:r>
    </w:p>
    <w:p w14:paraId="058FE877">
      <w:pPr>
        <w:framePr w:w="9187" w:wrap="auto" w:vAnchor="margin" w:hAnchor="text" w:x="1586" w:y="6450"/>
        <w:widowControl w:val="0"/>
        <w:autoSpaceDE w:val="0"/>
        <w:autoSpaceDN w:val="0"/>
        <w:spacing w:before="303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/>
          <w:color w:val="000000"/>
          <w:spacing w:val="0"/>
          <w:sz w:val="32"/>
        </w:rPr>
        <w:t>2017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年财政拨款收支总决算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220.29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-23"/>
          <w:sz w:val="32"/>
        </w:rPr>
        <w:t>万元。与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2016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年相比，</w:t>
      </w:r>
    </w:p>
    <w:p w14:paraId="51C54A8A">
      <w:pPr>
        <w:framePr w:w="9187" w:wrap="auto" w:vAnchor="margin" w:hAnchor="text" w:x="1586" w:y="6450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3"/>
          <w:sz w:val="32"/>
        </w:rPr>
        <w:t>财政拨款收入增加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22.19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 w:hAnsi="仿宋" w:cs="仿宋"/>
          <w:color w:val="000000"/>
          <w:spacing w:val="3"/>
          <w:sz w:val="32"/>
        </w:rPr>
        <w:t>万元，增长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仿宋" w:hAnsi="仿宋" w:cs="仿宋"/>
          <w:color w:val="000000"/>
          <w:spacing w:val="2"/>
          <w:sz w:val="32"/>
        </w:rPr>
        <w:t>23.69%，财政拨款支出增</w:t>
      </w:r>
    </w:p>
    <w:p w14:paraId="3AD5F0B2">
      <w:pPr>
        <w:framePr w:w="9187" w:wrap="auto" w:vAnchor="margin" w:hAnchor="text" w:x="1586" w:y="6450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加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23.87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万元，增长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29.63%。</w:t>
      </w:r>
    </w:p>
    <w:p w14:paraId="39F571C6">
      <w:pPr>
        <w:framePr w:w="7276" w:wrap="auto" w:vAnchor="margin" w:hAnchor="text" w:x="2227" w:y="1018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五、关于一般公共预算财政拨款支出决算情况说明</w:t>
      </w:r>
    </w:p>
    <w:p w14:paraId="203D5700">
      <w:pPr>
        <w:framePr w:w="7276" w:wrap="auto" w:vAnchor="margin" w:hAnchor="text" w:x="2227" w:y="1018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0"/>
          <w:sz w:val="32"/>
        </w:rPr>
        <w:t>（一）财政拨款支出决算总体情况。</w:t>
      </w:r>
    </w:p>
    <w:p w14:paraId="783BC50C">
      <w:pPr>
        <w:framePr w:w="9029" w:wrap="auto" w:vAnchor="margin" w:hAnchor="text" w:x="1586" w:y="11430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/>
          <w:color w:val="000000"/>
          <w:spacing w:val="0"/>
          <w:sz w:val="32"/>
        </w:rPr>
        <w:t>2017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年一般公共预算财政拨款支出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104.44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-13"/>
          <w:sz w:val="32"/>
        </w:rPr>
        <w:t>万元，占支出合</w:t>
      </w:r>
    </w:p>
    <w:p w14:paraId="7C16CFAA">
      <w:pPr>
        <w:framePr w:w="9029" w:wrap="auto" w:vAnchor="margin" w:hAnchor="text" w:x="1586" w:y="11430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9"/>
          <w:sz w:val="32"/>
        </w:rPr>
        <w:t>计的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 w:hAnsi="仿宋" w:cs="仿宋"/>
          <w:color w:val="000000"/>
          <w:spacing w:val="4"/>
          <w:sz w:val="32"/>
        </w:rPr>
        <w:t>100%。与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2016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仿宋" w:hAnsi="仿宋" w:cs="仿宋"/>
          <w:color w:val="000000"/>
          <w:spacing w:val="10"/>
          <w:sz w:val="32"/>
        </w:rPr>
        <w:t>年相比，一般公共预算财政拨款支出增加</w:t>
      </w:r>
    </w:p>
    <w:p w14:paraId="3A838A39">
      <w:pPr>
        <w:framePr w:w="9029" w:wrap="auto" w:vAnchor="margin" w:hAnchor="text" w:x="1586" w:y="11430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/>
          <w:color w:val="000000"/>
          <w:spacing w:val="0"/>
          <w:sz w:val="32"/>
        </w:rPr>
        <w:t>23.87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万元，增长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29.63%。</w:t>
      </w:r>
    </w:p>
    <w:p w14:paraId="0243795A">
      <w:pPr>
        <w:framePr w:w="5357" w:wrap="auto" w:vAnchor="margin" w:hAnchor="text" w:x="2227" w:y="1329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0"/>
          <w:sz w:val="32"/>
        </w:rPr>
        <w:t>（二）财政拨款支出决算结构情况。</w:t>
      </w:r>
    </w:p>
    <w:p w14:paraId="2AE842A3">
      <w:pPr>
        <w:framePr w:w="9028" w:wrap="auto" w:vAnchor="margin" w:hAnchor="text" w:x="1586" w:y="13922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/>
          <w:color w:val="000000"/>
          <w:spacing w:val="0"/>
          <w:sz w:val="32"/>
        </w:rPr>
        <w:t>2017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年度一般公共预算财政拨款支出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104.44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-15"/>
          <w:sz w:val="32"/>
        </w:rPr>
        <w:t>万元，全部用</w:t>
      </w:r>
    </w:p>
    <w:p w14:paraId="18CCDE39">
      <w:pPr>
        <w:framePr w:w="9028" w:wrap="auto" w:vAnchor="margin" w:hAnchor="text" w:x="1586" w:y="13922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于一般公共服务（类）支出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104.44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万元，占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100%。</w:t>
      </w:r>
    </w:p>
    <w:p w14:paraId="163C8330">
      <w:pPr>
        <w:framePr w:w="523" w:wrap="auto" w:vAnchor="margin" w:hAnchor="text" w:x="5839" w:y="1564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</w:p>
    <w:p w14:paraId="4DF4064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6" o:spid="_x0000_s1032" o:spt="75" type="#_x0000_t75" style="position:absolute;left:0pt;margin-left:-1pt;margin-top:-1pt;height:843pt;width:59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2B88C75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94E5A43">
      <w:pPr>
        <w:framePr w:w="5357" w:wrap="auto" w:vAnchor="margin" w:hAnchor="text" w:x="2227" w:y="147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0"/>
          <w:sz w:val="32"/>
        </w:rPr>
        <w:t>（三）财政拨款支出决算具体情况。</w:t>
      </w:r>
    </w:p>
    <w:p w14:paraId="102DB2DF">
      <w:pPr>
        <w:framePr w:w="9189" w:wrap="auto" w:vAnchor="margin" w:hAnchor="text" w:x="1586" w:y="2092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/>
          <w:color w:val="000000"/>
          <w:spacing w:val="0"/>
          <w:sz w:val="32"/>
        </w:rPr>
        <w:t>2017</w:t>
      </w:r>
      <w:r>
        <w:rPr>
          <w:rFonts w:ascii="Times New Roman"/>
          <w:color w:val="000000"/>
          <w:spacing w:val="-3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年度一般公共预算财政拨款支出年初预算为</w:t>
      </w:r>
      <w:r>
        <w:rPr>
          <w:rFonts w:ascii="Times New Roman"/>
          <w:color w:val="000000"/>
          <w:spacing w:val="-30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144.98</w:t>
      </w:r>
      <w:r>
        <w:rPr>
          <w:rFonts w:ascii="Times New Roman"/>
          <w:color w:val="000000"/>
          <w:spacing w:val="-29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</w:t>
      </w:r>
    </w:p>
    <w:p w14:paraId="3671670B">
      <w:pPr>
        <w:framePr w:w="9189" w:wrap="auto" w:vAnchor="margin" w:hAnchor="text" w:x="1586" w:y="2092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5"/>
          <w:sz w:val="32"/>
        </w:rPr>
        <w:t>元，支出决算为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104.44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-3"/>
          <w:sz w:val="32"/>
        </w:rPr>
        <w:t>万元，完成年初预算的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仿宋" w:hAnsi="仿宋" w:cs="仿宋"/>
          <w:color w:val="000000"/>
          <w:spacing w:val="-3"/>
          <w:sz w:val="32"/>
        </w:rPr>
        <w:t>72.03%。决算数</w:t>
      </w:r>
    </w:p>
    <w:p w14:paraId="7CF5099E">
      <w:pPr>
        <w:framePr w:w="9189" w:wrap="auto" w:vAnchor="margin" w:hAnchor="text" w:x="1586" w:y="2092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小于预算数的主要原因：项目支出比年初预算数少。</w:t>
      </w:r>
    </w:p>
    <w:p w14:paraId="18228C4D">
      <w:pPr>
        <w:framePr w:w="9189" w:wrap="auto" w:vAnchor="margin" w:hAnchor="text" w:x="1586" w:y="2092"/>
        <w:widowControl w:val="0"/>
        <w:autoSpaceDE w:val="0"/>
        <w:autoSpaceDN w:val="0"/>
        <w:spacing w:before="30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六、关于一般公共预算财政拨款基本支出决算情况说明</w:t>
      </w:r>
    </w:p>
    <w:p w14:paraId="5EBD0784">
      <w:pPr>
        <w:framePr w:w="9189" w:wrap="auto" w:vAnchor="margin" w:hAnchor="text" w:x="1586" w:y="2092"/>
        <w:widowControl w:val="0"/>
        <w:autoSpaceDE w:val="0"/>
        <w:autoSpaceDN w:val="0"/>
        <w:spacing w:before="303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/>
          <w:color w:val="000000"/>
          <w:spacing w:val="0"/>
          <w:sz w:val="32"/>
        </w:rPr>
        <w:t>2017</w:t>
      </w:r>
      <w:r>
        <w:rPr>
          <w:rFonts w:ascii="Times New Roman"/>
          <w:color w:val="000000"/>
          <w:spacing w:val="-3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年一般公共预算财政拨款基本支出</w:t>
      </w:r>
      <w:r>
        <w:rPr>
          <w:rFonts w:ascii="Times New Roman"/>
          <w:color w:val="000000"/>
          <w:spacing w:val="-30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101.53</w:t>
      </w:r>
      <w:r>
        <w:rPr>
          <w:rFonts w:ascii="Times New Roman"/>
          <w:color w:val="000000"/>
          <w:spacing w:val="-31"/>
          <w:sz w:val="32"/>
        </w:rPr>
        <w:t xml:space="preserve"> </w:t>
      </w:r>
      <w:r>
        <w:rPr>
          <w:rFonts w:ascii="仿宋" w:hAnsi="仿宋" w:cs="仿宋"/>
          <w:color w:val="000000"/>
          <w:spacing w:val="-26"/>
          <w:sz w:val="32"/>
        </w:rPr>
        <w:t>万元，其中：</w:t>
      </w:r>
    </w:p>
    <w:p w14:paraId="43C1A4E6">
      <w:pPr>
        <w:framePr w:w="9189" w:wrap="auto" w:vAnchor="margin" w:hAnchor="text" w:x="1586" w:y="2092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人员经费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/>
          <w:color w:val="000000"/>
          <w:spacing w:val="-1"/>
          <w:sz w:val="32"/>
        </w:rPr>
        <w:t>91.69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 w:hAnsi="仿宋" w:cs="仿宋"/>
          <w:color w:val="000000"/>
          <w:spacing w:val="-9"/>
          <w:sz w:val="32"/>
        </w:rPr>
        <w:t>万元，主要包括：基本工资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38.51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-8"/>
          <w:sz w:val="32"/>
        </w:rPr>
        <w:t>万元、津贴补</w:t>
      </w:r>
    </w:p>
    <w:p w14:paraId="75039A4F">
      <w:pPr>
        <w:framePr w:w="9189" w:wrap="auto" w:vAnchor="margin" w:hAnchor="text" w:x="1586" w:y="2092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18.84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万元、奖金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21.97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万元，其他社会保障费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4.58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</w:t>
      </w:r>
    </w:p>
    <w:p w14:paraId="6640DC5F">
      <w:pPr>
        <w:framePr w:w="9189" w:wrap="auto" w:vAnchor="margin" w:hAnchor="text" w:x="1586" w:y="2092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伙食补助费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0.26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万元，住房公积金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7.32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万元；公用经费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9.83</w:t>
      </w:r>
    </w:p>
    <w:p w14:paraId="2E9C5B01">
      <w:pPr>
        <w:framePr w:w="9189" w:wrap="auto" w:vAnchor="margin" w:hAnchor="text" w:x="1586" w:y="2092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6"/>
          <w:sz w:val="32"/>
        </w:rPr>
        <w:t>万元，主要包括：办公费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2.19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仿宋" w:hAnsi="仿宋" w:cs="仿宋"/>
          <w:color w:val="000000"/>
          <w:spacing w:val="7"/>
          <w:sz w:val="32"/>
        </w:rPr>
        <w:t>万元，印刷费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0.15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仿宋" w:hAnsi="仿宋" w:cs="仿宋"/>
          <w:color w:val="000000"/>
          <w:spacing w:val="7"/>
          <w:sz w:val="32"/>
        </w:rPr>
        <w:t>万元，差旅</w:t>
      </w:r>
    </w:p>
    <w:p w14:paraId="1E1AA442">
      <w:pPr>
        <w:framePr w:w="9189" w:wrap="auto" w:vAnchor="margin" w:hAnchor="text" w:x="1586" w:y="2092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费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1.10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万元，工会经费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2.64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万元，公务用车运行维护费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1.71</w:t>
      </w:r>
    </w:p>
    <w:p w14:paraId="5FDD0DEB">
      <w:pPr>
        <w:framePr w:w="9189" w:wrap="auto" w:vAnchor="margin" w:hAnchor="text" w:x="1586" w:y="2092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万元。</w:t>
      </w:r>
    </w:p>
    <w:p w14:paraId="0DFFC133">
      <w:pPr>
        <w:framePr w:w="9026" w:wrap="auto" w:vAnchor="margin" w:hAnchor="text" w:x="1586" w:y="8942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6"/>
          <w:sz w:val="32"/>
        </w:rPr>
        <w:t>七、关于一般公共预算财政拨款“三公”经费支出决算情</w:t>
      </w:r>
    </w:p>
    <w:p w14:paraId="16D6ABCA">
      <w:pPr>
        <w:framePr w:w="9026" w:wrap="auto" w:vAnchor="margin" w:hAnchor="text" w:x="1586" w:y="8942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况说明</w:t>
      </w:r>
    </w:p>
    <w:p w14:paraId="34FE2F0D">
      <w:pPr>
        <w:framePr w:w="9172" w:wrap="auto" w:vAnchor="margin" w:hAnchor="text" w:x="1586" w:y="10185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0"/>
          <w:sz w:val="32"/>
        </w:rPr>
        <w:t>（一）“三公”经费财政拨款支出决算总体情况说明。</w:t>
      </w:r>
    </w:p>
    <w:p w14:paraId="29CB5A44">
      <w:pPr>
        <w:framePr w:w="9172" w:wrap="auto" w:vAnchor="margin" w:hAnchor="text" w:x="1586" w:y="10185"/>
        <w:widowControl w:val="0"/>
        <w:autoSpaceDE w:val="0"/>
        <w:autoSpaceDN w:val="0"/>
        <w:spacing w:before="30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2017年度“三公”经费财政拨款支出预算为4.5万元，支出</w:t>
      </w:r>
    </w:p>
    <w:p w14:paraId="17E4C682">
      <w:pPr>
        <w:framePr w:w="9172" w:wrap="auto" w:vAnchor="margin" w:hAnchor="text" w:x="1586" w:y="10185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5"/>
          <w:sz w:val="32"/>
        </w:rPr>
        <w:t>决算为1.83万元，完成预算的40.67%，其中：因公出国（境）</w:t>
      </w:r>
    </w:p>
    <w:p w14:paraId="2095AEFF">
      <w:pPr>
        <w:framePr w:w="9172" w:wrap="auto" w:vAnchor="margin" w:hAnchor="text" w:x="1586" w:y="10185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费支出决算为0万元；公务用车购置及运行费支出决算为1.70万</w:t>
      </w:r>
    </w:p>
    <w:p w14:paraId="5B8E9A87">
      <w:pPr>
        <w:framePr w:w="9172" w:wrap="auto" w:vAnchor="margin" w:hAnchor="text" w:x="1586" w:y="1018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5"/>
          <w:sz w:val="32"/>
        </w:rPr>
        <w:t>元，完成预算的37.77%；公务接待费支出决算为0.13万元。2017</w:t>
      </w:r>
    </w:p>
    <w:p w14:paraId="27811389">
      <w:pPr>
        <w:framePr w:w="9172" w:wrap="auto" w:vAnchor="margin" w:hAnchor="text" w:x="1586" w:y="10185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6"/>
          <w:sz w:val="32"/>
        </w:rPr>
        <w:t>年度“三公”经费支出决算数小于预算数的主要原因是：严格</w:t>
      </w:r>
    </w:p>
    <w:p w14:paraId="40DD4D9A">
      <w:pPr>
        <w:framePr w:w="9172" w:wrap="auto" w:vAnchor="margin" w:hAnchor="text" w:x="1586" w:y="1018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执行“中央八项规定”，厉行节约，严格控制三公经费支出。</w:t>
      </w:r>
    </w:p>
    <w:p w14:paraId="46327220">
      <w:pPr>
        <w:framePr w:w="9172" w:wrap="auto" w:vAnchor="margin" w:hAnchor="text" w:x="1586" w:y="10185"/>
        <w:widowControl w:val="0"/>
        <w:autoSpaceDE w:val="0"/>
        <w:autoSpaceDN w:val="0"/>
        <w:spacing w:before="303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5"/>
          <w:sz w:val="32"/>
        </w:rPr>
        <w:t>2017年度“三公”经费财政拨款支出决算数比2016年减少</w:t>
      </w:r>
    </w:p>
    <w:p w14:paraId="54240655">
      <w:pPr>
        <w:framePr w:w="523" w:wrap="auto" w:vAnchor="margin" w:hAnchor="text" w:x="5839" w:y="1564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</w:p>
    <w:p w14:paraId="12BEE7B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7" o:spid="_x0000_s1033" o:spt="75" type="#_x0000_t75" style="position:absolute;left:0pt;margin-left:-1pt;margin-top:-1pt;height:843pt;width:59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0AF4BC1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3AB7F53">
      <w:pPr>
        <w:framePr w:w="9025" w:wrap="auto" w:vAnchor="margin" w:hAnchor="text" w:x="1586" w:y="147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5"/>
          <w:sz w:val="32"/>
        </w:rPr>
        <w:t>0.33万元，下降22.00%，主要原因是厉行节约，严控三公经费</w:t>
      </w:r>
    </w:p>
    <w:p w14:paraId="38F43F6D">
      <w:pPr>
        <w:framePr w:w="9025" w:wrap="auto" w:vAnchor="margin" w:hAnchor="text" w:x="1586" w:y="1470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支出。</w:t>
      </w:r>
    </w:p>
    <w:p w14:paraId="521D5D5C">
      <w:pPr>
        <w:framePr w:w="9041" w:wrap="auto" w:vAnchor="margin" w:hAnchor="text" w:x="1586" w:y="2716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0"/>
          <w:sz w:val="32"/>
        </w:rPr>
        <w:t>（二）“三公”经费财政拨款支出决算具体情况说明。</w:t>
      </w:r>
    </w:p>
    <w:p w14:paraId="768D6AC2">
      <w:pPr>
        <w:framePr w:w="9041" w:wrap="auto" w:vAnchor="margin" w:hAnchor="text" w:x="1586" w:y="2716"/>
        <w:widowControl w:val="0"/>
        <w:autoSpaceDE w:val="0"/>
        <w:autoSpaceDN w:val="0"/>
        <w:spacing w:before="303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6"/>
          <w:sz w:val="32"/>
        </w:rPr>
        <w:t>2017年度“三公”经费财政拨款支出决算中，因公出国（</w:t>
      </w:r>
    </w:p>
    <w:p w14:paraId="71F9B1C2">
      <w:pPr>
        <w:framePr w:w="9041" w:wrap="auto" w:vAnchor="margin" w:hAnchor="text" w:x="1586" w:y="271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境）费支出决算0万元；公务用车购置及运行费支出决算1.70万</w:t>
      </w:r>
    </w:p>
    <w:p w14:paraId="1238A3DF">
      <w:pPr>
        <w:framePr w:w="9041" w:wrap="auto" w:vAnchor="margin" w:hAnchor="text" w:x="1586" w:y="2716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5"/>
          <w:sz w:val="32"/>
        </w:rPr>
        <w:t>元，占92.90%，全部为公务用车运行维护费支出，单位共有公</w:t>
      </w:r>
    </w:p>
    <w:p w14:paraId="5B495286">
      <w:pPr>
        <w:framePr w:w="9041" w:wrap="auto" w:vAnchor="margin" w:hAnchor="text" w:x="1586" w:y="2716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车1辆，每人保有量为0.04辆；公务接待费支出决算0.13万元，</w:t>
      </w:r>
    </w:p>
    <w:p w14:paraId="063FFBB2">
      <w:pPr>
        <w:framePr w:w="9041" w:wrap="auto" w:vAnchor="margin" w:hAnchor="text" w:x="1586" w:y="271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占7.10%，为接待上级领导发生的支出，全年共接待10批次，45</w:t>
      </w:r>
    </w:p>
    <w:p w14:paraId="170E1B74">
      <w:pPr>
        <w:framePr w:w="9041" w:wrap="auto" w:vAnchor="margin" w:hAnchor="text" w:x="1586" w:y="2716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人次。</w:t>
      </w:r>
    </w:p>
    <w:p w14:paraId="61D28658">
      <w:pPr>
        <w:framePr w:w="4078" w:wrap="auto" w:vAnchor="margin" w:hAnchor="text" w:x="2227" w:y="7072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八、关于预算绩效情况说明</w:t>
      </w:r>
    </w:p>
    <w:p w14:paraId="69C83009">
      <w:pPr>
        <w:framePr w:w="9026" w:wrap="auto" w:vAnchor="margin" w:hAnchor="text" w:x="1586" w:y="7696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/>
          <w:color w:val="000000"/>
          <w:spacing w:val="0"/>
          <w:sz w:val="32"/>
        </w:rPr>
        <w:t>2017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仿宋" w:hAnsi="仿宋" w:cs="仿宋"/>
          <w:color w:val="000000"/>
          <w:spacing w:val="-1"/>
          <w:sz w:val="32"/>
        </w:rPr>
        <w:t>年，滑县财政监督检查服务中心没有对项目进行预算</w:t>
      </w:r>
    </w:p>
    <w:p w14:paraId="7EBB4F43">
      <w:pPr>
        <w:framePr w:w="9026" w:wrap="auto" w:vAnchor="margin" w:hAnchor="text" w:x="1586" w:y="7696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绩效评价。</w:t>
      </w:r>
    </w:p>
    <w:p w14:paraId="0766EA31">
      <w:pPr>
        <w:framePr w:w="9025" w:wrap="auto" w:vAnchor="margin" w:hAnchor="text" w:x="1586" w:y="8942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九、关于政府性基金预算财政拨款支出决算情况说明</w:t>
      </w:r>
    </w:p>
    <w:p w14:paraId="3EDB28BF">
      <w:pPr>
        <w:framePr w:w="9025" w:wrap="auto" w:vAnchor="margin" w:hAnchor="text" w:x="1586" w:y="8942"/>
        <w:widowControl w:val="0"/>
        <w:autoSpaceDE w:val="0"/>
        <w:autoSpaceDN w:val="0"/>
        <w:spacing w:before="303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滑县财政监督检查服务中心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2017</w:t>
      </w:r>
      <w:r>
        <w:rPr>
          <w:rFonts w:ascii="Times New Roman"/>
          <w:color w:val="000000"/>
          <w:spacing w:val="-7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hint="eastAsia" w:ascii="仿宋" w:hAnsi="仿宋" w:cs="仿宋"/>
          <w:color w:val="000000"/>
          <w:spacing w:val="0"/>
          <w:sz w:val="32"/>
          <w:lang w:eastAsia="zh-CN"/>
        </w:rPr>
        <w:t>政</w:t>
      </w:r>
      <w:bookmarkStart w:id="0" w:name="_GoBack"/>
      <w:bookmarkEnd w:id="0"/>
      <w:r>
        <w:rPr>
          <w:rFonts w:ascii="仿宋" w:hAnsi="仿宋" w:cs="仿宋"/>
          <w:color w:val="000000"/>
          <w:spacing w:val="0"/>
          <w:sz w:val="32"/>
        </w:rPr>
        <w:t>府性基金预算财政拨款</w:t>
      </w:r>
    </w:p>
    <w:p w14:paraId="71DB3DDB">
      <w:pPr>
        <w:framePr w:w="9025" w:wrap="auto" w:vAnchor="margin" w:hAnchor="text" w:x="1586" w:y="8942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支出年初预算为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万元，支出决算为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万元。</w:t>
      </w:r>
    </w:p>
    <w:p w14:paraId="1594AADD">
      <w:pPr>
        <w:framePr w:w="9025" w:wrap="auto" w:vAnchor="margin" w:hAnchor="text" w:x="1586" w:y="8942"/>
        <w:widowControl w:val="0"/>
        <w:autoSpaceDE w:val="0"/>
        <w:autoSpaceDN w:val="0"/>
        <w:spacing w:before="30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十、其他重要事项的情况说明</w:t>
      </w:r>
    </w:p>
    <w:p w14:paraId="2E4DB3E4">
      <w:pPr>
        <w:framePr w:w="4717" w:wrap="auto" w:vAnchor="margin" w:hAnchor="text" w:x="2227" w:y="1143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0"/>
          <w:sz w:val="32"/>
        </w:rPr>
        <w:t>（一）机关运行经费支出情况。</w:t>
      </w:r>
    </w:p>
    <w:p w14:paraId="32C9396F">
      <w:pPr>
        <w:framePr w:w="9028" w:wrap="auto" w:vAnchor="margin" w:hAnchor="text" w:x="1586" w:y="12052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5"/>
          <w:sz w:val="32"/>
        </w:rPr>
        <w:t>2017年度机关运行经费支出9.83万元，比2016年增加1.46</w:t>
      </w:r>
    </w:p>
    <w:p w14:paraId="440088EA">
      <w:pPr>
        <w:framePr w:w="9028" w:wrap="auto" w:vAnchor="margin" w:hAnchor="text" w:x="1586" w:y="12052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万元，增长17.44%。</w:t>
      </w:r>
    </w:p>
    <w:p w14:paraId="02460F63">
      <w:pPr>
        <w:framePr w:w="4079" w:wrap="auto" w:vAnchor="margin" w:hAnchor="text" w:x="2227" w:y="1329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0"/>
          <w:sz w:val="32"/>
        </w:rPr>
        <w:t>（二）政府采购支出情况。</w:t>
      </w:r>
    </w:p>
    <w:p w14:paraId="4FBE8B2B">
      <w:pPr>
        <w:framePr w:w="5200" w:wrap="auto" w:vAnchor="margin" w:hAnchor="text" w:x="2227" w:y="13922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2017年度政府采购支出总额0万元。</w:t>
      </w:r>
    </w:p>
    <w:p w14:paraId="615BEB1D">
      <w:pPr>
        <w:framePr w:w="4079" w:wrap="auto" w:vAnchor="margin" w:hAnchor="text" w:x="2227" w:y="1454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0"/>
          <w:sz w:val="32"/>
        </w:rPr>
        <w:t>（三）国有资产占用情况。</w:t>
      </w:r>
    </w:p>
    <w:p w14:paraId="1674C406">
      <w:pPr>
        <w:framePr w:w="523" w:wrap="auto" w:vAnchor="margin" w:hAnchor="text" w:x="5839" w:y="1564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</w:p>
    <w:p w14:paraId="75B05CD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8" o:spid="_x0000_s1034" o:spt="75" type="#_x0000_t75" style="position:absolute;left:0pt;margin-left:-1pt;margin-top:-1pt;height:843pt;width:59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64C9C3F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4D1DE86">
      <w:pPr>
        <w:framePr w:w="9028" w:wrap="auto" w:vAnchor="margin" w:hAnchor="text" w:x="1586" w:y="1470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"/>
          <w:sz w:val="32"/>
        </w:rPr>
        <w:t>截至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2017年12月31日，滑县财政监督检查服务中心共有车</w:t>
      </w:r>
    </w:p>
    <w:p w14:paraId="23E3317A">
      <w:pPr>
        <w:framePr w:w="9028" w:wrap="auto" w:vAnchor="margin" w:hAnchor="text" w:x="1586" w:y="1470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辆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仿宋" w:hAnsi="仿宋" w:cs="仿宋"/>
          <w:color w:val="000000"/>
          <w:spacing w:val="-1"/>
          <w:sz w:val="32"/>
        </w:rPr>
        <w:t>1辆，其中，一般公务用车1辆；单位价值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200万元以上大型</w:t>
      </w:r>
    </w:p>
    <w:p w14:paraId="05B99A58">
      <w:pPr>
        <w:framePr w:w="9028" w:wrap="auto" w:vAnchor="margin" w:hAnchor="text" w:x="1586" w:y="1470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设备0台（套）。</w:t>
      </w:r>
    </w:p>
    <w:p w14:paraId="194085DC">
      <w:pPr>
        <w:framePr w:w="523" w:wrap="auto" w:vAnchor="margin" w:hAnchor="text" w:x="5839" w:y="1564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</w:p>
    <w:p w14:paraId="4A24157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9" o:spid="_x0000_s1035" o:spt="75" type="#_x0000_t75" style="position:absolute;left:0pt;margin-left:-1pt;margin-top:-1pt;height:843pt;width:59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5197CFE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93F8355">
      <w:pPr>
        <w:framePr w:w="2160" w:wrap="auto" w:vAnchor="margin" w:hAnchor="text" w:x="5021" w:y="4434"/>
        <w:widowControl w:val="0"/>
        <w:autoSpaceDE w:val="0"/>
        <w:autoSpaceDN w:val="0"/>
        <w:spacing w:before="0" w:after="0" w:line="634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微软雅黑" w:hAnsi="微软雅黑" w:cs="微软雅黑"/>
          <w:color w:val="000000"/>
          <w:spacing w:val="0"/>
          <w:sz w:val="48"/>
        </w:rPr>
        <w:t>第四部分</w:t>
      </w:r>
    </w:p>
    <w:p w14:paraId="43BB39E6">
      <w:pPr>
        <w:framePr w:w="2160" w:wrap="auto" w:vAnchor="margin" w:hAnchor="text" w:x="5021" w:y="4434"/>
        <w:widowControl w:val="0"/>
        <w:autoSpaceDE w:val="0"/>
        <w:autoSpaceDN w:val="0"/>
        <w:spacing w:before="317" w:after="0" w:line="634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微软雅黑" w:hAnsi="微软雅黑" w:cs="微软雅黑"/>
          <w:color w:val="000000"/>
          <w:spacing w:val="0"/>
          <w:sz w:val="48"/>
        </w:rPr>
        <w:t>名词解释</w:t>
      </w:r>
    </w:p>
    <w:p w14:paraId="0E6F00BF">
      <w:pPr>
        <w:framePr w:w="523" w:wrap="auto" w:vAnchor="margin" w:hAnchor="text" w:x="5839" w:y="1564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</w:p>
    <w:p w14:paraId="5CD7F6C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0" o:spid="_x0000_s1036" o:spt="75" type="#_x0000_t75" style="position:absolute;left:0pt;margin-left:-1pt;margin-top:-1pt;height:843pt;width:59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0508FDC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AEFFD04">
      <w:pPr>
        <w:framePr w:w="7287" w:wrap="auto" w:vAnchor="margin" w:hAnchor="text" w:x="2227" w:y="2092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一、财政拨款收入：指省级财政当年拨付的资金。</w:t>
      </w:r>
    </w:p>
    <w:p w14:paraId="54CF3145">
      <w:pPr>
        <w:framePr w:w="8386" w:wrap="auto" w:vAnchor="margin" w:hAnchor="text" w:x="2227" w:y="271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6"/>
          <w:sz w:val="32"/>
        </w:rPr>
        <w:t>二、事业收入：指事业单位开展专业业务活动及辅助活动</w:t>
      </w:r>
    </w:p>
    <w:p w14:paraId="6B842511">
      <w:pPr>
        <w:framePr w:w="2478" w:wrap="auto" w:vAnchor="margin" w:hAnchor="text" w:x="1586" w:y="333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所取得的收入。</w:t>
      </w:r>
    </w:p>
    <w:p w14:paraId="57F1D90C">
      <w:pPr>
        <w:framePr w:w="9029" w:wrap="auto" w:vAnchor="margin" w:hAnchor="text" w:x="1586" w:y="3962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6"/>
          <w:sz w:val="32"/>
        </w:rPr>
        <w:t>三、其他收入：指本部门取得的除“财政拨款收入”、“</w:t>
      </w:r>
    </w:p>
    <w:p w14:paraId="607FD8B6">
      <w:pPr>
        <w:framePr w:w="9029" w:wrap="auto" w:vAnchor="margin" w:hAnchor="text" w:x="1586" w:y="3962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事业收入”、“经营收入”等以外的收入。</w:t>
      </w:r>
    </w:p>
    <w:p w14:paraId="04800779">
      <w:pPr>
        <w:framePr w:w="9027" w:wrap="auto" w:vAnchor="margin" w:hAnchor="text" w:x="1586" w:y="5205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6"/>
          <w:sz w:val="32"/>
        </w:rPr>
        <w:t>四、年末结转和结余：指本年度或以前年度预算安排、因</w:t>
      </w:r>
    </w:p>
    <w:p w14:paraId="5E7664F3">
      <w:pPr>
        <w:framePr w:w="9027" w:wrap="auto" w:vAnchor="margin" w:hAnchor="text" w:x="1586" w:y="520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6"/>
          <w:sz w:val="32"/>
        </w:rPr>
        <w:t>客观条件发生变化无法按原计划实施，需延迟到以后年度按有</w:t>
      </w:r>
    </w:p>
    <w:p w14:paraId="797746CA">
      <w:pPr>
        <w:framePr w:w="9027" w:wrap="auto" w:vAnchor="margin" w:hAnchor="text" w:x="1586" w:y="5205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关规定继续使用的资金。</w:t>
      </w:r>
    </w:p>
    <w:p w14:paraId="7C72C28A">
      <w:pPr>
        <w:framePr w:w="9027" w:wrap="auto" w:vAnchor="margin" w:hAnchor="text" w:x="1586" w:y="7072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6"/>
          <w:sz w:val="32"/>
        </w:rPr>
        <w:t>五、基本支出：指为保障机构正常运转、完成日常工作任</w:t>
      </w:r>
    </w:p>
    <w:p w14:paraId="38180A36">
      <w:pPr>
        <w:framePr w:w="9027" w:wrap="auto" w:vAnchor="margin" w:hAnchor="text" w:x="1586" w:y="7072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务而发生的人员支出和公用支出。</w:t>
      </w:r>
    </w:p>
    <w:p w14:paraId="5D5ACF8D">
      <w:pPr>
        <w:framePr w:w="9027" w:wrap="auto" w:vAnchor="margin" w:hAnchor="text" w:x="1586" w:y="8318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6"/>
          <w:sz w:val="32"/>
        </w:rPr>
        <w:t>六、项目支出：指在基本支出之外为完成特定行政任务和</w:t>
      </w:r>
    </w:p>
    <w:p w14:paraId="1076B885">
      <w:pPr>
        <w:framePr w:w="9027" w:wrap="auto" w:vAnchor="margin" w:hAnchor="text" w:x="1586" w:y="8318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事业发展目标所发生的支出</w:t>
      </w:r>
    </w:p>
    <w:p w14:paraId="7B82A668">
      <w:pPr>
        <w:framePr w:w="8889" w:wrap="auto" w:vAnchor="margin" w:hAnchor="text" w:x="1586" w:y="9563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七、“三公”经费：纳入省级财政预决算管理“三公”经</w:t>
      </w:r>
    </w:p>
    <w:p w14:paraId="147303B0">
      <w:pPr>
        <w:framePr w:w="8889" w:wrap="auto" w:vAnchor="margin" w:hAnchor="text" w:x="1586" w:y="9563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费，指部门使用财政拨款安排的因公出国（境）费、公务用车</w:t>
      </w:r>
    </w:p>
    <w:p w14:paraId="1D52EC3B">
      <w:pPr>
        <w:framePr w:w="8889" w:wrap="auto" w:vAnchor="margin" w:hAnchor="text" w:x="1586" w:y="956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购置及运行费和公务接待费。其中，因公出国（境）费反映单</w:t>
      </w:r>
    </w:p>
    <w:p w14:paraId="40140278">
      <w:pPr>
        <w:framePr w:w="8889" w:wrap="auto" w:vAnchor="margin" w:hAnchor="text" w:x="1586" w:y="9563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位公务出国（境）的国际旅费、国外城市间交通费、住宿费、</w:t>
      </w:r>
    </w:p>
    <w:p w14:paraId="6B7EB25A">
      <w:pPr>
        <w:framePr w:w="8889" w:wrap="auto" w:vAnchor="margin" w:hAnchor="text" w:x="1586" w:y="9563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伙食费、培训费、公杂费等支出；公务用车购置及运行费反映</w:t>
      </w:r>
    </w:p>
    <w:p w14:paraId="452887C6">
      <w:pPr>
        <w:framePr w:w="8889" w:wrap="auto" w:vAnchor="margin" w:hAnchor="text" w:x="1586" w:y="956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反映单位公务用车车辆购置支出（含车辆购置税）及租用费、</w:t>
      </w:r>
    </w:p>
    <w:p w14:paraId="363221E2">
      <w:pPr>
        <w:framePr w:w="8889" w:wrap="auto" w:vAnchor="margin" w:hAnchor="text" w:x="1586" w:y="9563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燃料费、维修费、过路过桥费、保险费、安全奖励费用等支出</w:t>
      </w:r>
    </w:p>
    <w:p w14:paraId="3C140AB3">
      <w:pPr>
        <w:framePr w:w="8889" w:wrap="auto" w:vAnchor="margin" w:hAnchor="text" w:x="1586" w:y="956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；公务接待费反映单位按规定开支的各类公务接待（含外宾接</w:t>
      </w:r>
    </w:p>
    <w:p w14:paraId="1A79FA9C">
      <w:pPr>
        <w:framePr w:w="8889" w:wrap="auto" w:vAnchor="margin" w:hAnchor="text" w:x="1586" w:y="9563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待）支出。</w:t>
      </w:r>
    </w:p>
    <w:p w14:paraId="37543CBB">
      <w:pPr>
        <w:framePr w:w="614" w:wrap="auto" w:vAnchor="margin" w:hAnchor="text" w:x="5794" w:y="1564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10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</w:p>
    <w:p w14:paraId="36506DA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1" o:spid="_x0000_s1037" o:spt="75" type="#_x0000_t75" style="position:absolute;left:0pt;margin-left:-1pt;margin-top:-1pt;height:843pt;width:59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1F9723F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BF53718">
      <w:pPr>
        <w:framePr w:w="9027" w:wrap="auto" w:vAnchor="margin" w:hAnchor="text" w:x="1586" w:y="1470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6"/>
          <w:sz w:val="32"/>
        </w:rPr>
        <w:t>八、机关运行经费：指为保障行政单位（含参照公务员法</w:t>
      </w:r>
    </w:p>
    <w:p w14:paraId="580B96C0">
      <w:pPr>
        <w:framePr w:w="9027" w:wrap="auto" w:vAnchor="margin" w:hAnchor="text" w:x="1586" w:y="1470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6"/>
          <w:sz w:val="32"/>
        </w:rPr>
        <w:t>管理的事业单位）运行用于购买货物和服务的各项资金，包括</w:t>
      </w:r>
    </w:p>
    <w:p w14:paraId="2DAD629B">
      <w:pPr>
        <w:framePr w:w="9027" w:wrap="auto" w:vAnchor="margin" w:hAnchor="text" w:x="1586" w:y="1470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6"/>
          <w:sz w:val="32"/>
        </w:rPr>
        <w:t>办公及印刷费、邮电费、差旅费、会议费、福利费、日常维修</w:t>
      </w:r>
    </w:p>
    <w:p w14:paraId="19D1A8A1">
      <w:pPr>
        <w:framePr w:w="9027" w:wrap="auto" w:vAnchor="margin" w:hAnchor="text" w:x="1586" w:y="1470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6"/>
          <w:sz w:val="32"/>
        </w:rPr>
        <w:t>费、专用材料及一般设备购置费、办公用房水电费、办公用房</w:t>
      </w:r>
    </w:p>
    <w:p w14:paraId="50E052BA">
      <w:pPr>
        <w:framePr w:w="9027" w:wrap="auto" w:vAnchor="margin" w:hAnchor="text" w:x="1586" w:y="1470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6"/>
          <w:sz w:val="32"/>
        </w:rPr>
        <w:t>取暖费、办公用房物业管理费、公务用车运行维护费以及其他</w:t>
      </w:r>
    </w:p>
    <w:p w14:paraId="398B4DB2">
      <w:pPr>
        <w:framePr w:w="9027" w:wrap="auto" w:vAnchor="margin" w:hAnchor="text" w:x="1586" w:y="1470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费用。</w:t>
      </w:r>
    </w:p>
    <w:p w14:paraId="7FDD2D34">
      <w:pPr>
        <w:framePr w:w="7919" w:wrap="auto" w:vAnchor="margin" w:hAnchor="text" w:x="2227" w:y="645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附件：滑县财政监督检查服务中心2017年度部门决算表</w:t>
      </w:r>
    </w:p>
    <w:p w14:paraId="6AB2A2BD">
      <w:pPr>
        <w:framePr w:w="614" w:wrap="auto" w:vAnchor="margin" w:hAnchor="text" w:x="5794" w:y="1564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11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</w:p>
    <w:p w14:paraId="3E7F0E1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2" o:spid="_x0000_s1038" o:spt="75" type="#_x0000_t75" style="position:absolute;left:0pt;margin-left:-1pt;margin-top:-1pt;height:843pt;width:59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  <w:embedRegular r:id="rId1" w:fontKey="{5A0ECCB1-ED7A-435B-959C-0E5A5D27E0D2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1FD5454A-925C-4FFD-8245-32B2A163576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EEEC351-1EED-44A0-9453-B667A8A039E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948B1880-A3BE-4EA6-8520-5E057F81D0A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D7742AD3-5805-4C79-ACED-154AAD138F9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A5A73EFE-1F1E-40C9-82F0-22ADD7E99FA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A23EDBD2-1C1A-4BA0-9306-ADD5313B54F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7C1064E0-3539-4646-BEA2-F6E23CBB46E9}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  <w:embedRegular r:id="rId9" w:fontKey="{5CD41138-E7B5-4C9A-9535-B414E7C56F6D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10" w:fontKey="{8DA6CD68-A545-462C-8EAC-C4DC8FE87244}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  <w:embedRegular r:id="rId11" w:fontKey="{40AF58D5-495F-49C7-9EA1-F28AA5D4293A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2" w:fontKey="{77F329C1-1A03-4B42-8FCE-CBD89C025896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3" w:fontKey="{8D30E841-D667-4C79-AE69-7B7BBF2EA15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4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34190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qFormat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13</Pages>
  <Words>2555</Words>
  <Characters>2887</Characters>
  <Lines>157</Lines>
  <Paragraphs>157</Paragraphs>
  <TotalTime>3</TotalTime>
  <ScaleCrop>false</ScaleCrop>
  <LinksUpToDate>false</LinksUpToDate>
  <CharactersWithSpaces>3028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2025-05-09T15:31:00Z</dcterms:created>
  <dc:creator>root</dc:creator>
  <cp:lastModifiedBy>悦朝胜</cp:lastModifiedBy>
  <dcterms:modified xsi:type="dcterms:W3CDTF">2025-05-09T07:32:10Z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eyJoZGlkIjoiYTQ5ZTk3NGEwYjU5NTRjMGMyYTY3YmRhYjE4MGNkNDYiLCJ1c2VySWQiOiI0OTc1NjQ4ODAifQ==</vt:lpwstr>
  </property>
  <property fmtid="{D5CDD505-2E9C-101B-9397-08002B2CF9AE}" pid="3" name="KSOProductBuildVer">
    <vt:lpwstr>2052-12.1.0.19302</vt:lpwstr>
  </property>
  <property fmtid="{D5CDD505-2E9C-101B-9397-08002B2CF9AE}" pid="4" name="ICV">
    <vt:lpwstr>6FC820D291304767A008CB42C26C205C_12</vt:lpwstr>
  </property>
</Properties>
</file>