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widowControl/>
        <w:jc w:val="center"/>
        <w:rPr>
          <w:rFonts w:ascii="sans-serif" w:hAnsi="sans-serif" w:eastAsia="sans-serif" w:cs="sans-serif"/>
          <w:color w:val="00000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lang w:val="en-US" w:eastAsia="zh-CN"/>
        </w:rPr>
        <w:t>2024</w:t>
      </w:r>
      <w:r>
        <w:rPr>
          <w:rFonts w:ascii="方正小标宋简体" w:hAnsi="方正小标宋简体" w:eastAsia="方正小标宋简体" w:cs="方正小标宋简体"/>
          <w:color w:val="333333"/>
          <w:sz w:val="30"/>
          <w:szCs w:val="30"/>
        </w:rPr>
        <w:t>年</w:t>
      </w:r>
      <w:r>
        <w:rPr>
          <w:rFonts w:hint="eastAsia" w:ascii="方正小标宋简体" w:hAnsi="方正小标宋简体" w:eastAsia="方正小标宋简体" w:cs="方正小标宋简体"/>
          <w:color w:val="333333"/>
          <w:sz w:val="30"/>
          <w:szCs w:val="30"/>
          <w:lang w:val="en-US" w:eastAsia="zh-CN"/>
        </w:rPr>
        <w:t>5</w:t>
      </w:r>
      <w:r>
        <w:rPr>
          <w:rFonts w:ascii="方正小标宋简体" w:hAnsi="方正小标宋简体" w:eastAsia="方正小标宋简体" w:cs="方正小标宋简体"/>
          <w:color w:val="333333"/>
          <w:sz w:val="30"/>
          <w:szCs w:val="30"/>
        </w:rPr>
        <w:t>月</w:t>
      </w:r>
      <w:r>
        <w:rPr>
          <w:rFonts w:hint="eastAsia" w:ascii="方正小标宋简体" w:hAnsi="方正小标宋简体" w:eastAsia="方正小标宋简体" w:cs="方正小标宋简体"/>
          <w:color w:val="333333"/>
          <w:sz w:val="30"/>
          <w:szCs w:val="30"/>
          <w:lang w:val="en-US" w:eastAsia="zh-CN"/>
        </w:rPr>
        <w:t>22</w:t>
      </w:r>
      <w:r>
        <w:rPr>
          <w:rFonts w:ascii="方正小标宋简体" w:hAnsi="方正小标宋简体" w:eastAsia="方正小标宋简体" w:cs="方正小标宋简体"/>
          <w:color w:val="333333"/>
          <w:sz w:val="30"/>
          <w:szCs w:val="30"/>
        </w:rPr>
        <w:t>日拟作出的建设项目环境影响评价文件批复决定的公示</w:t>
      </w:r>
    </w:p>
    <w:p>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w:t>
      </w:r>
      <w:r>
        <w:rPr>
          <w:rFonts w:hint="eastAsia" w:ascii="宋体" w:hAnsi="宋体" w:eastAsia="宋体" w:cs="宋体"/>
          <w:color w:val="000000"/>
          <w:sz w:val="21"/>
          <w:szCs w:val="21"/>
          <w:shd w:val="clear" w:color="auto" w:fill="FFFFFF"/>
          <w:lang w:val="en-US" w:eastAsia="zh-CN"/>
        </w:rPr>
        <w:t>1</w:t>
      </w:r>
      <w:r>
        <w:rPr>
          <w:rFonts w:hint="eastAsia" w:ascii="宋体" w:hAnsi="宋体" w:eastAsia="宋体" w:cs="宋体"/>
          <w:color w:val="000000"/>
          <w:sz w:val="21"/>
          <w:szCs w:val="21"/>
          <w:shd w:val="clear" w:color="auto" w:fill="FFFFFF"/>
        </w:rPr>
        <w:t>个建设项目环境影响评价文件作出审批意见。为保证审批意见的严肃性和公正性，现将各建设项目环境影响评价文件的基本情况予以公示。如有异议，请在公示期内反馈我局环评科。公示期为</w:t>
      </w:r>
      <w:r>
        <w:rPr>
          <w:rFonts w:hint="eastAsia" w:ascii="宋体" w:hAnsi="宋体" w:eastAsia="宋体" w:cs="宋体"/>
          <w:color w:val="000000"/>
          <w:sz w:val="21"/>
          <w:szCs w:val="21"/>
          <w:shd w:val="clear" w:color="auto" w:fill="FFFFFF"/>
          <w:lang w:val="en-US" w:eastAsia="zh-CN"/>
        </w:rPr>
        <w:t>2024</w:t>
      </w:r>
      <w:r>
        <w:rPr>
          <w:rFonts w:hint="eastAsia" w:ascii="宋体" w:hAnsi="宋体" w:eastAsia="宋体" w:cs="宋体"/>
          <w:color w:val="000000"/>
          <w:sz w:val="21"/>
          <w:szCs w:val="21"/>
          <w:shd w:val="clear" w:color="auto" w:fill="FFFFFF"/>
        </w:rPr>
        <w:t>年</w:t>
      </w:r>
      <w:r>
        <w:rPr>
          <w:rFonts w:hint="eastAsia" w:ascii="宋体" w:hAnsi="宋体" w:eastAsia="宋体" w:cs="宋体"/>
          <w:color w:val="000000"/>
          <w:sz w:val="21"/>
          <w:szCs w:val="21"/>
          <w:shd w:val="clear" w:color="auto" w:fill="FFFFFF"/>
          <w:lang w:val="en-US" w:eastAsia="zh-CN"/>
        </w:rPr>
        <w:t>5</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22</w:t>
      </w:r>
      <w:r>
        <w:rPr>
          <w:rFonts w:hint="eastAsia" w:ascii="宋体" w:hAnsi="宋体" w:eastAsia="宋体" w:cs="宋体"/>
          <w:color w:val="000000"/>
          <w:sz w:val="21"/>
          <w:szCs w:val="21"/>
          <w:shd w:val="clear" w:color="auto" w:fill="FFFFFF"/>
        </w:rPr>
        <w:t>日－20</w:t>
      </w:r>
      <w:r>
        <w:rPr>
          <w:rFonts w:hint="eastAsia" w:ascii="宋体" w:hAnsi="宋体" w:eastAsia="宋体" w:cs="宋体"/>
          <w:color w:val="000000"/>
          <w:sz w:val="21"/>
          <w:szCs w:val="21"/>
          <w:shd w:val="clear" w:color="auto" w:fill="FFFFFF"/>
          <w:lang w:val="en-US" w:eastAsia="zh-CN"/>
        </w:rPr>
        <w:t>24</w:t>
      </w:r>
      <w:r>
        <w:rPr>
          <w:rFonts w:hint="eastAsia" w:ascii="宋体" w:hAnsi="宋体" w:eastAsia="宋体" w:cs="宋体"/>
          <w:color w:val="000000"/>
          <w:sz w:val="21"/>
          <w:szCs w:val="21"/>
          <w:shd w:val="clear" w:color="auto" w:fill="FFFFFF"/>
        </w:rPr>
        <w:t>年</w:t>
      </w:r>
      <w:r>
        <w:rPr>
          <w:rFonts w:hint="eastAsia" w:ascii="宋体" w:hAnsi="宋体" w:eastAsia="宋体" w:cs="宋体"/>
          <w:color w:val="000000"/>
          <w:sz w:val="21"/>
          <w:szCs w:val="21"/>
          <w:shd w:val="clear" w:color="auto" w:fill="FFFFFF"/>
          <w:lang w:val="en-US" w:eastAsia="zh-CN"/>
        </w:rPr>
        <w:t>5</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24</w:t>
      </w:r>
      <w:r>
        <w:rPr>
          <w:rFonts w:hint="eastAsia" w:ascii="宋体" w:hAnsi="宋体" w:eastAsia="宋体" w:cs="宋体"/>
          <w:color w:val="000000"/>
          <w:sz w:val="21"/>
          <w:szCs w:val="21"/>
          <w:shd w:val="clear" w:color="auto" w:fill="FFFFFF"/>
        </w:rPr>
        <w:t>日（3日）。</w:t>
      </w:r>
    </w:p>
    <w:p>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电话：0372—8181590</w:t>
      </w:r>
    </w:p>
    <w:p>
      <w:pPr>
        <w:pStyle w:val="12"/>
        <w:widowControl/>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rPr>
        <w:t>    通讯地址：滑东新区创业大道与欧阳路交叉口东150米路南（456400）</w:t>
      </w:r>
    </w:p>
    <w:p>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听证告知：依据《中华人民共和国行政许可法》，自公示起三日内申请人、有重大利益关系的利害关系人可对以下拟作出的建设项目环境影响评价文件批复决定要求听证。</w:t>
      </w:r>
    </w:p>
    <w:p>
      <w:pPr>
        <w:pStyle w:val="12"/>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4"/>
        <w:tblW w:w="8115" w:type="dxa"/>
        <w:tblInd w:w="0" w:type="dxa"/>
        <w:tblLayout w:type="autofit"/>
        <w:tblCellMar>
          <w:top w:w="15" w:type="dxa"/>
          <w:left w:w="15" w:type="dxa"/>
          <w:bottom w:w="15" w:type="dxa"/>
          <w:right w:w="15" w:type="dxa"/>
        </w:tblCellMar>
      </w:tblPr>
      <w:tblGrid>
        <w:gridCol w:w="450"/>
        <w:gridCol w:w="436"/>
        <w:gridCol w:w="571"/>
        <w:gridCol w:w="481"/>
        <w:gridCol w:w="842"/>
        <w:gridCol w:w="902"/>
        <w:gridCol w:w="4433"/>
      </w:tblGrid>
      <w:tr>
        <w:tblPrEx>
          <w:tblCellMar>
            <w:top w:w="15" w:type="dxa"/>
            <w:left w:w="15" w:type="dxa"/>
            <w:bottom w:w="15" w:type="dxa"/>
            <w:right w:w="15" w:type="dxa"/>
          </w:tblCellMar>
        </w:tblPrEx>
        <w:trPr>
          <w:trHeight w:val="90" w:hRule="atLeast"/>
        </w:trPr>
        <w:tc>
          <w:tcPr>
            <w:tcW w:w="450"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pPr>
              <w:pStyle w:val="12"/>
              <w:widowControl/>
              <w:spacing w:beforeAutospacing="0" w:afterAutospacing="0" w:line="300" w:lineRule="atLeast"/>
              <w:jc w:val="center"/>
            </w:pPr>
            <w:r>
              <w:rPr>
                <w:rStyle w:val="16"/>
                <w:rFonts w:hint="eastAsia" w:ascii="宋体" w:hAnsi="宋体" w:eastAsia="宋体" w:cs="宋体"/>
                <w:color w:val="000000"/>
                <w:sz w:val="18"/>
                <w:szCs w:val="18"/>
              </w:rPr>
              <w:t>序号</w:t>
            </w:r>
          </w:p>
        </w:tc>
        <w:tc>
          <w:tcPr>
            <w:tcW w:w="436"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pPr>
              <w:pStyle w:val="12"/>
              <w:widowControl/>
              <w:spacing w:beforeAutospacing="0" w:afterAutospacing="0" w:line="300" w:lineRule="atLeast"/>
              <w:jc w:val="center"/>
            </w:pPr>
            <w:r>
              <w:rPr>
                <w:rStyle w:val="16"/>
                <w:rFonts w:hint="eastAsia" w:ascii="宋体" w:hAnsi="宋体" w:eastAsia="宋体" w:cs="宋体"/>
                <w:color w:val="000000"/>
                <w:sz w:val="18"/>
                <w:szCs w:val="18"/>
              </w:rPr>
              <w:t>建设</w:t>
            </w:r>
          </w:p>
          <w:p>
            <w:pPr>
              <w:pStyle w:val="12"/>
              <w:widowControl/>
              <w:spacing w:beforeAutospacing="0" w:afterAutospacing="0" w:line="300" w:lineRule="atLeast"/>
              <w:jc w:val="center"/>
            </w:pPr>
            <w:r>
              <w:rPr>
                <w:rStyle w:val="16"/>
                <w:rFonts w:hint="eastAsia" w:ascii="宋体" w:hAnsi="宋体" w:eastAsia="宋体" w:cs="宋体"/>
                <w:color w:val="000000"/>
                <w:sz w:val="18"/>
                <w:szCs w:val="18"/>
              </w:rPr>
              <w:t>单位</w:t>
            </w:r>
          </w:p>
        </w:tc>
        <w:tc>
          <w:tcPr>
            <w:tcW w:w="571"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pPr>
              <w:pStyle w:val="12"/>
              <w:widowControl/>
              <w:spacing w:beforeAutospacing="0" w:afterAutospacing="0" w:line="300" w:lineRule="atLeast"/>
              <w:jc w:val="center"/>
            </w:pPr>
            <w:r>
              <w:rPr>
                <w:rStyle w:val="16"/>
                <w:rFonts w:hint="eastAsia" w:ascii="宋体" w:hAnsi="宋体" w:eastAsia="宋体" w:cs="宋体"/>
                <w:color w:val="000000"/>
                <w:sz w:val="18"/>
                <w:szCs w:val="18"/>
              </w:rPr>
              <w:t>项目</w:t>
            </w:r>
          </w:p>
          <w:p>
            <w:pPr>
              <w:pStyle w:val="12"/>
              <w:widowControl/>
              <w:spacing w:beforeAutospacing="0" w:afterAutospacing="0" w:line="300" w:lineRule="atLeast"/>
              <w:jc w:val="center"/>
            </w:pPr>
            <w:r>
              <w:rPr>
                <w:rStyle w:val="16"/>
                <w:rFonts w:hint="eastAsia" w:ascii="宋体" w:hAnsi="宋体" w:eastAsia="宋体" w:cs="宋体"/>
                <w:color w:val="000000"/>
                <w:sz w:val="18"/>
                <w:szCs w:val="18"/>
              </w:rPr>
              <w:t>名称</w:t>
            </w:r>
          </w:p>
        </w:tc>
        <w:tc>
          <w:tcPr>
            <w:tcW w:w="481"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pPr>
              <w:pStyle w:val="12"/>
              <w:widowControl/>
              <w:spacing w:beforeAutospacing="0" w:afterAutospacing="0" w:line="300" w:lineRule="atLeast"/>
              <w:jc w:val="center"/>
            </w:pPr>
            <w:r>
              <w:rPr>
                <w:rStyle w:val="16"/>
                <w:rFonts w:hint="eastAsia" w:ascii="宋体" w:hAnsi="宋体" w:eastAsia="宋体" w:cs="宋体"/>
                <w:color w:val="000000"/>
                <w:sz w:val="18"/>
                <w:szCs w:val="18"/>
              </w:rPr>
              <w:t>建设</w:t>
            </w:r>
          </w:p>
          <w:p>
            <w:pPr>
              <w:pStyle w:val="12"/>
              <w:widowControl/>
              <w:spacing w:beforeAutospacing="0" w:afterAutospacing="0" w:line="300" w:lineRule="atLeast"/>
              <w:jc w:val="center"/>
            </w:pPr>
            <w:r>
              <w:rPr>
                <w:rStyle w:val="16"/>
                <w:rFonts w:hint="eastAsia" w:ascii="宋体" w:hAnsi="宋体" w:eastAsia="宋体" w:cs="宋体"/>
                <w:color w:val="000000"/>
                <w:sz w:val="18"/>
                <w:szCs w:val="18"/>
              </w:rPr>
              <w:t>地点</w:t>
            </w:r>
          </w:p>
        </w:tc>
        <w:tc>
          <w:tcPr>
            <w:tcW w:w="842"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pPr>
              <w:pStyle w:val="12"/>
              <w:widowControl/>
              <w:spacing w:beforeAutospacing="0" w:afterAutospacing="0" w:line="300" w:lineRule="atLeast"/>
              <w:jc w:val="center"/>
            </w:pPr>
            <w:r>
              <w:rPr>
                <w:rStyle w:val="16"/>
                <w:rFonts w:hint="eastAsia" w:ascii="宋体" w:hAnsi="宋体" w:eastAsia="宋体" w:cs="宋体"/>
                <w:color w:val="000000"/>
                <w:sz w:val="18"/>
                <w:szCs w:val="18"/>
                <w:shd w:val="clear" w:color="auto" w:fill="FFFFFF"/>
              </w:rPr>
              <w:t>环境影响评价机构</w:t>
            </w:r>
          </w:p>
        </w:tc>
        <w:tc>
          <w:tcPr>
            <w:tcW w:w="902"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pPr>
              <w:pStyle w:val="12"/>
              <w:widowControl/>
              <w:spacing w:beforeAutospacing="0" w:afterAutospacing="0" w:line="300" w:lineRule="atLeast"/>
              <w:jc w:val="center"/>
            </w:pPr>
            <w:r>
              <w:rPr>
                <w:rStyle w:val="16"/>
                <w:rFonts w:hint="eastAsia" w:ascii="宋体" w:hAnsi="宋体" w:eastAsia="宋体" w:cs="宋体"/>
                <w:color w:val="000000"/>
                <w:sz w:val="18"/>
                <w:szCs w:val="18"/>
                <w:shd w:val="clear" w:color="auto" w:fill="FFFFFF"/>
              </w:rPr>
              <w:t>建设项目</w:t>
            </w:r>
          </w:p>
          <w:p>
            <w:pPr>
              <w:pStyle w:val="12"/>
              <w:widowControl/>
              <w:spacing w:beforeAutospacing="0" w:afterAutospacing="0" w:line="300" w:lineRule="atLeast"/>
              <w:jc w:val="center"/>
            </w:pPr>
            <w:r>
              <w:rPr>
                <w:rStyle w:val="16"/>
                <w:rFonts w:hint="eastAsia" w:ascii="宋体" w:hAnsi="宋体" w:eastAsia="宋体" w:cs="宋体"/>
                <w:color w:val="000000"/>
                <w:sz w:val="18"/>
                <w:szCs w:val="18"/>
                <w:shd w:val="clear" w:color="auto" w:fill="FFFFFF"/>
              </w:rPr>
              <w:t>概况</w:t>
            </w:r>
          </w:p>
        </w:tc>
        <w:tc>
          <w:tcPr>
            <w:tcW w:w="443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pPr>
              <w:pStyle w:val="12"/>
              <w:widowControl/>
              <w:spacing w:beforeAutospacing="0" w:afterAutospacing="0" w:line="300" w:lineRule="atLeast"/>
              <w:jc w:val="center"/>
            </w:pPr>
            <w:r>
              <w:rPr>
                <w:rStyle w:val="16"/>
                <w:rFonts w:hint="eastAsia" w:ascii="宋体" w:hAnsi="宋体" w:eastAsia="宋体" w:cs="宋体"/>
                <w:color w:val="000000"/>
                <w:sz w:val="18"/>
                <w:szCs w:val="18"/>
                <w:shd w:val="clear" w:color="auto" w:fill="FFFFFF"/>
              </w:rPr>
              <w:t>主要环境影响及预防或减轻不良环境影响的对策和措施</w:t>
            </w:r>
          </w:p>
        </w:tc>
      </w:tr>
      <w:tr>
        <w:tblPrEx>
          <w:tblCellMar>
            <w:top w:w="15" w:type="dxa"/>
            <w:left w:w="15" w:type="dxa"/>
            <w:bottom w:w="15" w:type="dxa"/>
            <w:right w:w="15" w:type="dxa"/>
          </w:tblCellMar>
        </w:tblPrEx>
        <w:trPr>
          <w:trHeight w:val="90" w:hRule="atLeast"/>
        </w:trPr>
        <w:tc>
          <w:tcPr>
            <w:tcW w:w="450"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pPr>
              <w:pStyle w:val="12"/>
              <w:widowControl/>
              <w:spacing w:beforeAutospacing="0" w:afterAutospacing="0" w:line="300" w:lineRule="atLeast"/>
              <w:jc w:val="center"/>
              <w:rPr>
                <w:rFonts w:hint="default" w:ascii="Times New Roman" w:hAnsi="Times New Roman"/>
                <w:color w:val="000000"/>
                <w:sz w:val="18"/>
                <w:szCs w:val="18"/>
                <w:lang w:eastAsia="zh-CN"/>
              </w:rPr>
            </w:pPr>
            <w:r>
              <w:rPr>
                <w:rFonts w:hint="eastAsia" w:ascii="Times New Roman" w:hAnsi="Times New Roman"/>
                <w:color w:val="000000"/>
                <w:sz w:val="18"/>
                <w:szCs w:val="18"/>
                <w:lang w:eastAsia="zh-CN"/>
              </w:rPr>
              <w:t>1.</w:t>
            </w:r>
          </w:p>
        </w:tc>
        <w:tc>
          <w:tcPr>
            <w:tcW w:w="436"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pPr>
              <w:pStyle w:val="12"/>
              <w:widowControl/>
              <w:spacing w:beforeAutospacing="0" w:afterAutospacing="0" w:line="300" w:lineRule="atLeast"/>
              <w:jc w:val="center"/>
              <w:rPr>
                <w:rFonts w:hint="default" w:ascii="Times New Roman" w:hAnsi="Times New Roman"/>
                <w:color w:val="000000"/>
                <w:sz w:val="18"/>
                <w:szCs w:val="18"/>
                <w:lang w:eastAsia="zh-CN"/>
              </w:rPr>
            </w:pPr>
            <w:r>
              <w:rPr>
                <w:rFonts w:hint="default" w:ascii="Times New Roman" w:hAnsi="Times New Roman"/>
                <w:color w:val="000000"/>
                <w:sz w:val="18"/>
                <w:szCs w:val="18"/>
                <w:lang w:eastAsia="zh-CN"/>
              </w:rPr>
              <w:t>河南省凌博电器制冷设备厂</w:t>
            </w:r>
          </w:p>
        </w:tc>
        <w:tc>
          <w:tcPr>
            <w:tcW w:w="571"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pPr>
              <w:pStyle w:val="12"/>
              <w:widowControl/>
              <w:spacing w:beforeAutospacing="0" w:afterAutospacing="0" w:line="300" w:lineRule="atLeast"/>
              <w:jc w:val="center"/>
              <w:rPr>
                <w:rFonts w:hint="default" w:ascii="Times New Roman" w:hAnsi="Times New Roman"/>
                <w:color w:val="000000"/>
                <w:sz w:val="18"/>
                <w:szCs w:val="18"/>
                <w:lang w:eastAsia="zh-CN"/>
              </w:rPr>
            </w:pPr>
            <w:r>
              <w:rPr>
                <w:rFonts w:hint="default" w:ascii="Times New Roman" w:hAnsi="Times New Roman"/>
                <w:color w:val="000000"/>
                <w:sz w:val="18"/>
                <w:szCs w:val="18"/>
                <w:lang w:eastAsia="zh-CN"/>
              </w:rPr>
              <w:t>年产3000台冷鲜柜制冷设备项目</w:t>
            </w:r>
          </w:p>
        </w:tc>
        <w:tc>
          <w:tcPr>
            <w:tcW w:w="481"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pPr>
              <w:pStyle w:val="12"/>
              <w:widowControl/>
              <w:spacing w:beforeAutospacing="0" w:afterAutospacing="0" w:line="300" w:lineRule="atLeast"/>
              <w:jc w:val="center"/>
              <w:rPr>
                <w:rFonts w:hint="default" w:ascii="Times New Roman" w:hAnsi="Times New Roman"/>
                <w:color w:val="000000"/>
                <w:sz w:val="18"/>
                <w:szCs w:val="18"/>
                <w:lang w:eastAsia="zh-CN"/>
              </w:rPr>
            </w:pPr>
            <w:r>
              <w:rPr>
                <w:rFonts w:hint="default" w:ascii="Times New Roman" w:hAnsi="Times New Roman"/>
                <w:color w:val="000000"/>
                <w:sz w:val="18"/>
                <w:szCs w:val="18"/>
                <w:lang w:val="en-US" w:eastAsia="zh-CN"/>
              </w:rPr>
              <w:t>河南省安阳市滑县王庄镇郭草滩村</w:t>
            </w:r>
          </w:p>
        </w:tc>
        <w:tc>
          <w:tcPr>
            <w:tcW w:w="842"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pPr>
              <w:pStyle w:val="12"/>
              <w:widowControl/>
              <w:spacing w:beforeAutospacing="0" w:afterAutospacing="0" w:line="300" w:lineRule="atLeast"/>
              <w:jc w:val="center"/>
              <w:rPr>
                <w:rFonts w:hint="default" w:ascii="Times New Roman" w:hAnsi="Times New Roman"/>
                <w:color w:val="000000"/>
                <w:sz w:val="18"/>
                <w:szCs w:val="18"/>
                <w:lang w:eastAsia="zh-CN"/>
              </w:rPr>
            </w:pPr>
            <w:r>
              <w:rPr>
                <w:rFonts w:hint="default" w:ascii="Times New Roman" w:hAnsi="Times New Roman"/>
                <w:color w:val="000000"/>
                <w:sz w:val="18"/>
                <w:szCs w:val="18"/>
                <w:lang w:eastAsia="zh-CN"/>
              </w:rPr>
              <w:t>河南中诺环境监测有限公司</w:t>
            </w:r>
          </w:p>
        </w:tc>
        <w:tc>
          <w:tcPr>
            <w:tcW w:w="902"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pPr>
              <w:pStyle w:val="12"/>
              <w:widowControl/>
              <w:spacing w:beforeAutospacing="0" w:afterAutospacing="0" w:line="300" w:lineRule="atLeast"/>
              <w:jc w:val="center"/>
              <w:rPr>
                <w:rFonts w:hint="default" w:ascii="Times New Roman" w:hAnsi="Times New Roman"/>
                <w:color w:val="000000"/>
                <w:sz w:val="18"/>
                <w:szCs w:val="18"/>
                <w:lang w:eastAsia="zh-CN"/>
              </w:rPr>
            </w:pPr>
            <w:r>
              <w:rPr>
                <w:rFonts w:hint="eastAsia" w:ascii="Times New Roman" w:hAnsi="Times New Roman"/>
                <w:color w:val="000000"/>
                <w:sz w:val="18"/>
                <w:szCs w:val="18"/>
                <w:lang w:eastAsia="zh-CN"/>
              </w:rPr>
              <w:t>不新增占地面积</w:t>
            </w:r>
            <w:r>
              <w:rPr>
                <w:rFonts w:hint="default" w:ascii="Times New Roman" w:hAnsi="Times New Roman"/>
                <w:color w:val="000000"/>
                <w:sz w:val="18"/>
                <w:szCs w:val="18"/>
                <w:lang w:eastAsia="zh-CN"/>
              </w:rPr>
              <w:t>，总投资</w:t>
            </w:r>
            <w:r>
              <w:rPr>
                <w:rFonts w:hint="eastAsia" w:ascii="Times New Roman" w:hAnsi="Times New Roman"/>
                <w:color w:val="000000"/>
                <w:sz w:val="18"/>
                <w:szCs w:val="18"/>
                <w:lang w:val="en-US" w:eastAsia="zh-CN"/>
              </w:rPr>
              <w:t>50</w:t>
            </w:r>
            <w:r>
              <w:rPr>
                <w:rFonts w:hint="default" w:ascii="Times New Roman" w:hAnsi="Times New Roman"/>
                <w:color w:val="000000"/>
                <w:sz w:val="18"/>
                <w:szCs w:val="18"/>
                <w:lang w:eastAsia="zh-CN"/>
              </w:rPr>
              <w:t>万元，环保投资</w:t>
            </w:r>
            <w:r>
              <w:rPr>
                <w:rFonts w:hint="eastAsia" w:ascii="Times New Roman" w:hAnsi="Times New Roman"/>
                <w:color w:val="000000"/>
                <w:sz w:val="18"/>
                <w:szCs w:val="18"/>
                <w:lang w:val="en-US" w:eastAsia="zh-CN"/>
              </w:rPr>
              <w:t>10</w:t>
            </w:r>
            <w:r>
              <w:rPr>
                <w:rFonts w:hint="default" w:ascii="Times New Roman" w:hAnsi="Times New Roman"/>
                <w:color w:val="000000"/>
                <w:sz w:val="18"/>
                <w:szCs w:val="18"/>
                <w:lang w:eastAsia="zh-CN"/>
              </w:rPr>
              <w:t>万元</w:t>
            </w:r>
          </w:p>
        </w:tc>
        <w:tc>
          <w:tcPr>
            <w:tcW w:w="443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pPr>
              <w:pStyle w:val="12"/>
              <w:widowControl/>
              <w:spacing w:beforeAutospacing="0" w:afterAutospacing="0" w:line="300" w:lineRule="atLeast"/>
              <w:ind w:firstLine="360" w:firstLineChars="200"/>
              <w:jc w:val="left"/>
              <w:rPr>
                <w:rFonts w:hint="default" w:ascii="Times New Roman" w:hAnsi="Times New Roman"/>
                <w:color w:val="000000"/>
                <w:sz w:val="18"/>
                <w:szCs w:val="18"/>
                <w:lang w:val="en-US" w:eastAsia="zh-CN"/>
              </w:rPr>
            </w:pPr>
            <w:r>
              <w:rPr>
                <w:rFonts w:hint="default" w:ascii="Times New Roman" w:hAnsi="Times New Roman"/>
                <w:color w:val="000000"/>
                <w:sz w:val="18"/>
                <w:szCs w:val="18"/>
                <w:lang w:val="en-US" w:eastAsia="zh-CN"/>
              </w:rPr>
              <w:t>1.</w:t>
            </w:r>
            <w:r>
              <w:rPr>
                <w:rFonts w:hint="default" w:ascii="Times New Roman" w:hAnsi="Times New Roman"/>
                <w:color w:val="000000"/>
                <w:sz w:val="18"/>
                <w:szCs w:val="18"/>
                <w:lang w:eastAsia="zh-CN"/>
              </w:rPr>
              <w:t>废气：</w:t>
            </w:r>
            <w:r>
              <w:rPr>
                <w:rFonts w:hint="default" w:ascii="Times New Roman" w:hAnsi="Times New Roman"/>
                <w:color w:val="000000"/>
                <w:sz w:val="18"/>
                <w:szCs w:val="18"/>
                <w:lang w:val="en-US" w:eastAsia="zh-CN"/>
              </w:rPr>
              <w:t>切割机底部设置移动式引风管道、焊接工位区域上方设置密闭罩，收集烟尘汇入主引风管道内，共用1套袋式除尘器处理后，通过1根15m高排气筒外排；发泡工序在车间    内二次封闭，有机废气经引风管道收集至至1套低温等离子+活性炭吸附装置处理，通过1根15m高排气筒排放。废气排放须满足《大气污染物综合排放标准》（GB16297-1996）表2二级标准、《合成树脂工业污染物排放标准》（GB31572-2015）标准限值、《挥发性有机物无组织排放控制标准》（GB37822-2019）标准限值、《挥发性有机物专项治理工作中排放建议值》（豫环攻坚办〔2017〕162号）限值要求、《安阳市2019年工业大气污染治理5个专项实施方案》（安环攻坚办〔2019〕196号）限值要求。</w:t>
            </w:r>
          </w:p>
          <w:p>
            <w:pPr>
              <w:pStyle w:val="12"/>
              <w:widowControl/>
              <w:spacing w:beforeAutospacing="0" w:afterAutospacing="0" w:line="300" w:lineRule="atLeast"/>
              <w:ind w:firstLine="360" w:firstLineChars="200"/>
              <w:jc w:val="left"/>
              <w:rPr>
                <w:rFonts w:hint="default" w:ascii="Times New Roman" w:hAnsi="Times New Roman"/>
                <w:color w:val="000000"/>
                <w:sz w:val="18"/>
                <w:szCs w:val="18"/>
                <w:lang w:eastAsia="zh-CN"/>
              </w:rPr>
            </w:pPr>
            <w:r>
              <w:rPr>
                <w:rFonts w:hint="default" w:ascii="Times New Roman" w:hAnsi="Times New Roman"/>
                <w:color w:val="000000"/>
                <w:sz w:val="18"/>
                <w:szCs w:val="18"/>
                <w:lang w:val="en-US" w:eastAsia="zh-CN"/>
              </w:rPr>
              <w:t>2.废水：本项目不新增生产废水、生活污水。</w:t>
            </w:r>
          </w:p>
          <w:p>
            <w:pPr>
              <w:pStyle w:val="12"/>
              <w:widowControl/>
              <w:spacing w:beforeAutospacing="0" w:afterAutospacing="0" w:line="300" w:lineRule="atLeast"/>
              <w:ind w:firstLine="360" w:firstLineChars="200"/>
              <w:jc w:val="left"/>
              <w:rPr>
                <w:rFonts w:hint="default" w:ascii="Times New Roman" w:hAnsi="Times New Roman"/>
                <w:color w:val="000000"/>
                <w:sz w:val="18"/>
                <w:szCs w:val="18"/>
                <w:lang w:eastAsia="zh-CN"/>
              </w:rPr>
            </w:pPr>
            <w:r>
              <w:rPr>
                <w:rFonts w:hint="default" w:ascii="Times New Roman" w:hAnsi="Times New Roman"/>
                <w:color w:val="000000"/>
                <w:sz w:val="18"/>
                <w:szCs w:val="18"/>
                <w:lang w:val="en-US" w:eastAsia="zh-CN"/>
              </w:rPr>
              <w:t>3.</w:t>
            </w:r>
            <w:r>
              <w:rPr>
                <w:rFonts w:hint="default" w:ascii="Times New Roman" w:hAnsi="Times New Roman"/>
                <w:color w:val="000000"/>
                <w:sz w:val="18"/>
                <w:szCs w:val="18"/>
                <w:lang w:eastAsia="zh-CN"/>
              </w:rPr>
              <w:t>噪声：经采取基础减振、厂房隔声、距离衰减</w:t>
            </w:r>
            <w:r>
              <w:rPr>
                <w:rFonts w:hint="default" w:ascii="Times New Roman" w:hAnsi="Times New Roman"/>
                <w:color w:val="000000"/>
                <w:sz w:val="18"/>
                <w:szCs w:val="18"/>
                <w:lang w:val="en-US" w:eastAsia="zh-CN"/>
              </w:rPr>
              <w:t>等</w:t>
            </w:r>
            <w:r>
              <w:rPr>
                <w:rFonts w:hint="default" w:ascii="Times New Roman" w:hAnsi="Times New Roman"/>
                <w:color w:val="000000"/>
                <w:sz w:val="18"/>
                <w:szCs w:val="18"/>
                <w:lang w:eastAsia="zh-CN"/>
              </w:rPr>
              <w:t>措施后，厂界噪声排放须满足《工业企业厂界环境噪声排放标准》（GB12348-2008）</w:t>
            </w:r>
            <w:r>
              <w:rPr>
                <w:rFonts w:hint="default" w:ascii="Times New Roman" w:hAnsi="Times New Roman"/>
                <w:color w:val="000000"/>
                <w:sz w:val="18"/>
                <w:szCs w:val="18"/>
                <w:lang w:val="en-US" w:eastAsia="zh-CN"/>
              </w:rPr>
              <w:t>2</w:t>
            </w:r>
            <w:r>
              <w:rPr>
                <w:rFonts w:hint="default" w:ascii="Times New Roman" w:hAnsi="Times New Roman"/>
                <w:color w:val="000000"/>
                <w:sz w:val="18"/>
                <w:szCs w:val="18"/>
                <w:lang w:eastAsia="zh-CN"/>
              </w:rPr>
              <w:t>类标准限值。</w:t>
            </w:r>
          </w:p>
          <w:p>
            <w:pPr>
              <w:pStyle w:val="12"/>
              <w:widowControl/>
              <w:spacing w:beforeAutospacing="0" w:afterAutospacing="0" w:line="300" w:lineRule="atLeast"/>
              <w:ind w:firstLine="360" w:firstLineChars="200"/>
              <w:jc w:val="left"/>
              <w:rPr>
                <w:rFonts w:hint="default" w:ascii="Times New Roman" w:hAnsi="Times New Roman"/>
                <w:color w:val="000000"/>
                <w:sz w:val="18"/>
                <w:szCs w:val="18"/>
                <w:lang w:eastAsia="zh-CN"/>
              </w:rPr>
            </w:pPr>
            <w:r>
              <w:rPr>
                <w:rFonts w:hint="default" w:ascii="Times New Roman" w:hAnsi="Times New Roman"/>
                <w:color w:val="000000"/>
                <w:sz w:val="18"/>
                <w:szCs w:val="18"/>
                <w:lang w:val="en-US" w:eastAsia="zh-CN"/>
              </w:rPr>
              <w:t>4.</w:t>
            </w:r>
            <w:r>
              <w:rPr>
                <w:rFonts w:hint="default" w:ascii="Times New Roman" w:hAnsi="Times New Roman"/>
                <w:color w:val="000000"/>
                <w:sz w:val="18"/>
                <w:szCs w:val="18"/>
                <w:lang w:eastAsia="zh-CN"/>
              </w:rPr>
              <w:t>固体废物：</w:t>
            </w:r>
            <w:r>
              <w:rPr>
                <w:rFonts w:hint="default" w:ascii="Times New Roman" w:hAnsi="Times New Roman"/>
                <w:color w:val="000000"/>
                <w:sz w:val="18"/>
                <w:szCs w:val="18"/>
                <w:lang w:val="en-US" w:eastAsia="zh-CN"/>
              </w:rPr>
              <w:t>除尘灰、废除尘滤袋依托现有1座10m3固废暂存间储存，外售废旧资源收购单位，废制冷剂罐收集后依托现有1座10m3固废暂存间储存，返回供应商循环使用；废发泡料、废发泡</w:t>
            </w:r>
            <w:bookmarkStart w:id="0" w:name="_GoBack"/>
            <w:bookmarkEnd w:id="0"/>
            <w:r>
              <w:rPr>
                <w:rFonts w:hint="default" w:ascii="Times New Roman" w:hAnsi="Times New Roman"/>
                <w:color w:val="000000"/>
                <w:sz w:val="18"/>
                <w:szCs w:val="18"/>
                <w:lang w:val="en-US" w:eastAsia="zh-CN"/>
              </w:rPr>
              <w:t>料桶、废活性炭依托现有1座5m3危废暂存间储存，定期交有资质单位处置；</w:t>
            </w:r>
            <w:r>
              <w:rPr>
                <w:rFonts w:hint="default" w:ascii="Times New Roman" w:hAnsi="Times New Roman"/>
                <w:color w:val="000000"/>
                <w:sz w:val="18"/>
                <w:szCs w:val="18"/>
                <w:lang w:eastAsia="zh-CN"/>
              </w:rPr>
              <w:t>一般固体废物暂存应满足《一般工业固体废物贮存和填埋污染控制标准》（GB18599 -2020）要求，危险废物暂存应满足《危险废物贮存污染控制标准》（GB18597-2023）要求。</w:t>
            </w:r>
          </w:p>
        </w:tc>
      </w:tr>
    </w:tbl>
    <w:p>
      <w:pPr>
        <w:pStyle w:val="12"/>
        <w:widowControl/>
        <w:spacing w:beforeAutospacing="0" w:afterAutospacing="0" w:line="300" w:lineRule="atLeast"/>
        <w:jc w:val="center"/>
        <w:rPr>
          <w:rFonts w:hint="default" w:ascii="Times New Roman" w:hAnsi="Times New Roman"/>
          <w:color w:val="000000"/>
          <w:sz w:val="18"/>
          <w:szCs w:val="1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embedRegular r:id="rId1" w:fontKey="{392A0337-3A99-4867-BA37-A06EF5B5E56D}"/>
  </w:font>
  <w:font w:name="方正小标宋简体">
    <w:panose1 w:val="02000000000000000000"/>
    <w:charset w:val="86"/>
    <w:family w:val="script"/>
    <w:pitch w:val="default"/>
    <w:sig w:usb0="00000001" w:usb1="08000000" w:usb2="00000000" w:usb3="00000000" w:csb0="00040000" w:csb1="00000000"/>
    <w:embedRegular r:id="rId2" w:fontKey="{00EFEA01-B5CE-4835-9497-182E6CB3D8FC}"/>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CE8ABD"/>
    <w:multiLevelType w:val="multilevel"/>
    <w:tmpl w:val="11CE8ABD"/>
    <w:lvl w:ilvl="0" w:tentative="0">
      <w:start w:val="1"/>
      <w:numFmt w:val="decimal"/>
      <w:lvlText w:val="%1"/>
      <w:lvlJc w:val="left"/>
      <w:pPr>
        <w:ind w:left="0" w:firstLine="0"/>
      </w:pPr>
      <w:rPr>
        <w:rFonts w:hint="default" w:ascii="Times New Roman" w:hAnsi="Times New Roman" w:eastAsia="宋体"/>
        <w:b/>
        <w:i w:val="0"/>
        <w:color w:val="auto"/>
        <w:sz w:val="32"/>
        <w:szCs w:val="32"/>
      </w:rPr>
    </w:lvl>
    <w:lvl w:ilvl="1" w:tentative="0">
      <w:start w:val="1"/>
      <w:numFmt w:val="decimal"/>
      <w:pStyle w:val="2"/>
      <w:lvlText w:val="%1.%2"/>
      <w:lvlJc w:val="left"/>
      <w:pPr>
        <w:ind w:left="425" w:hanging="425"/>
      </w:pPr>
      <w:rPr>
        <w:rFonts w:hint="default" w:ascii="Times New Roman" w:hAnsi="Times New Roman" w:eastAsia="宋体"/>
        <w:b/>
        <w:i w:val="0"/>
        <w:color w:val="auto"/>
        <w:sz w:val="30"/>
        <w:szCs w:val="30"/>
      </w:rPr>
    </w:lvl>
    <w:lvl w:ilvl="2" w:tentative="0">
      <w:start w:val="1"/>
      <w:numFmt w:val="decimal"/>
      <w:suff w:val="space"/>
      <w:lvlText w:val="%1.%2.%3"/>
      <w:lvlJc w:val="left"/>
      <w:pPr>
        <w:ind w:left="709" w:firstLine="0"/>
      </w:pPr>
      <w:rPr>
        <w:b/>
        <w:bCs w:val="0"/>
        <w:i w:val="0"/>
        <w:iCs w:val="0"/>
        <w:caps w:val="0"/>
        <w:smallCaps w:val="0"/>
        <w:strike w:val="0"/>
        <w:dstrike w:val="0"/>
        <w:vanish w:val="0"/>
        <w:color w:val="000000"/>
        <w:spacing w:val="0"/>
        <w:position w:val="0"/>
        <w:sz w:val="28"/>
        <w:szCs w:val="28"/>
        <w:u w:val="none"/>
        <w:vertAlign w:val="baseline"/>
      </w:rPr>
    </w:lvl>
    <w:lvl w:ilvl="3" w:tentative="0">
      <w:start w:val="1"/>
      <w:numFmt w:val="decimal"/>
      <w:lvlText w:val="%1.%2.%3.%4"/>
      <w:lvlJc w:val="left"/>
      <w:pPr>
        <w:ind w:left="708" w:firstLine="0"/>
      </w:pPr>
      <w:rPr>
        <w:rFonts w:hint="eastAsia" w:ascii="Times New Roman" w:hAnsi="Times New Roman" w:cs="Times New Roman"/>
        <w:b/>
        <w:bCs w:val="0"/>
        <w:i w:val="0"/>
        <w:iCs w:val="0"/>
        <w:caps w:val="0"/>
        <w:smallCaps w:val="0"/>
        <w:strike w:val="0"/>
        <w:dstrike w:val="0"/>
        <w:vanish w:val="0"/>
        <w:color w:val="000000"/>
        <w:spacing w:val="0"/>
        <w:position w:val="0"/>
        <w:u w:val="none"/>
        <w:vertAlign w:val="baseline"/>
        <w:lang w:val="en-US"/>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1DA216F0"/>
    <w:multiLevelType w:val="multilevel"/>
    <w:tmpl w:val="1DA216F0"/>
    <w:lvl w:ilvl="0" w:tentative="0">
      <w:start w:val="1"/>
      <w:numFmt w:val="chineseCountingThousand"/>
      <w:pStyle w:val="11"/>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QxN2E3NzBjNWUyMGQyNjllMzdmZDlhNTNkMGIyNzMifQ=="/>
  </w:docVars>
  <w:rsids>
    <w:rsidRoot w:val="00D553BD"/>
    <w:rsid w:val="00051C04"/>
    <w:rsid w:val="000934E9"/>
    <w:rsid w:val="000C13E5"/>
    <w:rsid w:val="00272D6F"/>
    <w:rsid w:val="002D40B0"/>
    <w:rsid w:val="00346272"/>
    <w:rsid w:val="0034687D"/>
    <w:rsid w:val="00351DEE"/>
    <w:rsid w:val="005227EA"/>
    <w:rsid w:val="00612AF7"/>
    <w:rsid w:val="007F6C56"/>
    <w:rsid w:val="00854859"/>
    <w:rsid w:val="00896DDB"/>
    <w:rsid w:val="00B101CB"/>
    <w:rsid w:val="00B21E60"/>
    <w:rsid w:val="00B72CC9"/>
    <w:rsid w:val="00C53645"/>
    <w:rsid w:val="00CE3621"/>
    <w:rsid w:val="00D553BD"/>
    <w:rsid w:val="00D93271"/>
    <w:rsid w:val="00EB48B5"/>
    <w:rsid w:val="00FA45AC"/>
    <w:rsid w:val="00FD244D"/>
    <w:rsid w:val="01F368F1"/>
    <w:rsid w:val="091D00CF"/>
    <w:rsid w:val="09E6605D"/>
    <w:rsid w:val="28B71175"/>
    <w:rsid w:val="29F8185A"/>
    <w:rsid w:val="2ADD44ED"/>
    <w:rsid w:val="31811015"/>
    <w:rsid w:val="383B30F1"/>
    <w:rsid w:val="3A25474B"/>
    <w:rsid w:val="3B0E64B4"/>
    <w:rsid w:val="3FAE1904"/>
    <w:rsid w:val="47A4392B"/>
    <w:rsid w:val="4DB91C07"/>
    <w:rsid w:val="506B2B73"/>
    <w:rsid w:val="51C957E0"/>
    <w:rsid w:val="56E408B3"/>
    <w:rsid w:val="6A074AD5"/>
    <w:rsid w:val="6CD213AC"/>
    <w:rsid w:val="73257025"/>
    <w:rsid w:val="75B96372"/>
    <w:rsid w:val="78657799"/>
    <w:rsid w:val="78E76149"/>
    <w:rsid w:val="79F92000"/>
    <w:rsid w:val="7A760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100" w:beforeLines="0" w:beforeAutospacing="1" w:after="100" w:afterLines="0" w:afterAutospacing="1" w:line="240" w:lineRule="auto"/>
      <w:ind w:firstLine="0" w:firstLineChars="0"/>
      <w:jc w:val="center"/>
      <w:outlineLvl w:val="0"/>
    </w:pPr>
    <w:rPr>
      <w:b/>
      <w:kern w:val="44"/>
      <w:sz w:val="44"/>
    </w:rPr>
  </w:style>
  <w:style w:type="paragraph" w:styleId="2">
    <w:name w:val="heading 2"/>
    <w:basedOn w:val="1"/>
    <w:next w:val="1"/>
    <w:semiHidden/>
    <w:unhideWhenUsed/>
    <w:qFormat/>
    <w:uiPriority w:val="0"/>
    <w:pPr>
      <w:keepNext/>
      <w:keepLines/>
      <w:numPr>
        <w:ilvl w:val="1"/>
        <w:numId w:val="1"/>
      </w:numPr>
      <w:adjustRightInd w:val="0"/>
      <w:snapToGrid w:val="0"/>
      <w:spacing w:line="600" w:lineRule="exact"/>
      <w:ind w:left="425" w:hanging="425" w:firstLineChars="0"/>
      <w:jc w:val="left"/>
      <w:outlineLvl w:val="1"/>
    </w:pPr>
    <w:rPr>
      <w:rFonts w:ascii="Times New Roman" w:hAnsi="Times New Roman" w:eastAsia="宋体" w:cs="Times New Roman"/>
      <w:b/>
      <w:sz w:val="30"/>
      <w:szCs w:val="24"/>
      <w:lang w:val="zh-CN"/>
    </w:rPr>
  </w:style>
  <w:style w:type="paragraph" w:styleId="4">
    <w:name w:val="heading 4"/>
    <w:basedOn w:val="1"/>
    <w:next w:val="1"/>
    <w:autoRedefine/>
    <w:unhideWhenUsed/>
    <w:qFormat/>
    <w:uiPriority w:val="0"/>
    <w:pPr>
      <w:spacing w:before="100" w:beforeAutospacing="1" w:after="100" w:afterAutospacing="1"/>
      <w:jc w:val="left"/>
      <w:outlineLvl w:val="3"/>
    </w:pPr>
    <w:rPr>
      <w:rFonts w:hint="eastAsia" w:ascii="宋体" w:hAnsi="宋体" w:eastAsia="宋体" w:cs="宋体"/>
      <w:b/>
      <w:kern w:val="0"/>
      <w:sz w:val="24"/>
      <w:szCs w:val="24"/>
      <w:lang w:val="en-US" w:eastAsia="zh-CN" w:bidi="ar"/>
    </w:rPr>
  </w:style>
  <w:style w:type="character" w:default="1" w:styleId="15">
    <w:name w:val="Default Paragraph Font"/>
    <w:autoRedefine/>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index 5"/>
    <w:basedOn w:val="1"/>
    <w:next w:val="1"/>
    <w:autoRedefine/>
    <w:semiHidden/>
    <w:qFormat/>
    <w:uiPriority w:val="0"/>
    <w:pPr>
      <w:ind w:left="1680"/>
    </w:pPr>
    <w:rPr>
      <w:rFonts w:eastAsia="Times New Roman"/>
      <w:sz w:val="32"/>
      <w:szCs w:val="24"/>
    </w:rPr>
  </w:style>
  <w:style w:type="paragraph" w:styleId="7">
    <w:name w:val="Body Text"/>
    <w:basedOn w:val="1"/>
    <w:next w:val="1"/>
    <w:qFormat/>
    <w:uiPriority w:val="0"/>
    <w:rPr>
      <w:b/>
      <w:bCs/>
      <w:sz w:val="24"/>
    </w:rPr>
  </w:style>
  <w:style w:type="paragraph" w:styleId="8">
    <w:name w:val="Body Text Indent"/>
    <w:basedOn w:val="1"/>
    <w:next w:val="1"/>
    <w:autoRedefine/>
    <w:qFormat/>
    <w:uiPriority w:val="0"/>
    <w:pPr>
      <w:spacing w:after="120" w:afterLines="0"/>
      <w:ind w:left="420" w:leftChars="20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autoRedefine/>
    <w:qFormat/>
    <w:uiPriority w:val="99"/>
    <w:pPr>
      <w:numPr>
        <w:ilvl w:val="0"/>
        <w:numId w:val="2"/>
      </w:numPr>
      <w:spacing w:beforeLines="50" w:line="336" w:lineRule="auto"/>
      <w:ind w:left="0" w:firstLine="0"/>
    </w:pPr>
    <w:rPr>
      <w:rFonts w:ascii="Times New Roman" w:hAnsi="Times New Roman" w:eastAsia="仿宋_GB2312" w:cs="Times New Roman"/>
      <w:kern w:val="0"/>
      <w:lang w:val="en-GB" w:eastAsia="en-US"/>
    </w:rPr>
  </w:style>
  <w:style w:type="paragraph" w:styleId="12">
    <w:name w:val="Normal (Web)"/>
    <w:basedOn w:val="1"/>
    <w:autoRedefine/>
    <w:qFormat/>
    <w:uiPriority w:val="0"/>
    <w:pPr>
      <w:spacing w:beforeAutospacing="1" w:afterAutospacing="1"/>
      <w:jc w:val="left"/>
    </w:pPr>
    <w:rPr>
      <w:rFonts w:cs="Times New Roman"/>
      <w:kern w:val="0"/>
      <w:sz w:val="24"/>
    </w:rPr>
  </w:style>
  <w:style w:type="paragraph" w:styleId="13">
    <w:name w:val="Body Text First Indent 2"/>
    <w:basedOn w:val="8"/>
    <w:next w:val="1"/>
    <w:autoRedefine/>
    <w:qFormat/>
    <w:uiPriority w:val="0"/>
    <w:pPr>
      <w:ind w:firstLine="200" w:firstLineChars="200"/>
    </w:pPr>
    <w:rPr>
      <w:szCs w:val="21"/>
    </w:rPr>
  </w:style>
  <w:style w:type="character" w:styleId="16">
    <w:name w:val="Strong"/>
    <w:basedOn w:val="15"/>
    <w:autoRedefine/>
    <w:qFormat/>
    <w:uiPriority w:val="0"/>
    <w:rPr>
      <w:b/>
    </w:rPr>
  </w:style>
  <w:style w:type="character" w:styleId="17">
    <w:name w:val="annotation reference"/>
    <w:basedOn w:val="15"/>
    <w:autoRedefine/>
    <w:qFormat/>
    <w:uiPriority w:val="0"/>
    <w:rPr>
      <w:sz w:val="21"/>
      <w:szCs w:val="21"/>
    </w:rPr>
  </w:style>
  <w:style w:type="paragraph" w:customStyle="1" w:styleId="18">
    <w:name w:val="Default"/>
    <w:basedOn w:val="19"/>
    <w:next w:val="6"/>
    <w:autoRedefine/>
    <w:unhideWhenUsed/>
    <w:qFormat/>
    <w:uiPriority w:val="99"/>
    <w:pPr>
      <w:widowControl w:val="0"/>
      <w:autoSpaceDE w:val="0"/>
      <w:autoSpaceDN w:val="0"/>
    </w:pPr>
    <w:rPr>
      <w:rFonts w:hint="eastAsia" w:ascii="仿宋_GB2312" w:hAnsi="仿宋_GB2312" w:eastAsia="仿宋_GB2312" w:cs="Times New Roman"/>
      <w:color w:val="000000"/>
      <w:sz w:val="24"/>
      <w:lang w:val="en-US" w:eastAsia="zh-CN" w:bidi="ar-SA"/>
    </w:rPr>
  </w:style>
  <w:style w:type="paragraph" w:customStyle="1" w:styleId="19">
    <w:name w:val="纯文本1"/>
    <w:basedOn w:val="1"/>
    <w:autoRedefine/>
    <w:qFormat/>
    <w:uiPriority w:val="0"/>
    <w:pPr>
      <w:adjustRightInd w:val="0"/>
    </w:pPr>
    <w:rPr>
      <w:rFonts w:ascii="宋体" w:hAnsi="Courier New"/>
    </w:rPr>
  </w:style>
  <w:style w:type="character" w:customStyle="1" w:styleId="20">
    <w:name w:val="页眉 Char"/>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Char"/>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1007</Words>
  <Characters>1138</Characters>
  <Lines>1</Lines>
  <Paragraphs>2</Paragraphs>
  <TotalTime>0</TotalTime>
  <ScaleCrop>false</ScaleCrop>
  <LinksUpToDate>false</LinksUpToDate>
  <CharactersWithSpaces>1160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墨染秋凉</cp:lastModifiedBy>
  <dcterms:modified xsi:type="dcterms:W3CDTF">2024-06-06T00:40:13Z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8BE8F78994014D048921BA9B8DEF1A8D</vt:lpwstr>
  </property>
</Properties>
</file>