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BSK--GBK1-0" w:hAnsi="FZXBSK--GBK1-0" w:eastAsia="FZXBSK--GBK1-0" w:cs="FZXBSK--GBK1-0"/>
          <w:color w:val="000000"/>
          <w:kern w:val="0"/>
          <w:sz w:val="44"/>
          <w:szCs w:val="44"/>
          <w:lang w:val="en-US" w:eastAsia="zh-CN" w:bidi="ar"/>
        </w:rPr>
        <w:t>行政处罚决定书</w:t>
      </w:r>
    </w:p>
    <w:p>
      <w:pPr>
        <w:keepNext w:val="0"/>
        <w:keepLines w:val="0"/>
        <w:widowControl/>
        <w:suppressLineNumbers w:val="0"/>
        <w:jc w:val="right"/>
        <w:rPr>
          <w:rFonts w:hint="default" w:ascii="Times New Roman" w:hAnsi="Times New Roman" w:cs="Times New Roman"/>
        </w:rPr>
      </w:pPr>
      <w:bookmarkStart w:id="0" w:name="_GoBack"/>
      <w:r>
        <w:rPr>
          <w:rFonts w:hint="default" w:ascii="Times New Roman" w:hAnsi="Times New Roman" w:eastAsia="FZKTK--GBK1-0" w:cs="Times New Roman"/>
          <w:color w:val="000000"/>
          <w:kern w:val="0"/>
          <w:sz w:val="32"/>
          <w:szCs w:val="32"/>
          <w:lang w:val="en-US" w:eastAsia="zh-CN" w:bidi="ar"/>
        </w:rPr>
        <w:t>豫</w:t>
      </w:r>
      <w:r>
        <w:rPr>
          <w:rFonts w:hint="default" w:ascii="Times New Roman" w:hAnsi="Times New Roman" w:eastAsia="TimesNewRomanPS-ItalicMT" w:cs="Times New Roman"/>
          <w:i/>
          <w:iCs/>
          <w:color w:val="000000"/>
          <w:kern w:val="0"/>
          <w:sz w:val="32"/>
          <w:szCs w:val="32"/>
          <w:lang w:val="en-US" w:eastAsia="zh-CN" w:bidi="ar"/>
        </w:rPr>
        <w:t xml:space="preserve">0526 </w:t>
      </w:r>
      <w:r>
        <w:rPr>
          <w:rFonts w:hint="default" w:ascii="Times New Roman" w:hAnsi="Times New Roman" w:eastAsia="FZKTK--GBK1-0" w:cs="Times New Roman"/>
          <w:color w:val="000000"/>
          <w:kern w:val="0"/>
          <w:sz w:val="32"/>
          <w:szCs w:val="32"/>
          <w:lang w:val="en-US" w:eastAsia="zh-CN" w:bidi="ar"/>
        </w:rPr>
        <w:t>环罚决字〔</w:t>
      </w:r>
      <w:r>
        <w:rPr>
          <w:rFonts w:hint="default" w:ascii="Times New Roman" w:hAnsi="Times New Roman" w:eastAsia="TimesNewRomanPS-ItalicMT" w:cs="Times New Roman"/>
          <w:i/>
          <w:iCs/>
          <w:color w:val="000000"/>
          <w:kern w:val="0"/>
          <w:sz w:val="32"/>
          <w:szCs w:val="32"/>
          <w:lang w:val="en-US" w:eastAsia="zh-CN" w:bidi="ar"/>
        </w:rPr>
        <w:t>2024</w:t>
      </w:r>
      <w:r>
        <w:rPr>
          <w:rFonts w:hint="default" w:ascii="Times New Roman" w:hAnsi="Times New Roman" w:eastAsia="FZKTK--GBK1-0" w:cs="Times New Roman"/>
          <w:color w:val="000000"/>
          <w:kern w:val="0"/>
          <w:sz w:val="32"/>
          <w:szCs w:val="32"/>
          <w:lang w:val="en-US" w:eastAsia="zh-CN" w:bidi="ar"/>
        </w:rPr>
        <w:t>〕</w:t>
      </w:r>
      <w:r>
        <w:rPr>
          <w:rFonts w:hint="default" w:ascii="Times New Roman" w:hAnsi="Times New Roman" w:eastAsia="TimesNewRomanPS-ItalicMT" w:cs="Times New Roman"/>
          <w:i/>
          <w:iCs/>
          <w:color w:val="000000"/>
          <w:kern w:val="0"/>
          <w:sz w:val="32"/>
          <w:szCs w:val="32"/>
          <w:lang w:val="en-US" w:eastAsia="zh-CN" w:bidi="ar"/>
        </w:rPr>
        <w:t>16</w:t>
      </w:r>
      <w:r>
        <w:rPr>
          <w:rFonts w:hint="default" w:ascii="Times New Roman" w:hAnsi="Times New Roman" w:eastAsia="FZKTK--GBK1-0" w:cs="Times New Roman"/>
          <w:color w:val="000000"/>
          <w:kern w:val="0"/>
          <w:sz w:val="32"/>
          <w:szCs w:val="32"/>
          <w:lang w:val="en-US" w:eastAsia="zh-CN" w:bidi="ar"/>
        </w:rPr>
        <w:t>号</w:t>
      </w:r>
      <w:bookmarkEnd w:id="0"/>
      <w:r>
        <w:rPr>
          <w:rFonts w:hint="default" w:ascii="Times New Roman" w:hAnsi="Times New Roman" w:eastAsia="FZKTK--GBK1-0" w:cs="Times New Roman"/>
          <w:color w:val="000000"/>
          <w:kern w:val="0"/>
          <w:sz w:val="32"/>
          <w:szCs w:val="32"/>
          <w:lang w:val="en-US" w:eastAsia="zh-CN" w:bidi="ar"/>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滑县王庄镇振恩建材厂：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统一社会信用代码：91410526MA9H623L84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地址： 滑县王庄镇新集村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法定代表人（负责人）：王振恩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b w:val="0"/>
          <w:bCs w:val="0"/>
          <w:color w:val="000000"/>
          <w:kern w:val="0"/>
          <w:sz w:val="32"/>
          <w:szCs w:val="32"/>
          <w:lang w:val="en-US" w:eastAsia="zh-CN" w:bidi="ar"/>
        </w:rPr>
        <w:t>一、环境违法事实和证据</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2024年2月28日,我局对你单位进行了调查，发现你单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位实施了以下环境违法行为：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现场检查时，你单位两条烧结窑均处于点火状态，两条制坯生产线其中一条处于生产状态，且进行公路运输，按照《安阳市生态环境保护委员会办公室关于启动重污染天气橙色预警（II级响应）的通知》要求，上述日期属于重污染天气橙色预警（II级响应）期间，你单位《2023 年-2024 年秋冬季重污染天气应急减排实施方案》显示，你单位橙色预警下应急减排措施为：生产线共 2 条停 1 条；剩余 1 条生产线禁止新坯进窑或蹲火保窑；破碎、成型等涉及颗粒物排放工序停产，停止公路运输，你单位未按照规定及时启动重污染天气应急响应操作方案。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以上事实，主要有以下证据证明：现场检查（勘验）笔录;调查询问笔录;现场勘察示意图;现场照片证据;营业执照复印件；授权委托书；投资人及受委托人身份证复印件;排污许可证复印件；建设项目环境影响报告表复印件；《2023 年-2024 年秋冬季重污染天气应急减排实施方案》复印件；《安阳市生态环境保护委员会办公室关于启动重污染天气橙色预警（II 级响应）的通知》复印件;《滑县生态环境保护委员会办公室关于落实安阳市重污染天气橙色预警（II 级响应）的通知》复印件；《滑县生态环境保护委员会办公室关于解除重污染天气橙色预警（II 级响应）的通知》复印件；考勤表复印件；账目复印件;《统计上大中小微企业划分办法（2017）》打印件;执法证复印件。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根据以上查明的事实，2024年3月1日，我局对你单位下达《责令改正违法行为决定书》（豫 0526 环责改字〔2024〕5号），责令你单位立即改正违法行为。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2024年3月1日，根据责改要求，我局对你单位违法行为整改情况进行复查，经调查，2024 年 2 月 28 日，你单位制坯工序已停产，车辆全部停止运输；2024 年 2 月 29 日，橙色预警结束后，你单位恢复正常生产。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2024 年 3 月 6 日，我局向你单位下达了《行政处罚事先（听证）告知书》（豫 0526 环罚告字〔2024〕6 号），告知拟对你单位作出行政处罚决定的事实、理由、依据、内容以及你单位依法享有的申请陈述申辩的权利。你单位未提出陈述申辩意见，我局视为你单位放弃上述权利。</w:t>
      </w:r>
    </w:p>
    <w:p>
      <w:pPr>
        <w:keepNext w:val="0"/>
        <w:keepLines w:val="0"/>
        <w:widowControl/>
        <w:suppressLineNumbers w:val="0"/>
        <w:jc w:val="left"/>
        <w:rPr>
          <w:rFonts w:hint="default" w:ascii="Times New Roman" w:hAnsi="Times New Roman" w:cs="Times New Roman"/>
          <w:b/>
          <w:bCs/>
        </w:rPr>
      </w:pPr>
      <w:r>
        <w:rPr>
          <w:rFonts w:hint="eastAsia" w:ascii="黑体" w:hAnsi="黑体" w:eastAsia="黑体" w:cs="黑体"/>
          <w:b w:val="0"/>
          <w:bCs w:val="0"/>
          <w:color w:val="000000"/>
          <w:kern w:val="0"/>
          <w:sz w:val="32"/>
          <w:szCs w:val="32"/>
          <w:lang w:val="en-US" w:eastAsia="zh-CN" w:bidi="ar"/>
        </w:rPr>
        <w:t>二、行政处罚的依据、种类</w:t>
      </w:r>
      <w:r>
        <w:rPr>
          <w:rFonts w:hint="default" w:ascii="Times New Roman" w:hAnsi="Times New Roman" w:eastAsia="仿宋_GB2312" w:cs="Times New Roman"/>
          <w:b/>
          <w:bCs/>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你单位的纳入重污染天气应急预案的企业未按照规定及时启动重污染天气应急响应操作方案的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结合你单位违法行为的事实、性质、情节、社会危害程度和相关证据，参照《安阳市大气污染防治条例行政处罚裁量基准》：裁量因素：违法行为发生时期环境敏感度，判定标准：重污染天气橙色预警期间，裁量等级：3；裁量因素：企业规模，内容：微型企业，裁量等级：1；裁量因素：管理类别，内容：重点管理，裁量等级：3；裁量因素：违法行为持续时间，内容：1个月以下的，裁量等级：1；裁量因素：超过限期改正时间，内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容：限期改正，裁量等级：1；裁量因素:违法行为发生频次，内容：1 次，裁量等级：1；裁量因素：违法行为发生地点，内容：符合环境功能区划，裁量等级：1 裁量因素：受处罚次数，内容：两年内未受到过同类处罚，裁量等级：1；裁量因素：是否配合执法检查，内容：配合检查，裁量等级：1。法定处罚金额上限(M)：30000，法定处罚金额下限(N)：10000，首要裁量因素裁量等级(A)：3，其余裁量因素个数(n)：8，其余裁量因素裁量等级(Bi)：[1,3,1,1,1,1,1,1]，处罚金额(X)：14400，代入公式：14400=10000.0+(30000.0-10000.0)×[(3/5)² +(1² + 3²+ 1² + 1² + 1² +1² + 1² +1²)/(5²×8)]×50%，自定义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裁量计算值：0，最终裁量金额：14400.0 元。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经研究，我局对你单位未按照规定及时启动重污染天气应急响应操作方案违法行为作出以下行政处罚决定：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给予罚款 壹万肆仟肆佰元整的行政处罚。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b w:val="0"/>
          <w:bCs w:val="0"/>
          <w:color w:val="000000"/>
          <w:kern w:val="0"/>
          <w:sz w:val="32"/>
          <w:szCs w:val="32"/>
          <w:lang w:val="en-US" w:eastAsia="zh-CN" w:bidi="ar"/>
        </w:rPr>
        <w:t>三、行政处罚决定的履行方式和期限</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根据《中华人民共和国行政处罚法》和《罚款决定与罚款收缴分离实施办法》的规定，你单位应当自收到本处罚决定书之日起 15 日内将罚款缴至中国建设银行安阳永明支行（开户名称：中 国 建 设 银 行 安 阳 永 明 支 行 ； 银 行 账 号 ：41001504210050207404；代办银行：安阳市财政局非税收入财政专户）或者通过电子支付系统缴纳罚款。款项缴清后，请持银行受理回单到我局滑县综合行政执法大队处索取罚款收据，并将缴款凭据第三联（备查联）报送我局滑县分局政策法规科备案。 </w:t>
      </w:r>
    </w:p>
    <w:p>
      <w:pPr>
        <w:keepNext w:val="0"/>
        <w:keepLines w:val="0"/>
        <w:widowControl/>
        <w:suppressLineNumbers w:val="0"/>
        <w:jc w:val="left"/>
        <w:rPr>
          <w:rFonts w:hint="default" w:ascii="Times New Roman" w:hAnsi="Times New Roman" w:cs="Times New Roman"/>
        </w:rPr>
      </w:pPr>
      <w:r>
        <w:rPr>
          <w:rFonts w:hint="eastAsia" w:ascii="黑体" w:hAnsi="黑体" w:eastAsia="黑体" w:cs="黑体"/>
          <w:color w:val="000000"/>
          <w:kern w:val="0"/>
          <w:sz w:val="32"/>
          <w:szCs w:val="32"/>
          <w:lang w:val="en-US" w:eastAsia="zh-CN" w:bidi="ar"/>
        </w:rPr>
        <w:t>四、申请行政复议或提起行政诉讼的途径和期限</w:t>
      </w: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到期不缴纳罚款的，我局可以依据《中华人民共和国行政处罚法》第七十二条第一款第一项规定，每日按罚款数额的 3%加处罚款。逾期不申请行政复议，不提起行政诉讼，又不履行本处罚决定的，我局将依法申请人民法院强制执行。</w:t>
      </w:r>
    </w:p>
    <w:p>
      <w:pPr>
        <w:keepNext w:val="0"/>
        <w:keepLines w:val="0"/>
        <w:widowControl/>
        <w:suppressLineNumbers w:val="0"/>
        <w:ind w:firstLine="640" w:firstLineChars="200"/>
        <w:jc w:val="left"/>
        <w:rPr>
          <w:rFonts w:hint="default" w:ascii="Times New Roman" w:hAnsi="Times New Roman" w:eastAsia="仿宋_GB2312" w:cs="Times New Roman"/>
          <w:color w:val="000000"/>
          <w:kern w:val="0"/>
          <w:sz w:val="32"/>
          <w:szCs w:val="32"/>
          <w:lang w:val="en-US" w:eastAsia="zh-CN" w:bidi="ar"/>
        </w:rPr>
      </w:pPr>
    </w:p>
    <w:p>
      <w:pPr>
        <w:keepNext w:val="0"/>
        <w:keepLines w:val="0"/>
        <w:widowControl/>
        <w:suppressLineNumbers w:val="0"/>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 xml:space="preserve"> </w:t>
      </w:r>
    </w:p>
    <w:p>
      <w:pPr>
        <w:keepNext w:val="0"/>
        <w:keepLines w:val="0"/>
        <w:widowControl/>
        <w:suppressLineNumbers w:val="0"/>
        <w:jc w:val="righ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安阳市生态环境局（印章）</w:t>
      </w:r>
    </w:p>
    <w:p>
      <w:pPr>
        <w:keepNext w:val="0"/>
        <w:keepLines w:val="0"/>
        <w:widowControl/>
        <w:suppressLineNumbers w:val="0"/>
        <w:jc w:val="center"/>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2024年3月18日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KTK--GBK1-0">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BS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7BD14A6A"/>
    <w:rsid w:val="7BD14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2024-03-18T08:56:00Z</dcterms:created>
  <dc:creator>Administrator</dc:creator>
  <cp:lastModifiedBy>Administrator</cp:lastModifiedBy>
  <dcterms:modified xsi:type="dcterms:W3CDTF">2024-03-18T09:05:02Z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89D22F25D5E741689F6ED97B75992789_11</vt:lpwstr>
  </property>
</Properties>
</file>