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C269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72040DF">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豫0526环罚决字〔2025〕65号</w:t>
      </w:r>
      <w:bookmarkEnd w:id="0"/>
      <w:r>
        <w:rPr>
          <w:rFonts w:ascii="FZKTK--GBK1-0" w:hAnsi="FZKTK--GBK1-0" w:eastAsia="FZKTK--GBK1-0" w:cs="FZKTK--GBK1-0"/>
          <w:color w:val="000000"/>
          <w:kern w:val="0"/>
          <w:sz w:val="32"/>
          <w:szCs w:val="32"/>
          <w:lang w:val="en-US" w:eastAsia="zh-CN" w:bidi="ar"/>
        </w:rPr>
        <w:t xml:space="preserve"> </w:t>
      </w:r>
    </w:p>
    <w:p w14:paraId="7BFE2CC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滑县众诚实业发展有限公司： </w:t>
      </w:r>
    </w:p>
    <w:p w14:paraId="5F80C24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91410526MA442GTC5T </w:t>
      </w:r>
    </w:p>
    <w:p w14:paraId="3184084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地址：安阳市滑县四间房乡高寨村村南 </w:t>
      </w:r>
    </w:p>
    <w:p w14:paraId="4F9DDF8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法定代表人：张旭东</w:t>
      </w:r>
      <w:r>
        <w:rPr>
          <w:rFonts w:hint="default" w:ascii="Times New Roman" w:hAnsi="Times New Roman" w:eastAsia="宋体" w:cs="Times New Roman"/>
          <w:color w:val="000000"/>
          <w:kern w:val="0"/>
          <w:sz w:val="32"/>
          <w:szCs w:val="32"/>
          <w:lang w:val="en-US" w:eastAsia="zh-CN" w:bidi="ar"/>
        </w:rPr>
        <w:t xml:space="preserve"> </w:t>
      </w:r>
    </w:p>
    <w:p w14:paraId="2D7F30C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2B9087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我局执法人员使用无人机巡查时发现，你单位沥青混凝土生产线未生产，厂区南侧物料堆场有大量石子物料露天堆放。经现场检查，你单位建有密闭物料棚，棚内物料已堆满，场外堆放物料为常规石子和路面刨铣废石子，物料堆放场地北侧为物料棚、南侧为养殖场、东侧为树木，西侧设置了高于物料堆的钢制围挡。你单位对不能密闭的石子物料未采取有效措施覆盖防治扬尘污染。 </w:t>
      </w:r>
    </w:p>
    <w:p w14:paraId="38BF636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、现场检查（勘察）笔录、现场勘查示意图、现场照片证据、调查询问笔录，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FC02CE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日由安阳市生态环境局滑县综合行政执法大队提供；考勤表，</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日由滑县众诚实业发展有限公司公司提供，证明相对人企业规模； </w:t>
      </w:r>
    </w:p>
    <w:p w14:paraId="71A8A8E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日由滑县众诚实业发展有限公司提供，证明相对人身份； </w:t>
      </w:r>
    </w:p>
    <w:p w14:paraId="6CDA935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、国家企业信用信息公示系统企业信息截图，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0497A6C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、建设项目环境影响报告表复印件、建设项目环境影响报告表的批复复印件、排污许可证复印件，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日由滑县众诚实业发展有限公司提供，证明相对人管理类别、违法行为发生地点； </w:t>
      </w:r>
    </w:p>
    <w:p w14:paraId="754BD48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日由安阳市生态环境局滑县综合行政执法大队提供，证明限期改正时间； </w:t>
      </w:r>
    </w:p>
    <w:p w14:paraId="66C0F0C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日由等安阳市生态环境局滑县综合行政执法大队提供，证明执法人员身份。 </w:t>
      </w:r>
    </w:p>
    <w:p w14:paraId="5C395D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69</w:t>
      </w:r>
      <w:r>
        <w:rPr>
          <w:rFonts w:hint="eastAsia" w:ascii="仿宋" w:hAnsi="仿宋" w:eastAsia="仿宋" w:cs="仿宋"/>
          <w:color w:val="000000"/>
          <w:kern w:val="0"/>
          <w:sz w:val="32"/>
          <w:szCs w:val="32"/>
          <w:lang w:val="en-US" w:eastAsia="zh-CN" w:bidi="ar"/>
        </w:rPr>
        <w:t xml:space="preserve">号），责令你单位立即对不能密闭的石子物料采取有效覆盖措施。 </w:t>
      </w:r>
    </w:p>
    <w:p w14:paraId="75D6E6B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日，根据责改要求，我局对你单位违法行为整改情况进行复查，你单位已对不能密闭的石子物料采取有效覆盖措施。 </w:t>
      </w:r>
    </w:p>
    <w:p w14:paraId="48F06A0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4EFB41D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6C09FDF">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1FD2D1C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对不能密闭的石子物料未采取有效措施覆盖防治扬尘污染违法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 </w:t>
      </w:r>
    </w:p>
    <w:p w14:paraId="01E6827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七条第二项：“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已按要求设置围挡但未采取有效覆盖措施导致扬尘污染的，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，裁量因素：易产生扬尘的物料量，内容：</w:t>
      </w:r>
      <w:r>
        <w:rPr>
          <w:rFonts w:hint="default" w:ascii="Times New Roman" w:hAnsi="Times New Roman" w:eastAsia="宋体" w:cs="Times New Roman"/>
          <w:color w:val="000000"/>
          <w:kern w:val="0"/>
          <w:sz w:val="32"/>
          <w:szCs w:val="32"/>
          <w:lang w:val="en-US" w:eastAsia="zh-CN" w:bidi="ar"/>
        </w:rPr>
        <w:t>2000</w:t>
      </w:r>
      <w:r>
        <w:rPr>
          <w:rFonts w:hint="eastAsia" w:ascii="仿宋" w:hAnsi="仿宋" w:eastAsia="仿宋" w:cs="仿宋"/>
          <w:color w:val="000000"/>
          <w:kern w:val="0"/>
          <w:sz w:val="32"/>
          <w:szCs w:val="32"/>
          <w:lang w:val="en-US" w:eastAsia="zh-CN" w:bidi="ar"/>
        </w:rPr>
        <w:t>吨以上，裁量等级：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，裁量因素：项目建设地点，内容：符合环境功能区划，裁量等级：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，裁量因素：管理类别，内容：简化管理，裁量等级：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，裁量因素：占地面积，内容：占地面积 </w:t>
      </w:r>
      <w:r>
        <w:rPr>
          <w:rFonts w:hint="default" w:ascii="Times New Roman" w:hAnsi="Times New Roman" w:eastAsia="宋体" w:cs="Times New Roman"/>
          <w:color w:val="000000"/>
          <w:kern w:val="0"/>
          <w:sz w:val="32"/>
          <w:szCs w:val="32"/>
          <w:lang w:val="en-US" w:eastAsia="zh-CN" w:bidi="ar"/>
        </w:rPr>
        <w:t>500m</w:t>
      </w:r>
      <w:r>
        <w:rPr>
          <w:rFonts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以上的，裁量等级：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[5,1,1,2,5,1,1,1,1]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29200 </w:t>
      </w:r>
      <w:r>
        <w:rPr>
          <w:rFonts w:hint="eastAsia" w:ascii="仿宋" w:hAnsi="仿宋" w:eastAsia="仿宋" w:cs="仿宋"/>
          <w:color w:val="000000"/>
          <w:kern w:val="0"/>
          <w:sz w:val="32"/>
          <w:szCs w:val="32"/>
          <w:lang w:val="en-US" w:eastAsia="zh-CN" w:bidi="ar"/>
        </w:rPr>
        <w:t>， 代 入 公 式 ：</w:t>
      </w:r>
      <w:r>
        <w:rPr>
          <w:rFonts w:hint="default" w:ascii="Times New Roman" w:hAnsi="Times New Roman" w:eastAsia="宋体" w:cs="Times New Roman"/>
          <w:color w:val="000000"/>
          <w:kern w:val="0"/>
          <w:sz w:val="32"/>
          <w:szCs w:val="32"/>
          <w:lang w:val="en-US" w:eastAsia="zh-CN" w:bidi="ar"/>
        </w:rPr>
        <w:t>29200=10000+(100000-10000)[(2/5)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29200 </w:t>
      </w:r>
      <w:r>
        <w:rPr>
          <w:rFonts w:hint="eastAsia" w:ascii="仿宋" w:hAnsi="仿宋" w:eastAsia="仿宋" w:cs="仿宋"/>
          <w:color w:val="000000"/>
          <w:kern w:val="0"/>
          <w:sz w:val="32"/>
          <w:szCs w:val="32"/>
          <w:lang w:val="en-US" w:eastAsia="zh-CN" w:bidi="ar"/>
        </w:rPr>
        <w:t xml:space="preserve">元。 </w:t>
      </w:r>
    </w:p>
    <w:p w14:paraId="05CF5EC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经研究，我局对你单位对不能密闭的石子物料未采取有效措施覆盖防治扬尘污染违法行为作出以下行政处罚决定： </w:t>
      </w:r>
    </w:p>
    <w:p w14:paraId="29EDFD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贰万玖仟贰佰元整的行政处罚。 </w:t>
      </w:r>
    </w:p>
    <w:p w14:paraId="4D7FE576">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55656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05A670A">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0CEE47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14BB07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3B2BE42B">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618F15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A8F5C3A">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6F959AF">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DBFEB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E198D"/>
    <w:rsid w:val="79C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2025-09-23T09:50:00Z</dcterms:created>
  <dc:creator>Administrator</dc:creator>
  <cp:lastModifiedBy>Administrator</cp:lastModifiedBy>
  <dcterms:modified xsi:type="dcterms:W3CDTF">2025-09-23T09:56:00Z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B414BB4D7D7B4EA6A9E6414569E7037B_11</vt:lpwstr>
  </property>
  <property fmtid="{D5CDD505-2E9C-101B-9397-08002B2CF9AE}" pid="4" name="KSOTemplateDocerSaveRecord">
    <vt:lpwstr>eyJoZGlkIjoiZTIxN2YwZjg3Zjc3YWMwNzQ2Y2U3YTZhODA5NmVmOGQifQ==</vt:lpwstr>
  </property>
</Properties>
</file>