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2F38C">
      <w:pPr>
        <w:keepNext w:val="0"/>
        <w:keepLines w:val="0"/>
        <w:pageBreakBefore w:val="0"/>
        <w:kinsoku/>
        <w:wordWrap/>
        <w:overflowPunct/>
        <w:topLinePunct w:val="0"/>
        <w:autoSpaceDE/>
        <w:autoSpaceDN/>
        <w:bidi w:val="0"/>
        <w:adjustRightInd/>
        <w:snapToGrid/>
        <w:spacing w:line="600" w:lineRule="exact"/>
        <w:jc w:val="left"/>
        <w:rPr>
          <w:rFonts w:hint="eastAsia" w:ascii="仿宋" w:hAnsi="仿宋" w:eastAsia="仿宋" w:cs="仿宋"/>
          <w:sz w:val="32"/>
          <w:szCs w:val="32"/>
          <w:lang w:val="en-US" w:eastAsia="zh-CN"/>
        </w:rPr>
      </w:pPr>
      <w:r>
        <w:rPr>
          <w:rFonts w:hint="eastAsia"/>
          <w:sz w:val="32"/>
          <w:szCs w:val="32"/>
          <w:lang w:val="en-US" w:eastAsia="zh-CN"/>
        </w:rPr>
        <w:t>附件1</w:t>
      </w:r>
    </w:p>
    <w:tbl>
      <w:tblPr>
        <w:tblStyle w:val="8"/>
        <w:tblW w:w="9676" w:type="dxa"/>
        <w:tblInd w:w="-734" w:type="dxa"/>
        <w:shd w:val="clear" w:color="auto" w:fill="auto"/>
        <w:tblLayout w:type="fixed"/>
        <w:tblCellMar>
          <w:top w:w="0" w:type="dxa"/>
          <w:left w:w="108" w:type="dxa"/>
          <w:bottom w:w="0" w:type="dxa"/>
          <w:right w:w="108" w:type="dxa"/>
        </w:tblCellMar>
      </w:tblPr>
      <w:tblGrid>
        <w:gridCol w:w="982"/>
        <w:gridCol w:w="5550"/>
        <w:gridCol w:w="3144"/>
      </w:tblGrid>
      <w:tr w14:paraId="46CA8AC3">
        <w:tblPrEx>
          <w:shd w:val="clear" w:color="auto" w:fill="auto"/>
          <w:tblCellMar>
            <w:top w:w="0" w:type="dxa"/>
            <w:left w:w="108" w:type="dxa"/>
            <w:bottom w:w="0" w:type="dxa"/>
            <w:right w:w="108" w:type="dxa"/>
          </w:tblCellMar>
        </w:tblPrEx>
        <w:trPr>
          <w:trHeight w:val="706" w:hRule="atLeast"/>
        </w:trPr>
        <w:tc>
          <w:tcPr>
            <w:tcW w:w="9676" w:type="dxa"/>
            <w:gridSpan w:val="3"/>
            <w:tcBorders>
              <w:top w:val="nil"/>
              <w:left w:val="nil"/>
              <w:bottom w:val="single" w:color="auto" w:sz="4" w:space="0"/>
              <w:right w:val="nil"/>
            </w:tcBorders>
            <w:shd w:val="clear" w:color="auto" w:fill="auto"/>
            <w:noWrap/>
            <w:vAlign w:val="center"/>
          </w:tcPr>
          <w:p w14:paraId="0E3751E1">
            <w:pPr>
              <w:keepNext w:val="0"/>
              <w:keepLines w:val="0"/>
              <w:pageBreakBefore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b/>
                <w:bCs/>
                <w:kern w:val="2"/>
                <w:sz w:val="44"/>
                <w:szCs w:val="44"/>
                <w:lang w:val="en-US" w:eastAsia="zh-CN" w:bidi="ar-SA"/>
              </w:rPr>
            </w:pPr>
          </w:p>
          <w:p w14:paraId="52FA1318">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bCs/>
                <w:kern w:val="2"/>
                <w:sz w:val="44"/>
                <w:szCs w:val="44"/>
                <w:lang w:val="en-US" w:eastAsia="zh-CN" w:bidi="ar-SA"/>
              </w:rPr>
            </w:pPr>
            <w:bookmarkStart w:id="0" w:name="_GoBack"/>
            <w:r>
              <w:rPr>
                <w:rFonts w:hint="eastAsia" w:ascii="仿宋_GB2312" w:hAnsi="仿宋_GB2312" w:eastAsia="仿宋_GB2312" w:cs="仿宋_GB2312"/>
                <w:b/>
                <w:bCs/>
                <w:kern w:val="2"/>
                <w:sz w:val="44"/>
                <w:szCs w:val="44"/>
                <w:lang w:val="en-US" w:eastAsia="zh-CN" w:bidi="ar-SA"/>
              </w:rPr>
              <w:t>滑县人民政府继续有效的</w:t>
            </w:r>
            <w:r>
              <w:rPr>
                <w:rFonts w:hint="eastAsia" w:ascii="仿宋_GB2312" w:hAnsi="仿宋_GB2312" w:cs="仿宋_GB2312"/>
                <w:b/>
                <w:bCs/>
                <w:kern w:val="2"/>
                <w:sz w:val="44"/>
                <w:szCs w:val="44"/>
                <w:lang w:val="en-US" w:eastAsia="zh-CN" w:bidi="ar-SA"/>
              </w:rPr>
              <w:t>行政</w:t>
            </w:r>
            <w:r>
              <w:rPr>
                <w:rFonts w:hint="eastAsia" w:ascii="仿宋_GB2312" w:hAnsi="仿宋_GB2312" w:eastAsia="仿宋_GB2312" w:cs="仿宋_GB2312"/>
                <w:b/>
                <w:bCs/>
                <w:kern w:val="2"/>
                <w:sz w:val="44"/>
                <w:szCs w:val="44"/>
                <w:lang w:val="en-US" w:eastAsia="zh-CN" w:bidi="ar-SA"/>
              </w:rPr>
              <w:t>规范性文件目录</w:t>
            </w:r>
            <w:bookmarkEnd w:id="0"/>
          </w:p>
          <w:p w14:paraId="245AE0DA">
            <w:pPr>
              <w:pStyle w:val="2"/>
              <w:pageBreakBefore w:val="0"/>
              <w:kinsoku/>
              <w:wordWrap/>
              <w:topLinePunct w:val="0"/>
              <w:autoSpaceDE/>
              <w:autoSpaceDN/>
              <w:bidi w:val="0"/>
              <w:spacing w:line="600" w:lineRule="exact"/>
              <w:jc w:val="center"/>
              <w:rPr>
                <w:rFonts w:hint="eastAsia" w:eastAsia="仿宋_GB2312"/>
                <w:lang w:val="en-US" w:eastAsia="zh-CN"/>
              </w:rPr>
            </w:pPr>
            <w:r>
              <w:rPr>
                <w:rFonts w:hint="eastAsia" w:ascii="仿宋_GB2312" w:hAnsi="仿宋_GB2312" w:cs="仿宋_GB2312"/>
                <w:b/>
                <w:bCs/>
                <w:kern w:val="2"/>
                <w:sz w:val="44"/>
                <w:szCs w:val="44"/>
                <w:lang w:val="en-US" w:eastAsia="zh-CN" w:bidi="ar-SA"/>
              </w:rPr>
              <w:t>(18)件</w:t>
            </w:r>
          </w:p>
        </w:tc>
      </w:tr>
      <w:tr w14:paraId="4B0C949E">
        <w:tblPrEx>
          <w:tblCellMar>
            <w:top w:w="0" w:type="dxa"/>
            <w:left w:w="108" w:type="dxa"/>
            <w:bottom w:w="0" w:type="dxa"/>
            <w:right w:w="108" w:type="dxa"/>
          </w:tblCellMar>
        </w:tblPrEx>
        <w:trPr>
          <w:trHeight w:val="724" w:hRule="atLeast"/>
        </w:trPr>
        <w:tc>
          <w:tcPr>
            <w:tcW w:w="9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EB4E6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555555"/>
                <w:kern w:val="0"/>
                <w:sz w:val="32"/>
                <w:szCs w:val="32"/>
                <w:u w:val="none"/>
                <w:lang w:val="en-US" w:eastAsia="zh-CN" w:bidi="ar"/>
              </w:rPr>
            </w:pPr>
            <w:r>
              <w:rPr>
                <w:rFonts w:hint="eastAsia" w:ascii="黑体" w:hAnsi="黑体" w:eastAsia="黑体" w:cs="黑体"/>
                <w:b w:val="0"/>
                <w:bCs w:val="0"/>
                <w:i w:val="0"/>
                <w:iCs w:val="0"/>
                <w:color w:val="555555"/>
                <w:kern w:val="0"/>
                <w:sz w:val="32"/>
                <w:szCs w:val="32"/>
                <w:u w:val="none"/>
                <w:lang w:val="en-US" w:eastAsia="zh-CN" w:bidi="ar"/>
              </w:rPr>
              <w:t>序号</w:t>
            </w:r>
          </w:p>
        </w:tc>
        <w:tc>
          <w:tcPr>
            <w:tcW w:w="5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5E3541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555555"/>
                <w:kern w:val="0"/>
                <w:sz w:val="32"/>
                <w:szCs w:val="32"/>
                <w:u w:val="none"/>
                <w:lang w:val="en-US" w:eastAsia="zh-CN" w:bidi="ar"/>
              </w:rPr>
            </w:pPr>
            <w:r>
              <w:rPr>
                <w:rFonts w:hint="eastAsia" w:ascii="黑体" w:hAnsi="黑体" w:eastAsia="黑体" w:cs="黑体"/>
                <w:b w:val="0"/>
                <w:bCs w:val="0"/>
                <w:i w:val="0"/>
                <w:iCs w:val="0"/>
                <w:color w:val="555555"/>
                <w:kern w:val="0"/>
                <w:sz w:val="32"/>
                <w:szCs w:val="32"/>
                <w:u w:val="none"/>
                <w:lang w:val="en-US" w:eastAsia="zh-CN" w:bidi="ar"/>
              </w:rPr>
              <w:t>文件名称</w:t>
            </w:r>
          </w:p>
        </w:tc>
        <w:tc>
          <w:tcPr>
            <w:tcW w:w="31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5DBC6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555555"/>
                <w:kern w:val="0"/>
                <w:sz w:val="32"/>
                <w:szCs w:val="32"/>
                <w:u w:val="none"/>
                <w:lang w:val="en-US" w:eastAsia="zh-CN" w:bidi="ar"/>
              </w:rPr>
            </w:pPr>
            <w:r>
              <w:rPr>
                <w:rFonts w:hint="eastAsia" w:ascii="黑体" w:hAnsi="黑体" w:eastAsia="黑体" w:cs="黑体"/>
                <w:b w:val="0"/>
                <w:bCs w:val="0"/>
                <w:i w:val="0"/>
                <w:iCs w:val="0"/>
                <w:color w:val="555555"/>
                <w:kern w:val="0"/>
                <w:sz w:val="32"/>
                <w:szCs w:val="32"/>
                <w:u w:val="none"/>
                <w:lang w:val="en-US" w:eastAsia="zh-CN" w:bidi="ar"/>
              </w:rPr>
              <w:t>文号</w:t>
            </w:r>
          </w:p>
        </w:tc>
      </w:tr>
      <w:tr w14:paraId="6C4D75FE">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53F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3FC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滑县人民政府关于进一步规范衔接资金支持产业项目产权及收益金管理使用的指导意见</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B2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滑政〔2023〕10号</w:t>
            </w:r>
          </w:p>
        </w:tc>
      </w:tr>
      <w:tr w14:paraId="576EA6C5">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B7F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2</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5446">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滑县人民政府关于公布县政府行政规范性文件清理结果的通知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E599">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Times New Roman" w:hAnsi="Times New Roman" w:eastAsia="仿宋_GB2312" w:cs="Times New Roman"/>
                <w:spacing w:val="-1"/>
                <w:kern w:val="0"/>
                <w:sz w:val="30"/>
                <w:szCs w:val="30"/>
              </w:rPr>
              <w:t>滑</w:t>
            </w:r>
            <w:r>
              <w:rPr>
                <w:rFonts w:hint="eastAsia" w:ascii="Times New Roman" w:hAnsi="Times New Roman" w:eastAsia="仿宋_GB2312" w:cs="Times New Roman"/>
                <w:spacing w:val="-1"/>
                <w:kern w:val="0"/>
                <w:sz w:val="30"/>
                <w:szCs w:val="30"/>
                <w:lang w:eastAsia="zh-CN"/>
              </w:rPr>
              <w:t>政</w:t>
            </w:r>
            <w:r>
              <w:rPr>
                <w:rFonts w:hint="eastAsia" w:ascii="Times New Roman" w:hAnsi="Times New Roman" w:eastAsia="仿宋_GB2312" w:cs="Times New Roman"/>
                <w:spacing w:val="-1"/>
                <w:kern w:val="0"/>
                <w:sz w:val="30"/>
                <w:szCs w:val="30"/>
                <w:lang w:val="en-US" w:eastAsia="zh-CN"/>
              </w:rPr>
              <w:t>〔2024〕5</w:t>
            </w:r>
            <w:r>
              <w:rPr>
                <w:rFonts w:hint="eastAsia" w:ascii="仿宋_GB2312" w:hAnsi="仿宋_GB2312" w:eastAsia="仿宋_GB2312" w:cs="仿宋_GB2312"/>
                <w:sz w:val="32"/>
                <w:szCs w:val="32"/>
              </w:rPr>
              <w:t>号</w:t>
            </w:r>
          </w:p>
        </w:tc>
      </w:tr>
      <w:tr w14:paraId="2D7C52FE">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551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3</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76FB">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滑县人民政府关于公布滑县土地级别与基准地价的通知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27C0">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jc w:val="center"/>
              <w:textAlignment w:val="auto"/>
              <w:outlineLvl w:val="9"/>
              <w:rPr>
                <w:rFonts w:hint="eastAsia" w:ascii="Times New Roman" w:hAnsi="Times New Roman" w:eastAsia="仿宋_GB2312" w:cs="Times New Roman"/>
                <w:b w:val="0"/>
                <w:bCs w:val="0"/>
                <w:color w:val="000000"/>
                <w:kern w:val="2"/>
                <w:sz w:val="30"/>
                <w:szCs w:val="30"/>
                <w:lang w:val="en-US" w:eastAsia="zh-CN" w:bidi="ar-SA"/>
              </w:rPr>
            </w:pPr>
            <w:r>
              <w:rPr>
                <w:rFonts w:hint="default" w:ascii="Times New Roman" w:hAnsi="Times New Roman" w:eastAsia="仿宋_GB2312" w:cs="Times New Roman"/>
                <w:spacing w:val="-1"/>
                <w:kern w:val="0"/>
                <w:sz w:val="30"/>
                <w:szCs w:val="30"/>
              </w:rPr>
              <w:t>滑政〔20</w:t>
            </w:r>
            <w:r>
              <w:rPr>
                <w:rFonts w:hint="default" w:ascii="Times New Roman" w:hAnsi="Times New Roman" w:eastAsia="仿宋_GB2312" w:cs="Times New Roman"/>
                <w:spacing w:val="-1"/>
                <w:kern w:val="0"/>
                <w:sz w:val="30"/>
                <w:szCs w:val="30"/>
                <w:lang w:val="en-US" w:eastAsia="zh-CN"/>
              </w:rPr>
              <w:t>25</w:t>
            </w:r>
            <w:r>
              <w:rPr>
                <w:rFonts w:hint="default" w:ascii="Times New Roman" w:hAnsi="Times New Roman" w:eastAsia="仿宋_GB2312" w:cs="Times New Roman"/>
                <w:spacing w:val="-1"/>
                <w:kern w:val="0"/>
                <w:sz w:val="30"/>
                <w:szCs w:val="30"/>
              </w:rPr>
              <w:t>〕</w:t>
            </w:r>
            <w:r>
              <w:rPr>
                <w:rFonts w:hint="eastAsia" w:ascii="Times New Roman" w:hAnsi="Times New Roman" w:eastAsia="仿宋_GB2312" w:cs="Times New Roman"/>
                <w:spacing w:val="-1"/>
                <w:kern w:val="0"/>
                <w:sz w:val="30"/>
                <w:szCs w:val="30"/>
                <w:lang w:val="en-US" w:eastAsia="zh-CN"/>
              </w:rPr>
              <w:t>2</w:t>
            </w:r>
            <w:r>
              <w:rPr>
                <w:rFonts w:hint="default" w:ascii="Times New Roman" w:hAnsi="Times New Roman" w:eastAsia="仿宋_GB2312" w:cs="Times New Roman"/>
                <w:spacing w:val="-1"/>
                <w:kern w:val="0"/>
                <w:sz w:val="30"/>
                <w:szCs w:val="30"/>
              </w:rPr>
              <w:t>号</w:t>
            </w:r>
          </w:p>
        </w:tc>
      </w:tr>
      <w:tr w14:paraId="2FE44FBF">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68D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4</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9AD9">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begin"/>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instrText xml:space="preserve"> HYPERLINK "http://wjbb.sft.henan.gov.cn:80/\\/upload/HNHD/2017/06/21/20170621100755489.pdf" \o "http://wjbb.sft.henan.gov.cn:80/\\/upload/HNHD/2017/06/21/20170621100755489.pdf" </w:instrTex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滑县人民政府办公室关于加强联合执法建立成品油流通市场监管长效机制的通知</w: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end"/>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E2CE">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滑政办〔2017〕38号</w:t>
            </w:r>
          </w:p>
        </w:tc>
      </w:tr>
      <w:tr w14:paraId="13283D98">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8DF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5</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3C4E">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滑县人民政府办公室关于印发</w: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begin"/>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instrText xml:space="preserve"> HYPERLINK "http://wjbb.sft.henan.gov.cn:80/\\/upload/HNHD/2018/11/01/20181101155018905.pdf" \o "http://wjbb.sft.henan.gov.cn:80/\\/upload/HNHD/2018/11/01/20181101155018905.pdf" </w:instrTex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滑县全面推行“双随机一公开”监管工作实施方案</w: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end"/>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E498">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滑政办〔2018〕78号</w:t>
            </w:r>
          </w:p>
        </w:tc>
      </w:tr>
      <w:tr w14:paraId="1DA454C4">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7DD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6</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0664">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滑县人民政府办公室关于印发滑县财政支持新型农业经营主体融资担保风险补偿基金管理办法的通知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0694">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滑政办〔2019〕17号</w:t>
            </w:r>
          </w:p>
        </w:tc>
      </w:tr>
      <w:tr w14:paraId="5EAE59DA">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D79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7</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39A2">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滑县人民政府办公室关于印发滑县公共租赁住房退出房源分配实施方案的通知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4953">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滑政办〔2021〕25号</w:t>
            </w:r>
          </w:p>
        </w:tc>
      </w:tr>
      <w:tr w14:paraId="0865D537">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E0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8</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C038">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highlight w:val="none"/>
                <w:u w:val="none"/>
                <w:lang w:val="en-US" w:eastAsia="zh-CN" w:bidi="ar"/>
              </w:rPr>
            </w:pP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t>滑县人民政府办公室关于印发进一步保持房地产市场平稳健康发展若干政策措施的通知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F005">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highlight w:val="none"/>
                <w:u w:val="none"/>
                <w:lang w:val="en-US" w:eastAsia="zh-CN" w:bidi="ar"/>
              </w:rPr>
            </w:pP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t>滑政办〔2023〕1号</w:t>
            </w:r>
          </w:p>
        </w:tc>
      </w:tr>
      <w:tr w14:paraId="069D6C08">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753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9</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DA16">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滑县人民政府办公室关于发展保障性租赁住房的实施意见</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A641">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滑政办〔2023〕12号</w:t>
            </w:r>
          </w:p>
        </w:tc>
      </w:tr>
      <w:tr w14:paraId="59E48C41">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0DC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10</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9F91">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滑县人民政府办公室关于印发滑县城市燃气供水排水供热管道老化更新改造实施方案（2024-2026年）的通知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35FC">
            <w:pPr>
              <w:keepNext w:val="0"/>
              <w:keepLines w:val="0"/>
              <w:pageBreakBefore w:val="0"/>
              <w:widowControl w:val="0"/>
              <w:kinsoku/>
              <w:wordWrap/>
              <w:topLinePunct w:val="0"/>
              <w:autoSpaceDE/>
              <w:autoSpaceDN/>
              <w:bidi w:val="0"/>
              <w:snapToGrid/>
              <w:spacing w:line="600" w:lineRule="exact"/>
              <w:jc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sz w:val="32"/>
                <w:szCs w:val="32"/>
                <w:lang w:eastAsia="zh-CN"/>
              </w:rPr>
              <w:t>滑政办〔2024〕5号</w:t>
            </w:r>
          </w:p>
        </w:tc>
      </w:tr>
      <w:tr w14:paraId="2DDA58C7">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6AF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11</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F96">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滑县人民政府办公室关于印发滑县城镇燃气管道设施“带病运行”专项治理实施方案的通知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6B8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i w:val="0"/>
                <w:iCs w:val="0"/>
                <w:color w:val="555555"/>
                <w:kern w:val="0"/>
                <w:sz w:val="28"/>
                <w:szCs w:val="28"/>
                <w:u w:val="none"/>
                <w:lang w:val="en-US" w:eastAsia="zh-CN" w:bidi="ar"/>
              </w:rPr>
            </w:pPr>
            <w:r>
              <w:rPr>
                <w:rFonts w:hint="eastAsia" w:ascii="Times New Roman" w:hAnsi="Times New Roman" w:eastAsia="仿宋_GB2312" w:cs="Times New Roman"/>
                <w:sz w:val="32"/>
                <w:szCs w:val="32"/>
                <w:lang w:val="en-US" w:eastAsia="zh-CN"/>
              </w:rPr>
              <w:t>滑政办〔2024〕7号</w:t>
            </w:r>
          </w:p>
        </w:tc>
      </w:tr>
      <w:tr w14:paraId="7383FE11">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A19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12</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3497">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滑县人民政府办公室关于印发滑县普通公路路域环境综合整治实施方案的通知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5928">
            <w:pPr>
              <w:pStyle w:val="7"/>
              <w:keepNext w:val="0"/>
              <w:keepLines w:val="0"/>
              <w:pageBreakBefore w:val="0"/>
              <w:widowControl w:val="0"/>
              <w:kinsoku/>
              <w:wordWrap/>
              <w:topLinePunct w:val="0"/>
              <w:autoSpaceDE/>
              <w:autoSpaceDN/>
              <w:bidi w:val="0"/>
              <w:snapToGrid/>
              <w:spacing w:line="600" w:lineRule="exact"/>
              <w:ind w:left="0" w:leftChars="0" w:right="0" w:rightChars="0" w:firstLine="0" w:firstLineChars="0"/>
              <w:jc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Times New Roman" w:hAnsi="Times New Roman" w:eastAsia="仿宋_GB2312" w:cs="Times New Roman"/>
                <w:b w:val="0"/>
                <w:bCs w:val="0"/>
                <w:sz w:val="30"/>
                <w:szCs w:val="30"/>
                <w:lang w:eastAsia="zh-CN"/>
              </w:rPr>
              <w:t>滑政办〔</w:t>
            </w:r>
            <w:r>
              <w:rPr>
                <w:rFonts w:hint="eastAsia" w:ascii="Times New Roman" w:hAnsi="Times New Roman" w:eastAsia="仿宋_GB2312" w:cs="Times New Roman"/>
                <w:b w:val="0"/>
                <w:bCs w:val="0"/>
                <w:sz w:val="30"/>
                <w:szCs w:val="30"/>
                <w:lang w:val="en-US" w:eastAsia="zh-CN"/>
              </w:rPr>
              <w:t>2024</w:t>
            </w:r>
            <w:r>
              <w:rPr>
                <w:rFonts w:hint="eastAsia" w:ascii="Times New Roman" w:hAnsi="Times New Roman" w:eastAsia="仿宋_GB2312" w:cs="Times New Roman"/>
                <w:b w:val="0"/>
                <w:bCs w:val="0"/>
                <w:sz w:val="30"/>
                <w:szCs w:val="30"/>
                <w:lang w:eastAsia="zh-CN"/>
              </w:rPr>
              <w:t>〕</w:t>
            </w:r>
            <w:r>
              <w:rPr>
                <w:rFonts w:hint="eastAsia" w:ascii="Times New Roman" w:hAnsi="Times New Roman" w:eastAsia="仿宋_GB2312" w:cs="Times New Roman"/>
                <w:b w:val="0"/>
                <w:bCs w:val="0"/>
                <w:sz w:val="30"/>
                <w:szCs w:val="30"/>
                <w:lang w:val="en-US" w:eastAsia="zh-CN"/>
              </w:rPr>
              <w:t>8号</w:t>
            </w:r>
          </w:p>
        </w:tc>
      </w:tr>
      <w:tr w14:paraId="73084E3D">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6CC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13</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80C0">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滑县人民政府办公室关于印发滑县政府投资项目代建管理暂行办法的通知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0EA3">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i w:val="0"/>
                <w:iCs w:val="0"/>
                <w:color w:val="555555"/>
                <w:kern w:val="0"/>
                <w:sz w:val="28"/>
                <w:szCs w:val="28"/>
                <w:u w:val="none"/>
                <w:lang w:val="en-US" w:eastAsia="zh-CN" w:bidi="ar"/>
              </w:rPr>
            </w:pPr>
            <w:r>
              <w:rPr>
                <w:rFonts w:hint="default" w:ascii="Times New Roman" w:hAnsi="Times New Roman" w:eastAsia="仿宋_GB2312" w:cs="Times New Roman"/>
                <w:sz w:val="30"/>
                <w:szCs w:val="30"/>
                <w:lang w:eastAsia="zh-CN"/>
              </w:rPr>
              <w:t>滑</w:t>
            </w:r>
            <w:r>
              <w:rPr>
                <w:rFonts w:hint="default" w:ascii="Times New Roman" w:hAnsi="Times New Roman" w:eastAsia="仿宋_GB2312" w:cs="Times New Roman"/>
                <w:sz w:val="30"/>
                <w:szCs w:val="30"/>
              </w:rPr>
              <w:t>政办〔2024〕</w:t>
            </w:r>
            <w:r>
              <w:rPr>
                <w:rFonts w:hint="eastAsia" w:ascii="Times New Roman" w:hAnsi="Times New Roman" w:eastAsia="仿宋_GB2312" w:cs="Times New Roman"/>
                <w:sz w:val="30"/>
                <w:szCs w:val="30"/>
                <w:lang w:val="en-US" w:eastAsia="zh-CN"/>
              </w:rPr>
              <w:t>12</w:t>
            </w:r>
            <w:r>
              <w:rPr>
                <w:rFonts w:hint="default" w:ascii="Times New Roman" w:hAnsi="Times New Roman" w:eastAsia="仿宋_GB2312" w:cs="Times New Roman"/>
                <w:sz w:val="30"/>
                <w:szCs w:val="30"/>
              </w:rPr>
              <w:t>号</w:t>
            </w:r>
          </w:p>
        </w:tc>
      </w:tr>
      <w:tr w14:paraId="0FCF1ED3">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D99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14</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EC7A">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滑县人民政府办公室关于印发</w:t>
            </w:r>
            <w: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滑县政府投资项目全流程管理办法</w: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的通知</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06C0">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i w:val="0"/>
                <w:iCs w:val="0"/>
                <w:color w:val="555555"/>
                <w:kern w:val="0"/>
                <w:sz w:val="28"/>
                <w:szCs w:val="28"/>
                <w:u w:val="none"/>
                <w:lang w:val="en-US" w:eastAsia="zh-CN" w:bidi="ar"/>
              </w:rPr>
            </w:pPr>
            <w:r>
              <w:rPr>
                <w:rFonts w:hint="default" w:ascii="Times New Roman" w:hAnsi="Times New Roman" w:eastAsia="仿宋_GB2312" w:cs="Times New Roman"/>
                <w:b w:val="0"/>
                <w:bCs w:val="0"/>
                <w:color w:val="000000"/>
                <w:sz w:val="30"/>
                <w:szCs w:val="30"/>
                <w:lang w:eastAsia="zh-CN"/>
              </w:rPr>
              <w:t>滑政办</w:t>
            </w:r>
            <w:r>
              <w:rPr>
                <w:rFonts w:hint="eastAsia"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2024</w:t>
            </w:r>
            <w:r>
              <w:rPr>
                <w:rFonts w:hint="eastAsia" w:ascii="Times New Roman" w:hAnsi="Times New Roman" w:eastAsia="仿宋_GB2312" w:cs="Times New Roman"/>
                <w:b w:val="0"/>
                <w:bCs w:val="0"/>
                <w:color w:val="000000"/>
                <w:sz w:val="30"/>
                <w:szCs w:val="30"/>
                <w:lang w:val="en-US" w:eastAsia="zh-CN"/>
              </w:rPr>
              <w:t>〕15</w:t>
            </w:r>
            <w:r>
              <w:rPr>
                <w:rFonts w:hint="default" w:ascii="Times New Roman" w:hAnsi="Times New Roman" w:eastAsia="仿宋_GB2312" w:cs="Times New Roman"/>
                <w:b w:val="0"/>
                <w:bCs w:val="0"/>
                <w:color w:val="000000"/>
                <w:sz w:val="30"/>
                <w:szCs w:val="30"/>
                <w:lang w:val="en-US" w:eastAsia="zh-CN"/>
              </w:rPr>
              <w:t>号</w:t>
            </w:r>
          </w:p>
        </w:tc>
      </w:tr>
      <w:tr w14:paraId="6450D6CE">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FC5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15</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6952">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32"/>
                <w:szCs w:val="32"/>
                <w:highlight w:val="none"/>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32"/>
                <w:szCs w:val="32"/>
                <w:highlight w:val="none"/>
                <w:u w:val="none"/>
                <w:shd w:val="clear" w:color="auto" w:fill="auto"/>
                <w:lang w:val="en-US" w:eastAsia="zh-CN" w:bidi="ar"/>
              </w:rPr>
              <w:instrText xml:space="preserve"> HYPERLINK "http://wjbb.sft.henan.gov.cn:80/\\/upload/HNHD/2021/03/15/20210315171422391.pdf" \o "http://wjbb.sft.henan.gov.cn:80/\\/upload/HNHD/2021/03/15/20210315171422391.pdf" </w:instrText>
            </w:r>
            <w:r>
              <w:rPr>
                <w:rFonts w:hint="eastAsia" w:ascii="仿宋_GB2312" w:hAnsi="仿宋_GB2312" w:eastAsia="仿宋_GB2312" w:cs="仿宋_GB2312"/>
                <w:i w:val="0"/>
                <w:iCs w:val="0"/>
                <w:color w:val="auto"/>
                <w:kern w:val="0"/>
                <w:sz w:val="32"/>
                <w:szCs w:val="32"/>
                <w:highlight w:val="none"/>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32"/>
                <w:szCs w:val="32"/>
                <w:highlight w:val="none"/>
                <w:u w:val="none"/>
                <w:shd w:val="clear" w:color="auto" w:fill="auto"/>
                <w:lang w:val="en-US" w:eastAsia="zh-CN" w:bidi="ar"/>
              </w:rPr>
              <w:t>滑县人民政府关于集中行使行政复议职责的通告</w:t>
            </w:r>
            <w:r>
              <w:rPr>
                <w:rFonts w:hint="eastAsia" w:ascii="仿宋_GB2312" w:hAnsi="仿宋_GB2312" w:eastAsia="仿宋_GB2312" w:cs="仿宋_GB2312"/>
                <w:i w:val="0"/>
                <w:iCs w:val="0"/>
                <w:color w:val="auto"/>
                <w:kern w:val="0"/>
                <w:sz w:val="32"/>
                <w:szCs w:val="32"/>
                <w:highlight w:val="none"/>
                <w:u w:val="none"/>
                <w:shd w:val="clear" w:color="auto" w:fill="auto"/>
                <w:lang w:val="en-US" w:eastAsia="zh-CN" w:bidi="ar"/>
              </w:rPr>
              <w:fldChar w:fldCharType="end"/>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59F1">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32"/>
                <w:szCs w:val="32"/>
                <w:highlight w:val="none"/>
                <w:u w:val="none"/>
                <w:shd w:val="clear" w:color="auto" w:fill="auto"/>
                <w:lang w:val="en-US" w:eastAsia="zh-CN" w:bidi="ar"/>
              </w:rPr>
              <w:t>通告〔2021〕1号</w:t>
            </w:r>
          </w:p>
        </w:tc>
      </w:tr>
      <w:tr w14:paraId="5BD91C04">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2CF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16</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2B43">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滑县人民政府关于调整扩大高污染燃料禁燃区的通告</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C6FA">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通告〔2021〕5号</w:t>
            </w:r>
          </w:p>
        </w:tc>
      </w:tr>
      <w:tr w14:paraId="64697358">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16E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17</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431C">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滑县人民政府关于废止部分集体土地使用权证和房产证的通告</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AA01">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通告〔2022〕1号</w:t>
            </w:r>
          </w:p>
        </w:tc>
      </w:tr>
      <w:tr w14:paraId="32FDB8D1">
        <w:tblPrEx>
          <w:tblCellMar>
            <w:top w:w="0" w:type="dxa"/>
            <w:left w:w="108" w:type="dxa"/>
            <w:bottom w:w="0" w:type="dxa"/>
            <w:right w:w="108" w:type="dxa"/>
          </w:tblCellMar>
        </w:tblPrEx>
        <w:trPr>
          <w:trHeight w:val="743"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06E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18</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C4CB">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关于划定公路建筑控制区范围的通告</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805E">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通告〔2023〕4号</w:t>
            </w:r>
          </w:p>
        </w:tc>
      </w:tr>
    </w:tbl>
    <w:p w14:paraId="4621CA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Verdana"/>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6"/>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F73B5"/>
    <w:rsid w:val="0BBE689D"/>
    <w:rsid w:val="10B5208A"/>
    <w:rsid w:val="145D7D48"/>
    <w:rsid w:val="1ABD32C1"/>
    <w:rsid w:val="26030A4C"/>
    <w:rsid w:val="26AD3213"/>
    <w:rsid w:val="2B60129B"/>
    <w:rsid w:val="3AB36873"/>
    <w:rsid w:val="3D13134F"/>
    <w:rsid w:val="439F77F0"/>
    <w:rsid w:val="44B61AA0"/>
    <w:rsid w:val="45A17B3C"/>
    <w:rsid w:val="45B07DEB"/>
    <w:rsid w:val="52D717C6"/>
    <w:rsid w:val="590205F8"/>
    <w:rsid w:val="5C6012C8"/>
    <w:rsid w:val="62645916"/>
    <w:rsid w:val="66A50B13"/>
    <w:rsid w:val="6B9106CF"/>
    <w:rsid w:val="6FC76720"/>
    <w:rsid w:val="6FDB7CC3"/>
    <w:rsid w:val="70FF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afterLines="0" w:afterAutospacing="0"/>
    </w:pPr>
  </w:style>
  <w:style w:type="paragraph" w:styleId="5">
    <w:name w:val="Body Text Indent"/>
    <w:basedOn w:val="1"/>
    <w:qFormat/>
    <w:uiPriority w:val="0"/>
    <w:pPr>
      <w:spacing w:after="120"/>
      <w:ind w:left="420" w:leftChars="200"/>
    </w:pPr>
  </w:style>
  <w:style w:type="paragraph" w:styleId="6">
    <w:name w:val="Body Text 2"/>
    <w:basedOn w:val="1"/>
    <w:qFormat/>
    <w:uiPriority w:val="0"/>
    <w:pPr>
      <w:widowControl/>
      <w:numPr>
        <w:ilvl w:val="0"/>
        <w:numId w:val="1"/>
      </w:numPr>
      <w:spacing w:beforeLines="50" w:line="336" w:lineRule="auto"/>
    </w:pPr>
    <w:rPr>
      <w:rFonts w:eastAsia="黑体"/>
      <w:szCs w:val="20"/>
      <w:lang w:val="en-GB"/>
    </w:rPr>
  </w:style>
  <w:style w:type="paragraph" w:styleId="7">
    <w:name w:val="Body Text First Indent 2"/>
    <w:basedOn w:val="5"/>
    <w:qFormat/>
    <w:uiPriority w:val="0"/>
    <w:pPr>
      <w:ind w:firstLine="420"/>
    </w:pPr>
    <w:rPr>
      <w:szCs w:val="20"/>
    </w:rPr>
  </w:style>
  <w:style w:type="character" w:customStyle="1" w:styleId="10">
    <w:name w:val="font51"/>
    <w:basedOn w:val="9"/>
    <w:qFormat/>
    <w:uiPriority w:val="99"/>
    <w:rPr>
      <w:rFonts w:ascii="??" w:hAnsi="??" w:eastAsia="仿宋_GB2312" w:cs="??"/>
      <w:color w:val="000000"/>
      <w:sz w:val="32"/>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2025-08-26T07:28:00Z</dcterms:created>
  <dc:creator>Administrator</dc:creator>
  <cp:lastModifiedBy>Administrator</cp:lastModifiedBy>
  <dcterms:modified xsi:type="dcterms:W3CDTF">2025-08-26T07:29:34Z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FE1ED5B4EC21444496A00A524E16BFC8_11</vt:lpwstr>
  </property>
  <property fmtid="{D5CDD505-2E9C-101B-9397-08002B2CF9AE}" pid="4" name="KSOTemplateDocerSaveRecord">
    <vt:lpwstr>eyJoZGlkIjoiYzRlYjczZjU3ZmQ2NTQ4MzM0OThjMzllOGZjZTBlN2IifQ==</vt:lpwstr>
  </property>
</Properties>
</file>