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E3F1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方正小标宋简体" w:cs="Times New Roman"/>
          <w:sz w:val="44"/>
          <w:szCs w:val="44"/>
          <w:lang w:val="en-US" w:eastAsia="zh-CN"/>
        </w:rPr>
      </w:pPr>
      <w:bookmarkStart w:id="41" w:name="_GoBack"/>
      <w:bookmarkEnd w:id="41"/>
      <w:r>
        <w:rPr>
          <w:rFonts w:hint="eastAsia" w:eastAsia="方正小标宋简体" w:cs="Times New Roman"/>
          <w:sz w:val="44"/>
          <w:szCs w:val="44"/>
          <w:lang w:val="en-US" w:eastAsia="zh-CN"/>
        </w:rPr>
        <w:t>重点项目绩效评价报告</w:t>
      </w:r>
    </w:p>
    <w:p w14:paraId="79C39521">
      <w:pPr>
        <w:pStyle w:val="2"/>
        <w:rPr>
          <w:rFonts w:hint="default"/>
          <w:lang w:val="en-US" w:eastAsia="zh-CN"/>
        </w:rPr>
      </w:pPr>
    </w:p>
    <w:p w14:paraId="1B1CE21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一、</w:t>
      </w:r>
      <w:r>
        <w:rPr>
          <w:rFonts w:hint="eastAsia" w:ascii="宋体" w:hAnsi="宋体" w:eastAsia="宋体" w:cs="宋体"/>
          <w:b w:val="0"/>
          <w:bCs w:val="0"/>
          <w:sz w:val="28"/>
          <w:szCs w:val="28"/>
        </w:rPr>
        <w:t>201</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年度扶贫资金绩效考评自评情况的报告</w:t>
      </w:r>
    </w:p>
    <w:p w14:paraId="16B9B916">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二、2019年中央补助地方公共文化服务体系建设专项资金自评的报告</w:t>
      </w:r>
    </w:p>
    <w:p w14:paraId="2F22CE3D">
      <w:pPr>
        <w:spacing w:line="600" w:lineRule="exact"/>
        <w:jc w:val="both"/>
        <w:rPr>
          <w:rFonts w:hint="eastAsia" w:ascii="宋体" w:hAnsi="宋体" w:eastAsia="宋体" w:cs="宋体"/>
          <w:b w:val="0"/>
          <w:bCs w:val="0"/>
          <w:spacing w:val="0"/>
          <w:w w:val="100"/>
          <w:sz w:val="28"/>
          <w:szCs w:val="28"/>
          <w:highlight w:val="none"/>
        </w:rPr>
      </w:pPr>
      <w:r>
        <w:rPr>
          <w:rFonts w:hint="eastAsia" w:ascii="宋体" w:hAnsi="宋体" w:eastAsia="宋体" w:cs="宋体"/>
          <w:b w:val="0"/>
          <w:bCs w:val="0"/>
          <w:sz w:val="28"/>
          <w:szCs w:val="28"/>
          <w:lang w:val="en-US" w:eastAsia="zh-CN"/>
        </w:rPr>
        <w:t>三、</w:t>
      </w:r>
      <w:r>
        <w:rPr>
          <w:rFonts w:hint="eastAsia" w:ascii="宋体" w:hAnsi="宋体" w:eastAsia="宋体" w:cs="宋体"/>
          <w:b w:val="0"/>
          <w:bCs w:val="0"/>
          <w:spacing w:val="0"/>
          <w:w w:val="100"/>
          <w:sz w:val="28"/>
          <w:szCs w:val="28"/>
          <w:highlight w:val="none"/>
        </w:rPr>
        <w:t>201</w:t>
      </w:r>
      <w:r>
        <w:rPr>
          <w:rFonts w:hint="eastAsia" w:ascii="宋体" w:hAnsi="宋体" w:eastAsia="宋体" w:cs="宋体"/>
          <w:b w:val="0"/>
          <w:bCs w:val="0"/>
          <w:spacing w:val="0"/>
          <w:w w:val="100"/>
          <w:sz w:val="28"/>
          <w:szCs w:val="28"/>
          <w:highlight w:val="none"/>
          <w:lang w:val="en-US" w:eastAsia="zh-CN"/>
        </w:rPr>
        <w:t>9</w:t>
      </w:r>
      <w:r>
        <w:rPr>
          <w:rFonts w:hint="eastAsia" w:ascii="宋体" w:hAnsi="宋体" w:eastAsia="宋体" w:cs="宋体"/>
          <w:b w:val="0"/>
          <w:bCs w:val="0"/>
          <w:spacing w:val="0"/>
          <w:w w:val="100"/>
          <w:sz w:val="28"/>
          <w:szCs w:val="28"/>
          <w:highlight w:val="none"/>
        </w:rPr>
        <w:t>年产粮大县奖励资金使用情况绩效自评报告</w:t>
      </w:r>
    </w:p>
    <w:p w14:paraId="0AD2614E">
      <w:pPr>
        <w:numPr>
          <w:ilvl w:val="0"/>
          <w:numId w:val="1"/>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滑县公交财政补贴资金项目</w:t>
      </w:r>
    </w:p>
    <w:p w14:paraId="7D778D9F">
      <w:pPr>
        <w:spacing w:afterLines="50" w:line="360" w:lineRule="auto"/>
        <w:jc w:val="both"/>
        <w:rPr>
          <w:rFonts w:hint="eastAsia" w:ascii="宋体" w:hAnsi="宋体" w:eastAsia="宋体" w:cs="宋体"/>
          <w:b w:val="0"/>
          <w:bCs w:val="0"/>
          <w:color w:val="000000"/>
          <w:kern w:val="0"/>
          <w:sz w:val="28"/>
          <w:szCs w:val="28"/>
        </w:rPr>
      </w:pPr>
      <w:r>
        <w:rPr>
          <w:rFonts w:hint="eastAsia" w:ascii="宋体" w:hAnsi="宋体" w:eastAsia="宋体" w:cs="宋体"/>
          <w:b w:val="0"/>
          <w:bCs w:val="0"/>
          <w:color w:val="000000"/>
          <w:kern w:val="0"/>
          <w:sz w:val="28"/>
          <w:szCs w:val="28"/>
          <w:lang w:val="en-US" w:eastAsia="zh-CN"/>
        </w:rPr>
        <w:t>五、</w:t>
      </w:r>
      <w:r>
        <w:rPr>
          <w:rFonts w:hint="eastAsia" w:ascii="宋体" w:hAnsi="宋体" w:eastAsia="宋体" w:cs="宋体"/>
          <w:b w:val="0"/>
          <w:bCs w:val="0"/>
          <w:color w:val="000000"/>
          <w:kern w:val="0"/>
          <w:sz w:val="28"/>
          <w:szCs w:val="28"/>
        </w:rPr>
        <w:t>滑县2018-2019年度农村生活垃圾清运绩效评价报告</w:t>
      </w:r>
    </w:p>
    <w:p w14:paraId="5DBD234D">
      <w:pPr>
        <w:spacing w:line="360" w:lineRule="auto"/>
        <w:rPr>
          <w:rFonts w:hint="eastAsia" w:ascii="宋体" w:hAnsi="宋体" w:eastAsia="宋体" w:cs="宋体"/>
          <w:b w:val="0"/>
          <w:bCs w:val="0"/>
          <w:sz w:val="28"/>
          <w:szCs w:val="28"/>
        </w:rPr>
      </w:pPr>
    </w:p>
    <w:p w14:paraId="183041CC">
      <w:pPr>
        <w:pStyle w:val="2"/>
        <w:numPr>
          <w:ilvl w:val="0"/>
          <w:numId w:val="0"/>
        </w:numPr>
        <w:rPr>
          <w:rFonts w:hint="eastAsia" w:ascii="宋体" w:hAnsi="宋体" w:eastAsia="宋体" w:cs="宋体"/>
          <w:b w:val="0"/>
          <w:bCs w:val="0"/>
          <w:sz w:val="28"/>
          <w:szCs w:val="28"/>
          <w:lang w:val="en-US" w:eastAsia="zh-CN"/>
        </w:rPr>
      </w:pPr>
    </w:p>
    <w:p w14:paraId="0F28EF28">
      <w:pPr>
        <w:jc w:val="center"/>
        <w:rPr>
          <w:rFonts w:hint="eastAsia" w:ascii="宋体" w:hAnsi="宋体" w:eastAsia="宋体" w:cs="宋体"/>
          <w:b w:val="0"/>
          <w:bCs w:val="0"/>
          <w:color w:val="000000" w:themeColor="text1"/>
          <w:sz w:val="36"/>
          <w:szCs w:val="36"/>
          <w14:textFill>
            <w14:solidFill>
              <w14:schemeClr w14:val="tx1"/>
            </w14:solidFill>
          </w14:textFill>
        </w:rPr>
      </w:pPr>
    </w:p>
    <w:p w14:paraId="62AC7730">
      <w:pPr>
        <w:pStyle w:val="2"/>
        <w:rPr>
          <w:rFonts w:hint="eastAsia" w:ascii="宋体" w:hAnsi="宋体" w:eastAsia="宋体" w:cs="宋体"/>
          <w:b w:val="0"/>
          <w:bCs w:val="0"/>
          <w:lang w:val="en-US" w:eastAsia="zh-CN"/>
        </w:rPr>
      </w:pPr>
    </w:p>
    <w:p w14:paraId="379FF702">
      <w:pPr>
        <w:spacing w:line="600" w:lineRule="exact"/>
        <w:jc w:val="left"/>
        <w:rPr>
          <w:rFonts w:eastAsia="仿宋_GB2312"/>
          <w:spacing w:val="0"/>
          <w:w w:val="100"/>
          <w:sz w:val="32"/>
          <w:szCs w:val="32"/>
        </w:rPr>
      </w:pPr>
    </w:p>
    <w:p w14:paraId="3C1BC160">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Times New Roman" w:hAnsi="Times New Roman" w:eastAsia="方正小标宋简体" w:cs="Times New Roman"/>
          <w:sz w:val="44"/>
          <w:szCs w:val="44"/>
          <w:lang w:val="en-US" w:eastAsia="zh-CN"/>
        </w:rPr>
      </w:pPr>
    </w:p>
    <w:p w14:paraId="1B4ABEB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14:paraId="31B48B7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14:paraId="7C203B7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14:paraId="2375028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14:paraId="2A2205A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14:paraId="4F92776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14:paraId="66CF48C1">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sz w:val="44"/>
          <w:szCs w:val="44"/>
        </w:rPr>
      </w:pPr>
    </w:p>
    <w:p w14:paraId="3BEE365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sz w:val="30"/>
          <w:szCs w:val="30"/>
          <w:lang w:val="en-US" w:eastAsia="zh-CN"/>
        </w:rPr>
      </w:pPr>
      <w:r>
        <w:rPr>
          <w:rFonts w:hint="eastAsia" w:eastAsia="方正小标宋简体" w:cs="Times New Roman"/>
          <w:sz w:val="30"/>
          <w:szCs w:val="30"/>
          <w:lang w:val="en-US" w:eastAsia="zh-CN"/>
        </w:rPr>
        <w:t>附件1：</w:t>
      </w:r>
    </w:p>
    <w:p w14:paraId="54A181F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滑县财政局  滑县扶贫办</w:t>
      </w:r>
    </w:p>
    <w:p w14:paraId="46C5A46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关于呈送201</w:t>
      </w:r>
      <w:r>
        <w:rPr>
          <w:rFonts w:hint="default" w:ascii="Times New Roman" w:hAnsi="Times New Roman" w:eastAsia="方正小标宋简体" w:cs="Times New Roman"/>
          <w:sz w:val="44"/>
          <w:szCs w:val="44"/>
          <w:lang w:val="en-US" w:eastAsia="zh-CN"/>
        </w:rPr>
        <w:t>9</w:t>
      </w:r>
      <w:r>
        <w:rPr>
          <w:rFonts w:hint="default" w:ascii="Times New Roman" w:hAnsi="Times New Roman" w:eastAsia="方正小标宋简体" w:cs="Times New Roman"/>
          <w:sz w:val="44"/>
          <w:szCs w:val="44"/>
        </w:rPr>
        <w:t>年度扶贫资金绩效考评</w:t>
      </w:r>
    </w:p>
    <w:p w14:paraId="47BAD518">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自评情况的报告</w:t>
      </w:r>
    </w:p>
    <w:p w14:paraId="54DBE99C">
      <w:pPr>
        <w:keepNext w:val="0"/>
        <w:keepLines w:val="0"/>
        <w:pageBreakBefore w:val="0"/>
        <w:widowControl w:val="0"/>
        <w:kinsoku/>
        <w:wordWrap/>
        <w:overflowPunct w:val="0"/>
        <w:topLinePunct w:val="0"/>
        <w:autoSpaceDE/>
        <w:autoSpaceDN/>
        <w:bidi w:val="0"/>
        <w:adjustRightInd/>
        <w:snapToGrid/>
        <w:spacing w:line="400" w:lineRule="exact"/>
        <w:ind w:right="0"/>
        <w:jc w:val="left"/>
        <w:textAlignment w:val="auto"/>
        <w:rPr>
          <w:rFonts w:hint="default" w:ascii="Times New Roman" w:hAnsi="Times New Roman" w:eastAsia="仿宋_GB2312" w:cs="Times New Roman"/>
          <w:sz w:val="32"/>
          <w:szCs w:val="32"/>
        </w:rPr>
      </w:pPr>
    </w:p>
    <w:p w14:paraId="13687996">
      <w:pPr>
        <w:keepNext w:val="0"/>
        <w:keepLines w:val="0"/>
        <w:pageBreakBefore w:val="0"/>
        <w:widowControl w:val="0"/>
        <w:kinsoku/>
        <w:wordWrap/>
        <w:overflowPunct w:val="0"/>
        <w:topLinePunct w:val="0"/>
        <w:autoSpaceDE/>
        <w:autoSpaceDN/>
        <w:bidi w:val="0"/>
        <w:adjustRightInd/>
        <w:snapToGrid/>
        <w:spacing w:line="540" w:lineRule="exact"/>
        <w:ind w:right="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财政</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扶贫办：</w:t>
      </w:r>
    </w:p>
    <w:p w14:paraId="6922CB63">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按照省财政厅、省扶贫办关于做好2019年度扶贫资金绩效评价工作的有关要求，根据《河南省财政厅 河南省扶贫开发办公室关于调整河南财政扶贫资金绩效评价指标评分表》的通知（豫财农综〔2019〕14号）有关规定，滑县认真安排部署考评工作，现将自评情况报告如下。</w:t>
      </w:r>
    </w:p>
    <w:p w14:paraId="5729B7E5">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一、扶贫资金绩效考评开展情况</w:t>
      </w:r>
    </w:p>
    <w:p w14:paraId="0BB4B27D">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一是认真学习</w:t>
      </w:r>
      <w:r>
        <w:rPr>
          <w:rFonts w:hint="default" w:ascii="Times New Roman" w:hAnsi="Times New Roman" w:eastAsia="仿宋_GB2312" w:cs="Times New Roman"/>
          <w:b/>
          <w:bCs/>
          <w:color w:val="auto"/>
          <w:sz w:val="32"/>
          <w:szCs w:val="32"/>
          <w:highlight w:val="none"/>
          <w:lang w:eastAsia="zh-CN"/>
        </w:rPr>
        <w:t>相关政策要求。</w:t>
      </w:r>
      <w:r>
        <w:rPr>
          <w:rFonts w:hint="default" w:ascii="Times New Roman" w:hAnsi="Times New Roman" w:eastAsia="仿宋_GB2312" w:cs="Times New Roman"/>
          <w:color w:val="auto"/>
          <w:sz w:val="32"/>
          <w:szCs w:val="32"/>
          <w:highlight w:val="none"/>
          <w:lang w:eastAsia="zh-CN"/>
        </w:rPr>
        <w:t>传达学习全省财政扶贫资金绩效评价培训班内容，</w:t>
      </w:r>
      <w:r>
        <w:rPr>
          <w:rFonts w:hint="default" w:ascii="Times New Roman" w:hAnsi="Times New Roman" w:eastAsia="仿宋_GB2312" w:cs="Times New Roman"/>
          <w:color w:val="auto"/>
          <w:sz w:val="32"/>
          <w:szCs w:val="32"/>
          <w:highlight w:val="none"/>
        </w:rPr>
        <w:t>认真研究考评办法、主要指标及解释。</w:t>
      </w:r>
      <w:r>
        <w:rPr>
          <w:rFonts w:hint="default" w:ascii="Times New Roman" w:hAnsi="Times New Roman" w:eastAsia="仿宋_GB2312" w:cs="Times New Roman"/>
          <w:b/>
          <w:bCs/>
          <w:color w:val="auto"/>
          <w:sz w:val="32"/>
          <w:szCs w:val="32"/>
          <w:highlight w:val="none"/>
        </w:rPr>
        <w:t>二是部署考评工作。</w:t>
      </w:r>
      <w:r>
        <w:rPr>
          <w:rFonts w:hint="default" w:ascii="Times New Roman" w:hAnsi="Times New Roman" w:eastAsia="仿宋_GB2312" w:cs="Times New Roman"/>
          <w:color w:val="auto"/>
          <w:sz w:val="32"/>
          <w:szCs w:val="32"/>
          <w:highlight w:val="none"/>
        </w:rPr>
        <w:t>召开专题会议，根据考核办法及主要指标内容，将任务分解到乡镇和县直有关单位，明确专人负责，确保数据的可靠性和资料的完整性。</w:t>
      </w:r>
      <w:r>
        <w:rPr>
          <w:rFonts w:hint="default" w:ascii="Times New Roman" w:hAnsi="Times New Roman" w:eastAsia="仿宋_GB2312" w:cs="Times New Roman"/>
          <w:b/>
          <w:bCs/>
          <w:color w:val="auto"/>
          <w:sz w:val="32"/>
          <w:szCs w:val="32"/>
          <w:highlight w:val="none"/>
        </w:rPr>
        <w:t>三是撰写自评报告。</w:t>
      </w:r>
      <w:r>
        <w:rPr>
          <w:rFonts w:hint="default" w:ascii="Times New Roman" w:hAnsi="Times New Roman" w:eastAsia="仿宋_GB2312" w:cs="Times New Roman"/>
          <w:color w:val="auto"/>
          <w:sz w:val="32"/>
          <w:szCs w:val="32"/>
          <w:highlight w:val="none"/>
        </w:rPr>
        <w:t>依据考核办法和指标，根据收集的证明材料，认真撰写自评报告</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确保我县201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年度财政专项扶贫资金绩效考评工作内容丰富、数据详实、合理规范、科学严谨。</w:t>
      </w:r>
    </w:p>
    <w:p w14:paraId="098716DD">
      <w:pPr>
        <w:keepNext w:val="0"/>
        <w:keepLines w:val="0"/>
        <w:pageBreakBefore w:val="0"/>
        <w:widowControl w:val="0"/>
        <w:numPr>
          <w:ilvl w:val="0"/>
          <w:numId w:val="2"/>
        </w:numPr>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财政专项扶贫资金投入及使用成效</w:t>
      </w:r>
    </w:p>
    <w:p w14:paraId="0656934A">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财政专项扶贫资金投入规模为</w:t>
      </w:r>
      <w:r>
        <w:rPr>
          <w:rFonts w:hint="default" w:ascii="Times New Roman" w:hAnsi="Times New Roman" w:eastAsia="仿宋_GB2312" w:cs="Times New Roman"/>
          <w:color w:val="auto"/>
          <w:sz w:val="32"/>
          <w:szCs w:val="32"/>
          <w:highlight w:val="none"/>
          <w:lang w:val="en-US" w:eastAsia="zh-CN"/>
        </w:rPr>
        <w:t>11685.33</w:t>
      </w:r>
      <w:r>
        <w:rPr>
          <w:rFonts w:hint="default" w:ascii="Times New Roman" w:hAnsi="Times New Roman" w:eastAsia="仿宋_GB2312" w:cs="Times New Roman"/>
          <w:color w:val="auto"/>
          <w:sz w:val="32"/>
          <w:szCs w:val="32"/>
          <w:highlight w:val="none"/>
        </w:rPr>
        <w:t>万元，其中统筹整合用于脱贫攻坚项目资金</w:t>
      </w:r>
      <w:r>
        <w:rPr>
          <w:rFonts w:hint="default" w:ascii="Times New Roman" w:hAnsi="Times New Roman" w:eastAsia="仿宋_GB2312" w:cs="Times New Roman"/>
          <w:color w:val="auto"/>
          <w:sz w:val="32"/>
          <w:szCs w:val="32"/>
          <w:highlight w:val="none"/>
          <w:lang w:val="en-US" w:eastAsia="zh-CN"/>
        </w:rPr>
        <w:t>10469.33</w:t>
      </w:r>
      <w:r>
        <w:rPr>
          <w:rFonts w:hint="default" w:ascii="Times New Roman" w:hAnsi="Times New Roman" w:eastAsia="仿宋_GB2312" w:cs="Times New Roman"/>
          <w:color w:val="auto"/>
          <w:sz w:val="32"/>
          <w:szCs w:val="32"/>
          <w:highlight w:val="none"/>
        </w:rPr>
        <w:t>万元，扶贫工作经费</w:t>
      </w:r>
      <w:r>
        <w:rPr>
          <w:rFonts w:hint="default" w:ascii="Times New Roman" w:hAnsi="Times New Roman" w:eastAsia="仿宋_GB2312" w:cs="Times New Roman"/>
          <w:color w:val="auto"/>
          <w:sz w:val="32"/>
          <w:szCs w:val="32"/>
          <w:highlight w:val="none"/>
          <w:lang w:val="en-US" w:eastAsia="zh-CN"/>
        </w:rPr>
        <w:t>1216</w:t>
      </w:r>
      <w:r>
        <w:rPr>
          <w:rFonts w:hint="default" w:ascii="Times New Roman" w:hAnsi="Times New Roman" w:eastAsia="仿宋_GB2312" w:cs="Times New Roman"/>
          <w:color w:val="auto"/>
          <w:sz w:val="32"/>
          <w:szCs w:val="32"/>
          <w:highlight w:val="none"/>
        </w:rPr>
        <w:t>万元。</w:t>
      </w:r>
    </w:p>
    <w:p w14:paraId="45E61896">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（一）财政专项扶贫资金投入</w:t>
      </w:r>
    </w:p>
    <w:p w14:paraId="5DD06D2D">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1．中省财政专项扶贫资金。</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上级下达我县财政专项扶贫资金共计</w:t>
      </w:r>
      <w:r>
        <w:rPr>
          <w:rFonts w:hint="default" w:ascii="Times New Roman" w:hAnsi="Times New Roman" w:eastAsia="仿宋_GB2312" w:cs="Times New Roman"/>
          <w:color w:val="auto"/>
          <w:sz w:val="32"/>
          <w:szCs w:val="32"/>
          <w:highlight w:val="none"/>
          <w:lang w:val="en-US" w:eastAsia="zh-CN"/>
        </w:rPr>
        <w:t>8337</w:t>
      </w:r>
      <w:r>
        <w:rPr>
          <w:rFonts w:hint="default" w:ascii="Times New Roman" w:hAnsi="Times New Roman" w:eastAsia="仿宋_GB2312" w:cs="Times New Roman"/>
          <w:color w:val="auto"/>
          <w:sz w:val="32"/>
          <w:szCs w:val="32"/>
          <w:highlight w:val="none"/>
        </w:rPr>
        <w:t>万元。其中中央资金</w:t>
      </w:r>
      <w:r>
        <w:rPr>
          <w:rFonts w:hint="default" w:ascii="Times New Roman" w:hAnsi="Times New Roman" w:eastAsia="仿宋_GB2312" w:cs="Times New Roman"/>
          <w:color w:val="auto"/>
          <w:sz w:val="32"/>
          <w:szCs w:val="32"/>
          <w:highlight w:val="none"/>
          <w:lang w:val="en-US" w:eastAsia="zh-CN"/>
        </w:rPr>
        <w:t>7942</w:t>
      </w:r>
      <w:r>
        <w:rPr>
          <w:rFonts w:hint="default" w:ascii="Times New Roman" w:hAnsi="Times New Roman" w:eastAsia="仿宋_GB2312" w:cs="Times New Roman"/>
          <w:color w:val="auto"/>
          <w:sz w:val="32"/>
          <w:szCs w:val="32"/>
          <w:highlight w:val="none"/>
        </w:rPr>
        <w:t>万元，省级资金</w:t>
      </w:r>
      <w:r>
        <w:rPr>
          <w:rFonts w:hint="default" w:ascii="Times New Roman" w:hAnsi="Times New Roman" w:eastAsia="仿宋_GB2312" w:cs="Times New Roman"/>
          <w:color w:val="auto"/>
          <w:sz w:val="32"/>
          <w:szCs w:val="32"/>
          <w:highlight w:val="none"/>
          <w:lang w:val="en-US" w:eastAsia="zh-CN"/>
        </w:rPr>
        <w:t>395</w:t>
      </w:r>
      <w:r>
        <w:rPr>
          <w:rFonts w:hint="default" w:ascii="Times New Roman" w:hAnsi="Times New Roman" w:eastAsia="仿宋_GB2312" w:cs="Times New Roman"/>
          <w:color w:val="auto"/>
          <w:sz w:val="32"/>
          <w:szCs w:val="32"/>
          <w:highlight w:val="none"/>
        </w:rPr>
        <w:t>万元。</w:t>
      </w:r>
    </w:p>
    <w:p w14:paraId="65C1C11C">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2．县本级财政专项扶贫资金。</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滑县本级安排财政专项扶贫资金</w:t>
      </w:r>
      <w:r>
        <w:rPr>
          <w:rFonts w:hint="default" w:ascii="Times New Roman" w:hAnsi="Times New Roman" w:eastAsia="仿宋_GB2312" w:cs="Times New Roman"/>
          <w:color w:val="auto"/>
          <w:sz w:val="32"/>
          <w:szCs w:val="32"/>
          <w:highlight w:val="none"/>
          <w:lang w:val="en-US" w:eastAsia="zh-CN"/>
        </w:rPr>
        <w:t>3348.33</w:t>
      </w:r>
      <w:r>
        <w:rPr>
          <w:rFonts w:hint="default" w:ascii="Times New Roman" w:hAnsi="Times New Roman" w:eastAsia="仿宋_GB2312" w:cs="Times New Roman"/>
          <w:color w:val="auto"/>
          <w:sz w:val="32"/>
          <w:szCs w:val="32"/>
          <w:highlight w:val="none"/>
        </w:rPr>
        <w:t>万元。</w:t>
      </w:r>
    </w:p>
    <w:p w14:paraId="192BF80D">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（二）财政专项扶贫资金使用成效</w:t>
      </w:r>
    </w:p>
    <w:p w14:paraId="5F6611A9">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按照《河南省开展统筹整合使用财政涉农资金试点实施办法》（豫办</w:t>
      </w:r>
      <w:r>
        <w:rPr>
          <w:rFonts w:hint="default" w:ascii="Times New Roman" w:hAnsi="Times New Roman" w:cs="Times New Roman"/>
          <w:color w:val="auto"/>
          <w:sz w:val="32"/>
          <w:szCs w:val="32"/>
          <w:highlight w:val="none"/>
        </w:rPr>
        <w:t>﹝</w:t>
      </w:r>
      <w:r>
        <w:rPr>
          <w:rFonts w:hint="default" w:ascii="Times New Roman" w:hAnsi="Times New Roman" w:eastAsia="仿宋_GB2312" w:cs="Times New Roman"/>
          <w:color w:val="auto"/>
          <w:sz w:val="32"/>
          <w:szCs w:val="32"/>
          <w:highlight w:val="none"/>
        </w:rPr>
        <w:t>2016</w:t>
      </w:r>
      <w:r>
        <w:rPr>
          <w:rFonts w:hint="default" w:ascii="Times New Roman" w:hAnsi="Times New Roman" w:cs="Times New Roman"/>
          <w:color w:val="auto"/>
          <w:sz w:val="32"/>
          <w:szCs w:val="32"/>
          <w:highlight w:val="none"/>
        </w:rPr>
        <w:t>﹞</w:t>
      </w:r>
      <w:r>
        <w:rPr>
          <w:rFonts w:hint="default" w:ascii="Times New Roman" w:hAnsi="Times New Roman" w:eastAsia="仿宋_GB2312" w:cs="Times New Roman"/>
          <w:color w:val="auto"/>
          <w:sz w:val="32"/>
          <w:szCs w:val="32"/>
          <w:highlight w:val="none"/>
        </w:rPr>
        <w:t>28号）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脱贫攻坚规划》</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统筹整合财政涉农资金实施方案》，为保证</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脱贫目标的圆满完成，滑县充分利用省政府赋予我县统筹整合使用财政涉农资金的自主权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积极整合县本级财力，形成了“多个渠道引水、一个龙头放水”的扶贫投入新格局。滑县将</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财政专项扶贫资金</w:t>
      </w:r>
      <w:r>
        <w:rPr>
          <w:rFonts w:hint="default" w:ascii="Times New Roman" w:hAnsi="Times New Roman" w:eastAsia="仿宋_GB2312" w:cs="Times New Roman"/>
          <w:color w:val="auto"/>
          <w:sz w:val="32"/>
          <w:szCs w:val="32"/>
          <w:highlight w:val="none"/>
          <w:lang w:val="en-US" w:eastAsia="zh-CN"/>
        </w:rPr>
        <w:t>11685.33</w:t>
      </w:r>
      <w:r>
        <w:rPr>
          <w:rFonts w:hint="default" w:ascii="Times New Roman" w:hAnsi="Times New Roman" w:eastAsia="仿宋_GB2312" w:cs="Times New Roman"/>
          <w:color w:val="auto"/>
          <w:sz w:val="32"/>
          <w:szCs w:val="32"/>
          <w:highlight w:val="none"/>
        </w:rPr>
        <w:t>万元纳入统筹整合资金统一分配使用。</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财政专项扶贫资金</w:t>
      </w:r>
      <w:r>
        <w:rPr>
          <w:rFonts w:hint="default" w:ascii="Times New Roman" w:hAnsi="Times New Roman" w:eastAsia="仿宋_GB2312" w:cs="Times New Roman"/>
          <w:color w:val="auto"/>
          <w:sz w:val="32"/>
          <w:szCs w:val="32"/>
          <w:highlight w:val="none"/>
          <w:lang w:eastAsia="zh-CN"/>
        </w:rPr>
        <w:t>重点</w:t>
      </w:r>
      <w:r>
        <w:rPr>
          <w:rFonts w:hint="default" w:ascii="Times New Roman" w:hAnsi="Times New Roman" w:eastAsia="仿宋_GB2312" w:cs="Times New Roman"/>
          <w:color w:val="auto"/>
          <w:sz w:val="32"/>
          <w:szCs w:val="32"/>
          <w:highlight w:val="none"/>
        </w:rPr>
        <w:t>投向贫困村、贫困人口，用于基础设施的改善、产业发展能力的提高等。项目资金主要用于</w:t>
      </w:r>
      <w:r>
        <w:rPr>
          <w:rFonts w:hint="default" w:ascii="Times New Roman" w:hAnsi="Times New Roman" w:eastAsia="仿宋_GB2312" w:cs="Times New Roman"/>
          <w:color w:val="auto"/>
          <w:sz w:val="32"/>
          <w:szCs w:val="32"/>
          <w:highlight w:val="none"/>
          <w:lang w:eastAsia="zh-CN"/>
        </w:rPr>
        <w:t>基础设施、</w:t>
      </w:r>
      <w:r>
        <w:rPr>
          <w:rFonts w:hint="default" w:ascii="Times New Roman" w:hAnsi="Times New Roman" w:eastAsia="仿宋_GB2312" w:cs="Times New Roman"/>
          <w:color w:val="auto"/>
          <w:sz w:val="32"/>
          <w:szCs w:val="32"/>
          <w:highlight w:val="none"/>
        </w:rPr>
        <w:t>产业扶贫贷款贴息项目、小额贷款贴息项目、雨露计划职业教育助学补助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雨露计划短期技能培训补助等。主要项目效益发挥如下：</w:t>
      </w:r>
    </w:p>
    <w:p w14:paraId="56B0DB71">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滑县共投入中央、省、县本级财政专项扶贫资金</w:t>
      </w:r>
      <w:r>
        <w:rPr>
          <w:rFonts w:hint="default" w:ascii="Times New Roman" w:hAnsi="Times New Roman" w:eastAsia="仿宋_GB2312" w:cs="Times New Roman"/>
          <w:color w:val="auto"/>
          <w:sz w:val="32"/>
          <w:szCs w:val="32"/>
          <w:highlight w:val="none"/>
          <w:lang w:val="en-US" w:eastAsia="zh-CN"/>
        </w:rPr>
        <w:t>11685.33</w:t>
      </w:r>
      <w:r>
        <w:rPr>
          <w:rFonts w:hint="default" w:ascii="Times New Roman" w:hAnsi="Times New Roman" w:eastAsia="仿宋_GB2312" w:cs="Times New Roman"/>
          <w:color w:val="auto"/>
          <w:sz w:val="32"/>
          <w:szCs w:val="32"/>
          <w:highlight w:val="none"/>
        </w:rPr>
        <w:t>万元，用于</w:t>
      </w:r>
      <w:r>
        <w:rPr>
          <w:rFonts w:hint="default" w:ascii="Times New Roman" w:hAnsi="Times New Roman" w:eastAsia="仿宋_GB2312" w:cs="Times New Roman"/>
          <w:color w:val="auto"/>
          <w:sz w:val="32"/>
          <w:szCs w:val="32"/>
          <w:highlight w:val="none"/>
          <w:lang w:val="en-US" w:eastAsia="zh-CN"/>
        </w:rPr>
        <w:t>201</w:t>
      </w:r>
      <w:r>
        <w:rPr>
          <w:rFonts w:hint="default" w:ascii="Times New Roman" w:hAnsi="Times New Roman" w:eastAsia="仿宋_GB2312" w:cs="Times New Roman"/>
          <w:color w:val="auto"/>
          <w:sz w:val="32"/>
          <w:szCs w:val="32"/>
          <w:highlight w:val="none"/>
        </w:rPr>
        <w:t>个项目</w:t>
      </w:r>
      <w:r>
        <w:rPr>
          <w:rFonts w:hint="eastAsia" w:eastAsia="仿宋_GB2312" w:cs="Times New Roman"/>
          <w:color w:val="auto"/>
          <w:sz w:val="32"/>
          <w:szCs w:val="32"/>
          <w:highlight w:val="none"/>
          <w:lang w:eastAsia="zh-CN"/>
        </w:rPr>
        <w:t>建设</w:t>
      </w:r>
      <w:r>
        <w:rPr>
          <w:rFonts w:hint="default" w:ascii="Times New Roman" w:hAnsi="Times New Roman" w:eastAsia="仿宋_GB2312" w:cs="Times New Roman"/>
          <w:color w:val="auto"/>
          <w:sz w:val="32"/>
          <w:szCs w:val="32"/>
          <w:highlight w:val="none"/>
        </w:rPr>
        <w:t>，其中基础设施建设项目</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color w:val="auto"/>
          <w:sz w:val="32"/>
          <w:szCs w:val="32"/>
          <w:highlight w:val="none"/>
        </w:rPr>
        <w:t>个，安排资金</w:t>
      </w:r>
      <w:r>
        <w:rPr>
          <w:rFonts w:hint="default" w:ascii="Times New Roman" w:hAnsi="Times New Roman" w:eastAsia="仿宋_GB2312" w:cs="Times New Roman"/>
          <w:color w:val="auto"/>
          <w:sz w:val="32"/>
          <w:szCs w:val="32"/>
          <w:highlight w:val="none"/>
          <w:lang w:val="en-US" w:eastAsia="zh-CN"/>
        </w:rPr>
        <w:t>9730.26</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生产发展</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个，安排资金</w:t>
      </w:r>
      <w:r>
        <w:rPr>
          <w:rFonts w:hint="default" w:ascii="Times New Roman" w:hAnsi="Times New Roman" w:eastAsia="仿宋_GB2312" w:cs="Times New Roman"/>
          <w:color w:val="auto"/>
          <w:sz w:val="32"/>
          <w:szCs w:val="32"/>
          <w:highlight w:val="none"/>
          <w:lang w:val="en-US" w:eastAsia="zh-CN"/>
        </w:rPr>
        <w:t>739.07</w:t>
      </w:r>
      <w:r>
        <w:rPr>
          <w:rFonts w:hint="default" w:ascii="Times New Roman" w:hAnsi="Times New Roman" w:eastAsia="仿宋_GB2312" w:cs="Times New Roman"/>
          <w:color w:val="auto"/>
          <w:sz w:val="32"/>
          <w:szCs w:val="32"/>
          <w:highlight w:val="none"/>
        </w:rPr>
        <w:t>万元；信息化建设、建档立卡、统计监测等项目（含项目管理费）等1个，安排资金</w:t>
      </w:r>
      <w:r>
        <w:rPr>
          <w:rFonts w:hint="default" w:ascii="Times New Roman" w:hAnsi="Times New Roman" w:eastAsia="仿宋_GB2312" w:cs="Times New Roman"/>
          <w:color w:val="auto"/>
          <w:sz w:val="32"/>
          <w:szCs w:val="32"/>
          <w:highlight w:val="none"/>
          <w:lang w:val="en-US" w:eastAsia="zh-CN"/>
        </w:rPr>
        <w:t>1216</w:t>
      </w:r>
      <w:r>
        <w:rPr>
          <w:rFonts w:hint="default" w:ascii="Times New Roman" w:hAnsi="Times New Roman" w:eastAsia="仿宋_GB2312" w:cs="Times New Roman"/>
          <w:color w:val="auto"/>
          <w:sz w:val="32"/>
          <w:szCs w:val="32"/>
          <w:highlight w:val="none"/>
        </w:rPr>
        <w:t>万元。</w:t>
      </w:r>
    </w:p>
    <w:p w14:paraId="2EAD4341">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1．基础设施</w:t>
      </w:r>
      <w:r>
        <w:rPr>
          <w:rFonts w:hint="default" w:ascii="Times New Roman" w:hAnsi="Times New Roman" w:eastAsia="仿宋_GB2312" w:cs="Times New Roman"/>
          <w:b/>
          <w:bCs/>
          <w:color w:val="auto"/>
          <w:sz w:val="32"/>
          <w:szCs w:val="32"/>
          <w:highlight w:val="none"/>
          <w:lang w:val="en-US" w:eastAsia="zh-CN"/>
        </w:rPr>
        <w:t>类</w:t>
      </w:r>
      <w:r>
        <w:rPr>
          <w:rFonts w:hint="default" w:ascii="Times New Roman" w:hAnsi="Times New Roman" w:eastAsia="仿宋_GB2312" w:cs="Times New Roman"/>
          <w:b/>
          <w:bCs/>
          <w:color w:val="auto"/>
          <w:sz w:val="32"/>
          <w:szCs w:val="32"/>
          <w:highlight w:val="none"/>
        </w:rPr>
        <w:t>项目</w:t>
      </w:r>
    </w:p>
    <w:p w14:paraId="144149B5">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1</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道路硬化项目</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建设</w:t>
      </w:r>
      <w:r>
        <w:rPr>
          <w:rFonts w:hint="default" w:ascii="Times New Roman" w:hAnsi="Times New Roman" w:eastAsia="仿宋_GB2312" w:cs="Times New Roman"/>
          <w:color w:val="auto"/>
          <w:spacing w:val="0"/>
          <w:sz w:val="32"/>
          <w:highlight w:val="none"/>
          <w:lang w:eastAsia="zh-CN"/>
        </w:rPr>
        <w:t>水泥</w:t>
      </w:r>
      <w:r>
        <w:rPr>
          <w:rFonts w:hint="default" w:ascii="Times New Roman" w:hAnsi="Times New Roman" w:eastAsia="仿宋_GB2312" w:cs="Times New Roman"/>
          <w:color w:val="auto"/>
          <w:spacing w:val="0"/>
          <w:sz w:val="32"/>
          <w:highlight w:val="none"/>
        </w:rPr>
        <w:t>路224.4公里</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沥青混凝土路面2.93公里；铺设路沿石90.67公里；涉及留固镇、白道口镇、四间房镇等21个乡镇235个村。安排统筹整合</w:t>
      </w:r>
      <w:r>
        <w:rPr>
          <w:rFonts w:hint="default" w:ascii="Times New Roman" w:hAnsi="Times New Roman" w:eastAsia="仿宋_GB2312" w:cs="Times New Roman"/>
          <w:color w:val="auto"/>
          <w:spacing w:val="0"/>
          <w:sz w:val="32"/>
          <w:highlight w:val="none"/>
          <w:lang w:eastAsia="zh-CN"/>
        </w:rPr>
        <w:t>财政涉农</w:t>
      </w:r>
      <w:r>
        <w:rPr>
          <w:rFonts w:hint="default" w:ascii="Times New Roman" w:hAnsi="Times New Roman" w:eastAsia="仿宋_GB2312" w:cs="Times New Roman"/>
          <w:color w:val="auto"/>
          <w:spacing w:val="0"/>
          <w:sz w:val="32"/>
          <w:highlight w:val="none"/>
        </w:rPr>
        <w:t>资金12750.43万元</w:t>
      </w:r>
      <w:r>
        <w:rPr>
          <w:rFonts w:hint="default" w:ascii="Times New Roman" w:hAnsi="Times New Roman" w:eastAsia="仿宋_GB2312" w:cs="Times New Roman"/>
          <w:color w:val="auto"/>
          <w:spacing w:val="0"/>
          <w:sz w:val="32"/>
          <w:highlight w:val="none"/>
          <w:lang w:eastAsia="zh-CN"/>
        </w:rPr>
        <w:t>，其中中央财政专项扶贫资金</w:t>
      </w:r>
      <w:r>
        <w:rPr>
          <w:rFonts w:hint="default" w:ascii="Times New Roman" w:hAnsi="Times New Roman" w:eastAsia="仿宋_GB2312" w:cs="Times New Roman"/>
          <w:color w:val="auto"/>
          <w:spacing w:val="0"/>
          <w:sz w:val="32"/>
          <w:highlight w:val="none"/>
          <w:lang w:val="en-US" w:eastAsia="zh-CN"/>
        </w:rPr>
        <w:t>6024.45万元，县级财政专项扶贫资金2099.82万元</w:t>
      </w:r>
      <w:r>
        <w:rPr>
          <w:rFonts w:hint="default" w:ascii="Times New Roman" w:hAnsi="Times New Roman" w:eastAsia="仿宋_GB2312" w:cs="Times New Roman"/>
          <w:color w:val="auto"/>
          <w:spacing w:val="0"/>
          <w:sz w:val="32"/>
          <w:highlight w:val="none"/>
        </w:rPr>
        <w:t>。可以使10451户贫困户受益，方便群众出行。</w:t>
      </w:r>
    </w:p>
    <w:p w14:paraId="1EE08C56">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2</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雨水排水项目</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b w:val="0"/>
          <w:color w:val="auto"/>
          <w:spacing w:val="0"/>
          <w:sz w:val="32"/>
          <w:highlight w:val="none"/>
        </w:rPr>
        <w:t>铺设U型排水槽29153米</w:t>
      </w:r>
      <w:r>
        <w:rPr>
          <w:rFonts w:hint="default" w:ascii="Times New Roman" w:hAnsi="Times New Roman" w:eastAsia="仿宋_GB2312" w:cs="Times New Roman"/>
          <w:color w:val="auto"/>
          <w:spacing w:val="0"/>
          <w:sz w:val="32"/>
          <w:highlight w:val="none"/>
        </w:rPr>
        <w:t>，涉及枣村乡、老店镇等13个乡镇16个村。安排统筹整合</w:t>
      </w:r>
      <w:r>
        <w:rPr>
          <w:rFonts w:hint="default" w:ascii="Times New Roman" w:hAnsi="Times New Roman" w:eastAsia="仿宋_GB2312" w:cs="Times New Roman"/>
          <w:color w:val="auto"/>
          <w:spacing w:val="0"/>
          <w:sz w:val="32"/>
          <w:highlight w:val="none"/>
          <w:lang w:eastAsia="zh-CN"/>
        </w:rPr>
        <w:t>财政涉农</w:t>
      </w:r>
      <w:r>
        <w:rPr>
          <w:rFonts w:hint="default" w:ascii="Times New Roman" w:hAnsi="Times New Roman" w:eastAsia="仿宋_GB2312" w:cs="Times New Roman"/>
          <w:color w:val="auto"/>
          <w:spacing w:val="0"/>
          <w:sz w:val="32"/>
          <w:highlight w:val="none"/>
        </w:rPr>
        <w:t>资金349.69万元</w:t>
      </w:r>
      <w:r>
        <w:rPr>
          <w:rFonts w:hint="default" w:ascii="Times New Roman" w:hAnsi="Times New Roman" w:eastAsia="仿宋_GB2312" w:cs="Times New Roman"/>
          <w:color w:val="auto"/>
          <w:spacing w:val="0"/>
          <w:sz w:val="32"/>
          <w:highlight w:val="none"/>
          <w:lang w:eastAsia="zh-CN"/>
        </w:rPr>
        <w:t>，全部为中央财政专项扶贫资金</w:t>
      </w:r>
      <w:r>
        <w:rPr>
          <w:rFonts w:hint="default" w:ascii="Times New Roman" w:hAnsi="Times New Roman" w:eastAsia="仿宋_GB2312" w:cs="Times New Roman"/>
          <w:color w:val="auto"/>
          <w:spacing w:val="0"/>
          <w:sz w:val="32"/>
          <w:highlight w:val="none"/>
        </w:rPr>
        <w:t>。解决村内积水问题，便利村民出行，提高村民生活条件，改善村内生活环境，可使1075户贫困户受益，农民的生产生活环境显著改善。</w:t>
      </w:r>
    </w:p>
    <w:p w14:paraId="5228AD99">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3</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标准化公厕项目</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新建标准化公厕54座，</w:t>
      </w:r>
      <w:r>
        <w:rPr>
          <w:rFonts w:hint="default" w:ascii="Times New Roman" w:hAnsi="Times New Roman" w:eastAsia="仿宋_GB2312" w:cs="Times New Roman"/>
          <w:b w:val="0"/>
          <w:i w:val="0"/>
          <w:color w:val="auto"/>
          <w:spacing w:val="0"/>
          <w:sz w:val="32"/>
          <w:highlight w:val="none"/>
        </w:rPr>
        <w:t>按照建筑面积45-50平方米，男女厕位比配适当，达到建设标准进行建设，</w:t>
      </w:r>
      <w:r>
        <w:rPr>
          <w:rFonts w:hint="default" w:ascii="Times New Roman" w:hAnsi="Times New Roman" w:eastAsia="仿宋_GB2312" w:cs="Times New Roman"/>
          <w:color w:val="auto"/>
          <w:spacing w:val="0"/>
          <w:sz w:val="32"/>
          <w:highlight w:val="none"/>
        </w:rPr>
        <w:t>涉及枣村乡、四间房镇、白道口镇等21个乡镇54个村。安排统筹整合</w:t>
      </w:r>
      <w:r>
        <w:rPr>
          <w:rFonts w:hint="default" w:ascii="Times New Roman" w:hAnsi="Times New Roman" w:eastAsia="仿宋_GB2312" w:cs="Times New Roman"/>
          <w:color w:val="auto"/>
          <w:spacing w:val="0"/>
          <w:sz w:val="32"/>
          <w:highlight w:val="none"/>
          <w:lang w:eastAsia="zh-CN"/>
        </w:rPr>
        <w:t>财政涉农</w:t>
      </w:r>
      <w:r>
        <w:rPr>
          <w:rFonts w:hint="default" w:ascii="Times New Roman" w:hAnsi="Times New Roman" w:eastAsia="仿宋_GB2312" w:cs="Times New Roman"/>
          <w:color w:val="auto"/>
          <w:spacing w:val="0"/>
          <w:sz w:val="32"/>
          <w:highlight w:val="none"/>
        </w:rPr>
        <w:t>资金</w:t>
      </w:r>
      <w:r>
        <w:rPr>
          <w:rFonts w:hint="default" w:ascii="Times New Roman" w:hAnsi="Times New Roman" w:eastAsia="仿宋_GB2312" w:cs="Times New Roman"/>
          <w:color w:val="auto"/>
          <w:spacing w:val="0"/>
          <w:sz w:val="32"/>
          <w:highlight w:val="none"/>
          <w:lang w:val="en-US" w:eastAsia="zh-CN"/>
        </w:rPr>
        <w:t xml:space="preserve"> 805.26</w:t>
      </w:r>
      <w:r>
        <w:rPr>
          <w:rFonts w:hint="default" w:ascii="Times New Roman" w:hAnsi="Times New Roman" w:eastAsia="仿宋_GB2312" w:cs="Times New Roman"/>
          <w:color w:val="auto"/>
          <w:spacing w:val="0"/>
          <w:sz w:val="32"/>
          <w:highlight w:val="none"/>
        </w:rPr>
        <w:t>万</w:t>
      </w:r>
      <w:r>
        <w:rPr>
          <w:rFonts w:hint="default" w:ascii="Times New Roman" w:hAnsi="Times New Roman" w:eastAsia="仿宋_GB2312" w:cs="Times New Roman"/>
          <w:color w:val="auto"/>
          <w:spacing w:val="0"/>
          <w:sz w:val="32"/>
          <w:highlight w:val="none"/>
          <w:lang w:eastAsia="zh-CN"/>
        </w:rPr>
        <w:t>元，全部为中央财政专项扶贫资金</w:t>
      </w:r>
      <w:r>
        <w:rPr>
          <w:rFonts w:hint="default" w:ascii="Times New Roman" w:hAnsi="Times New Roman" w:eastAsia="仿宋_GB2312" w:cs="Times New Roman"/>
          <w:color w:val="auto"/>
          <w:spacing w:val="0"/>
          <w:sz w:val="32"/>
          <w:highlight w:val="none"/>
        </w:rPr>
        <w:t>。改善村庄形象，提高群众生活品质，惠及贫困户4015户。</w:t>
      </w:r>
    </w:p>
    <w:p w14:paraId="621AFD0C">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4</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危房改造项目</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为唯一住房是危房的建档立卡贫困户、农村分散供养特困人员、低保户、贫困残疾人家庭等4类重点对象311户实施农村危房改造。安排统筹整合</w:t>
      </w:r>
      <w:r>
        <w:rPr>
          <w:rFonts w:hint="default" w:ascii="Times New Roman" w:hAnsi="Times New Roman" w:eastAsia="仿宋_GB2312" w:cs="Times New Roman"/>
          <w:color w:val="auto"/>
          <w:spacing w:val="0"/>
          <w:sz w:val="32"/>
          <w:highlight w:val="none"/>
          <w:lang w:eastAsia="zh-CN"/>
        </w:rPr>
        <w:t>财政涉农</w:t>
      </w:r>
      <w:r>
        <w:rPr>
          <w:rFonts w:hint="default" w:ascii="Times New Roman" w:hAnsi="Times New Roman" w:eastAsia="仿宋_GB2312" w:cs="Times New Roman"/>
          <w:color w:val="auto"/>
          <w:spacing w:val="0"/>
          <w:sz w:val="32"/>
          <w:highlight w:val="none"/>
        </w:rPr>
        <w:t>资金451.04万</w:t>
      </w:r>
      <w:r>
        <w:rPr>
          <w:rFonts w:hint="default" w:ascii="Times New Roman" w:hAnsi="Times New Roman" w:eastAsia="仿宋_GB2312" w:cs="Times New Roman"/>
          <w:color w:val="auto"/>
          <w:spacing w:val="0"/>
          <w:sz w:val="32"/>
          <w:highlight w:val="none"/>
          <w:lang w:eastAsia="zh-CN"/>
        </w:rPr>
        <w:t>元，全部为中央财政专项扶贫资金</w:t>
      </w:r>
      <w:r>
        <w:rPr>
          <w:rFonts w:hint="default" w:ascii="Times New Roman" w:hAnsi="Times New Roman" w:eastAsia="仿宋_GB2312" w:cs="Times New Roman"/>
          <w:color w:val="auto"/>
          <w:spacing w:val="0"/>
          <w:sz w:val="32"/>
          <w:highlight w:val="none"/>
        </w:rPr>
        <w:t>。切实改善贫困群众住房条件、提升生活质量。</w:t>
      </w:r>
    </w:p>
    <w:p w14:paraId="668A1A34">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3" w:firstLineChars="200"/>
        <w:jc w:val="both"/>
        <w:textAlignment w:val="auto"/>
        <w:rPr>
          <w:rFonts w:hint="default" w:ascii="Times New Roman" w:hAnsi="Times New Roman" w:eastAsia="楷体_GB2312" w:cs="Times New Roman"/>
          <w:b w:val="0"/>
          <w:color w:val="auto"/>
          <w:spacing w:val="0"/>
          <w:sz w:val="32"/>
          <w:highlight w:val="none"/>
        </w:rPr>
      </w:pPr>
      <w:r>
        <w:rPr>
          <w:rFonts w:hint="default" w:ascii="Times New Roman" w:hAnsi="Times New Roman" w:eastAsia="仿宋_GB2312" w:cs="Times New Roman"/>
          <w:b/>
          <w:bCs/>
          <w:color w:val="auto"/>
          <w:spacing w:val="0"/>
          <w:sz w:val="32"/>
          <w:highlight w:val="none"/>
          <w:lang w:val="en-US" w:eastAsia="zh-CN"/>
        </w:rPr>
        <w:t>2</w:t>
      </w:r>
      <w:r>
        <w:rPr>
          <w:rFonts w:hint="default" w:ascii="Times New Roman" w:hAnsi="Times New Roman" w:eastAsia="仿宋_GB2312" w:cs="Times New Roman"/>
          <w:b/>
          <w:bCs/>
          <w:color w:val="auto"/>
          <w:spacing w:val="0"/>
          <w:sz w:val="32"/>
          <w:highlight w:val="none"/>
        </w:rPr>
        <w:t>．生产发展类项目</w:t>
      </w:r>
    </w:p>
    <w:p w14:paraId="0E5E48C7">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rPr>
        <w:t>（1）小额贷款贴息项目</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为建档立卡贫困户在金融机构申请的5万元以下、期限3年以内的扶贫信用贷款进行贴息。安排统筹整合财政涉农资金90万元</w:t>
      </w:r>
      <w:r>
        <w:rPr>
          <w:rFonts w:hint="default" w:ascii="Times New Roman" w:hAnsi="Times New Roman" w:eastAsia="仿宋_GB2312" w:cs="Times New Roman"/>
          <w:color w:val="auto"/>
          <w:spacing w:val="0"/>
          <w:sz w:val="32"/>
          <w:highlight w:val="none"/>
          <w:lang w:eastAsia="zh-CN"/>
        </w:rPr>
        <w:t>，全部为中央财政专项扶贫资金</w:t>
      </w:r>
      <w:r>
        <w:rPr>
          <w:rFonts w:hint="default" w:ascii="Times New Roman" w:hAnsi="Times New Roman" w:eastAsia="仿宋_GB2312" w:cs="Times New Roman"/>
          <w:color w:val="auto"/>
          <w:spacing w:val="0"/>
          <w:sz w:val="32"/>
          <w:highlight w:val="none"/>
        </w:rPr>
        <w:t>。解决建档立卡贫困户缺资金难题，带动900余户贫困户脱贫增收。</w:t>
      </w:r>
    </w:p>
    <w:p w14:paraId="6101D733">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2</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产业扶贫贷款贴息项目</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采取贷款贴息的方式,对符合项目扶持范围且用于发展生产的流动资金贷款和固定资产贷款进行贴息。按3%的利率贴息。安排统筹整合财政涉农资金</w:t>
      </w:r>
      <w:r>
        <w:rPr>
          <w:rFonts w:hint="default" w:ascii="Times New Roman" w:hAnsi="Times New Roman" w:eastAsia="仿宋_GB2312" w:cs="Times New Roman"/>
          <w:b w:val="0"/>
          <w:color w:val="auto"/>
          <w:spacing w:val="0"/>
          <w:sz w:val="32"/>
          <w:highlight w:val="none"/>
          <w:lang w:val="en-US" w:eastAsia="zh-CN"/>
        </w:rPr>
        <w:t>21.56</w:t>
      </w:r>
      <w:r>
        <w:rPr>
          <w:rFonts w:hint="default" w:ascii="Times New Roman" w:hAnsi="Times New Roman" w:eastAsia="仿宋_GB2312" w:cs="Times New Roman"/>
          <w:b w:val="0"/>
          <w:color w:val="auto"/>
          <w:spacing w:val="0"/>
          <w:sz w:val="32"/>
          <w:highlight w:val="none"/>
        </w:rPr>
        <w:t>万元</w:t>
      </w:r>
      <w:r>
        <w:rPr>
          <w:rFonts w:hint="default" w:ascii="Times New Roman" w:hAnsi="Times New Roman" w:eastAsia="仿宋_GB2312" w:cs="Times New Roman"/>
          <w:b w:val="0"/>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eastAsia="zh-CN"/>
        </w:rPr>
        <w:t>全部为中央财政专项扶贫资金</w:t>
      </w:r>
      <w:r>
        <w:rPr>
          <w:rFonts w:hint="default" w:ascii="Times New Roman" w:hAnsi="Times New Roman" w:eastAsia="仿宋_GB2312" w:cs="Times New Roman"/>
          <w:color w:val="auto"/>
          <w:spacing w:val="0"/>
          <w:sz w:val="32"/>
          <w:highlight w:val="none"/>
        </w:rPr>
        <w:t>。通过扶持辐射带动作用强、带贫效果突出的产业扶贫项目并对其实行贴息，提高贫困农民的自我发展能力，使更多的贫困农民从中受益。</w:t>
      </w:r>
    </w:p>
    <w:p w14:paraId="60B30D51">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3</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“雨露计划”职业教育助学补助</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对全县2018-2019学年接受中高等职业教育的建档立卡贫困学生进行补助；对2017年秋季学期以来应补未补学生进行补助；每生每学年补助3000元。安排统筹整合财政涉农资金540万元</w:t>
      </w:r>
      <w:r>
        <w:rPr>
          <w:rFonts w:hint="default" w:ascii="Times New Roman" w:hAnsi="Times New Roman" w:eastAsia="仿宋_GB2312" w:cs="Times New Roman"/>
          <w:color w:val="auto"/>
          <w:spacing w:val="0"/>
          <w:sz w:val="32"/>
          <w:highlight w:val="none"/>
          <w:lang w:eastAsia="zh-CN"/>
        </w:rPr>
        <w:t>，其中中央财政专项扶贫资金</w:t>
      </w:r>
      <w:r>
        <w:rPr>
          <w:rFonts w:hint="default" w:ascii="Times New Roman" w:hAnsi="Times New Roman" w:eastAsia="仿宋_GB2312" w:cs="Times New Roman"/>
          <w:color w:val="auto"/>
          <w:spacing w:val="0"/>
          <w:sz w:val="32"/>
          <w:highlight w:val="none"/>
          <w:lang w:val="en-US" w:eastAsia="zh-CN"/>
        </w:rPr>
        <w:t>144万元、省级财政专项扶贫资金395万元、县级财政专项扶贫资金1万元</w:t>
      </w:r>
      <w:r>
        <w:rPr>
          <w:rFonts w:hint="default" w:ascii="Times New Roman" w:hAnsi="Times New Roman" w:eastAsia="仿宋_GB2312" w:cs="Times New Roman"/>
          <w:color w:val="auto"/>
          <w:spacing w:val="0"/>
          <w:sz w:val="32"/>
          <w:highlight w:val="none"/>
        </w:rPr>
        <w:t>。通过对全县1800名就读于中职、高职的建档立卡贫困学生进行生活补贴，为贫困家庭子女教育提供保障。</w:t>
      </w:r>
    </w:p>
    <w:p w14:paraId="2CE80917">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4</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“雨露计划”培训</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对建档立卡贫困户接受短期技能培训符合条件的对象进行补助。根据受训贫困劳动力取得的技能等级证书的工种分类，分别给予1500元、1800元、2000元三种标准的补助。安排统筹整合财政涉农资金56万</w:t>
      </w:r>
      <w:r>
        <w:rPr>
          <w:rFonts w:hint="default" w:ascii="Times New Roman" w:hAnsi="Times New Roman" w:eastAsia="仿宋_GB2312" w:cs="Times New Roman"/>
          <w:color w:val="auto"/>
          <w:spacing w:val="0"/>
          <w:sz w:val="32"/>
          <w:highlight w:val="none"/>
          <w:lang w:eastAsia="zh-CN"/>
        </w:rPr>
        <w:t>元，全部为中央财政专项扶贫资金</w:t>
      </w:r>
      <w:r>
        <w:rPr>
          <w:rFonts w:hint="default" w:ascii="Times New Roman" w:hAnsi="Times New Roman" w:eastAsia="仿宋_GB2312" w:cs="Times New Roman"/>
          <w:color w:val="auto"/>
          <w:spacing w:val="0"/>
          <w:sz w:val="32"/>
          <w:highlight w:val="none"/>
        </w:rPr>
        <w:t>。开展“雨露计划”培训，帮助280名贫困劳动力掌握一技之长、拓宽就业门路。</w:t>
      </w:r>
    </w:p>
    <w:p w14:paraId="60149AE6">
      <w:pPr>
        <w:keepNext w:val="0"/>
        <w:keepLines w:val="0"/>
        <w:pageBreakBefore w:val="0"/>
        <w:widowControl w:val="0"/>
        <w:kinsoku/>
        <w:wordWrap/>
        <w:overflowPunct w:val="0"/>
        <w:topLinePunct w:val="0"/>
        <w:autoSpaceDE/>
        <w:autoSpaceDN/>
        <w:bidi w:val="0"/>
        <w:adjustRightInd/>
        <w:snapToGrid/>
        <w:spacing w:before="0" w:after="0" w:line="540" w:lineRule="exact"/>
        <w:ind w:left="0" w:right="0" w:firstLine="640" w:firstLineChars="200"/>
        <w:jc w:val="both"/>
        <w:textAlignment w:val="auto"/>
        <w:rPr>
          <w:rFonts w:hint="default" w:ascii="Times New Roman" w:hAnsi="Times New Roman" w:eastAsia="仿宋_GB2312" w:cs="Times New Roman"/>
          <w:color w:val="auto"/>
          <w:spacing w:val="0"/>
          <w:sz w:val="32"/>
          <w:highlight w:val="none"/>
          <w:lang w:val="en-US" w:eastAsia="zh-CN"/>
        </w:rPr>
      </w:pP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5</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rPr>
        <w:t>农产品加工项</w:t>
      </w:r>
      <w:r>
        <w:rPr>
          <w:rFonts w:hint="default" w:ascii="Times New Roman" w:hAnsi="Times New Roman" w:eastAsia="仿宋_GB2312" w:cs="Times New Roman"/>
          <w:color w:val="auto"/>
          <w:spacing w:val="0"/>
          <w:sz w:val="32"/>
          <w:highlight w:val="none"/>
          <w:lang w:eastAsia="zh-CN"/>
        </w:rPr>
        <w:t>目，</w:t>
      </w:r>
      <w:r>
        <w:rPr>
          <w:rFonts w:hint="default" w:ascii="Times New Roman" w:hAnsi="Times New Roman" w:eastAsia="仿宋_GB2312" w:cs="Times New Roman"/>
          <w:color w:val="auto"/>
          <w:spacing w:val="0"/>
          <w:sz w:val="32"/>
          <w:highlight w:val="none"/>
        </w:rPr>
        <w:t>为牛屯镇高营村速冻水饺加工企业购置切菜机、切丁机、拌馅机、冷冻设备等，设备产权归高营村村集体所有。安排统筹整合财政涉农资金31.51万</w:t>
      </w:r>
      <w:r>
        <w:rPr>
          <w:rFonts w:hint="default" w:ascii="Times New Roman" w:hAnsi="Times New Roman" w:eastAsia="仿宋_GB2312" w:cs="Times New Roman"/>
          <w:color w:val="auto"/>
          <w:spacing w:val="0"/>
          <w:sz w:val="32"/>
          <w:highlight w:val="none"/>
          <w:lang w:eastAsia="zh-CN"/>
        </w:rPr>
        <w:t>元，全部为县级财政专项扶贫资金</w:t>
      </w:r>
      <w:r>
        <w:rPr>
          <w:rFonts w:hint="default" w:ascii="Times New Roman" w:hAnsi="Times New Roman" w:eastAsia="仿宋_GB2312" w:cs="Times New Roman"/>
          <w:color w:val="auto"/>
          <w:spacing w:val="0"/>
          <w:sz w:val="32"/>
          <w:highlight w:val="none"/>
        </w:rPr>
        <w:t>。企业每年拿出注入资金的8%交乡镇统筹用于牛屯镇扶贫工作</w:t>
      </w:r>
      <w:r>
        <w:rPr>
          <w:rFonts w:hint="default" w:ascii="Times New Roman" w:hAnsi="Times New Roman" w:eastAsia="仿宋_GB2312" w:cs="Times New Roman"/>
          <w:color w:val="auto"/>
          <w:spacing w:val="0"/>
          <w:sz w:val="32"/>
          <w:highlight w:val="none"/>
          <w:lang w:eastAsia="zh-CN"/>
        </w:rPr>
        <w:t>，</w:t>
      </w:r>
      <w:r>
        <w:rPr>
          <w:rFonts w:hint="default" w:ascii="Times New Roman" w:hAnsi="Times New Roman" w:eastAsia="仿宋_GB2312" w:cs="Times New Roman"/>
          <w:color w:val="auto"/>
          <w:spacing w:val="0"/>
          <w:sz w:val="32"/>
          <w:highlight w:val="none"/>
          <w:lang w:val="en-US" w:eastAsia="zh-CN"/>
        </w:rPr>
        <w:t>设备产权归高营村村集体所有。</w:t>
      </w:r>
    </w:p>
    <w:p w14:paraId="50BA3928">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信息化建设、建档立卡、统计监测等项目（含项目管理费）1个，安排资金</w:t>
      </w:r>
      <w:r>
        <w:rPr>
          <w:rFonts w:hint="default" w:ascii="Times New Roman" w:hAnsi="Times New Roman" w:eastAsia="仿宋_GB2312" w:cs="Times New Roman"/>
          <w:color w:val="auto"/>
          <w:sz w:val="32"/>
          <w:szCs w:val="32"/>
          <w:highlight w:val="none"/>
          <w:lang w:val="en-US" w:eastAsia="zh-CN"/>
        </w:rPr>
        <w:t>1216</w:t>
      </w:r>
      <w:r>
        <w:rPr>
          <w:rFonts w:hint="default" w:ascii="Times New Roman" w:hAnsi="Times New Roman" w:eastAsia="仿宋_GB2312" w:cs="Times New Roman"/>
          <w:color w:val="auto"/>
          <w:sz w:val="32"/>
          <w:szCs w:val="32"/>
          <w:highlight w:val="none"/>
        </w:rPr>
        <w:t>万元。</w:t>
      </w:r>
    </w:p>
    <w:p w14:paraId="53C19655">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三、财政专项扶贫资金绩效评价自评情况</w:t>
      </w:r>
    </w:p>
    <w:p w14:paraId="431EE9DC">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（一）资金投入</w:t>
      </w:r>
      <w:r>
        <w:rPr>
          <w:rFonts w:hint="default" w:ascii="Times New Roman" w:hAnsi="Times New Roman" w:eastAsia="仿宋_GB2312" w:cs="Times New Roman"/>
          <w:color w:val="auto"/>
          <w:sz w:val="32"/>
          <w:szCs w:val="32"/>
          <w:highlight w:val="none"/>
        </w:rPr>
        <w:t>（8分）</w:t>
      </w:r>
    </w:p>
    <w:p w14:paraId="725786E7">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1.1资金投入情况</w:t>
      </w:r>
    </w:p>
    <w:p w14:paraId="1DAC4A0C">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县本级安排财政专项扶贫资金</w:t>
      </w:r>
      <w:r>
        <w:rPr>
          <w:rFonts w:hint="default" w:ascii="Times New Roman" w:hAnsi="Times New Roman" w:eastAsia="仿宋_GB2312" w:cs="Times New Roman"/>
          <w:color w:val="auto"/>
          <w:sz w:val="32"/>
          <w:szCs w:val="32"/>
          <w:highlight w:val="none"/>
          <w:lang w:val="en-US" w:eastAsia="zh-CN"/>
        </w:rPr>
        <w:t>3348.33</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县本级和中央、省级财政安排到县的财政专项扶贫资金比为</w:t>
      </w:r>
      <w:r>
        <w:rPr>
          <w:rFonts w:hint="default" w:ascii="Times New Roman" w:hAnsi="Times New Roman" w:eastAsia="仿宋_GB2312" w:cs="Times New Roman"/>
          <w:color w:val="auto"/>
          <w:sz w:val="32"/>
          <w:szCs w:val="32"/>
          <w:highlight w:val="none"/>
          <w:lang w:val="en-US" w:eastAsia="zh-CN"/>
        </w:rPr>
        <w:t>40.16</w:t>
      </w:r>
      <w:r>
        <w:rPr>
          <w:rFonts w:hint="default" w:ascii="Times New Roman" w:hAnsi="Times New Roman" w:eastAsia="仿宋_GB2312" w:cs="Times New Roman"/>
          <w:color w:val="auto"/>
          <w:sz w:val="32"/>
          <w:szCs w:val="32"/>
          <w:highlight w:val="none"/>
        </w:rPr>
        <w:t>%。自评得分8分。</w:t>
      </w:r>
    </w:p>
    <w:p w14:paraId="59A5533D">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（二）资金拨付情况</w:t>
      </w:r>
    </w:p>
    <w:p w14:paraId="6AAA6611">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滑县不是此项指标考评对象。</w:t>
      </w:r>
    </w:p>
    <w:p w14:paraId="00956AD4">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w:t>
      </w:r>
      <w:r>
        <w:rPr>
          <w:rFonts w:hint="default" w:ascii="Times New Roman" w:hAnsi="Times New Roman" w:eastAsia="楷体_GB2312" w:cs="Times New Roman"/>
          <w:color w:val="auto"/>
          <w:sz w:val="32"/>
          <w:szCs w:val="32"/>
          <w:highlight w:val="none"/>
          <w:lang w:eastAsia="zh-CN"/>
        </w:rPr>
        <w:t>项目</w:t>
      </w:r>
      <w:r>
        <w:rPr>
          <w:rFonts w:hint="default" w:ascii="Times New Roman" w:hAnsi="Times New Roman" w:eastAsia="楷体_GB2312" w:cs="Times New Roman"/>
          <w:color w:val="auto"/>
          <w:sz w:val="32"/>
          <w:szCs w:val="32"/>
          <w:highlight w:val="none"/>
        </w:rPr>
        <w:t>资金监管（</w:t>
      </w:r>
      <w:r>
        <w:rPr>
          <w:rFonts w:hint="default" w:ascii="Times New Roman" w:hAnsi="Times New Roman" w:eastAsia="楷体_GB2312" w:cs="Times New Roman"/>
          <w:color w:val="auto"/>
          <w:sz w:val="32"/>
          <w:szCs w:val="32"/>
          <w:highlight w:val="none"/>
          <w:lang w:val="en-US" w:eastAsia="zh-CN"/>
        </w:rPr>
        <w:t>22</w:t>
      </w:r>
      <w:r>
        <w:rPr>
          <w:rFonts w:hint="default" w:ascii="Times New Roman" w:hAnsi="Times New Roman" w:eastAsia="楷体_GB2312" w:cs="Times New Roman"/>
          <w:color w:val="auto"/>
          <w:sz w:val="32"/>
          <w:szCs w:val="32"/>
          <w:highlight w:val="none"/>
        </w:rPr>
        <w:t>分）</w:t>
      </w:r>
    </w:p>
    <w:p w14:paraId="0EF66B82">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rPr>
        <w:t>信息公开和公告</w:t>
      </w:r>
      <w:r>
        <w:rPr>
          <w:rFonts w:hint="default" w:ascii="Times New Roman" w:hAnsi="Times New Roman" w:eastAsia="仿宋_GB2312" w:cs="Times New Roman"/>
          <w:b/>
          <w:bCs/>
          <w:color w:val="auto"/>
          <w:sz w:val="32"/>
          <w:szCs w:val="32"/>
          <w:highlight w:val="none"/>
          <w:lang w:eastAsia="zh-CN"/>
        </w:rPr>
        <w:t>公</w:t>
      </w:r>
      <w:r>
        <w:rPr>
          <w:rFonts w:hint="default" w:ascii="Times New Roman" w:hAnsi="Times New Roman" w:eastAsia="仿宋_GB2312" w:cs="Times New Roman"/>
          <w:b/>
          <w:bCs/>
          <w:color w:val="auto"/>
          <w:sz w:val="32"/>
          <w:szCs w:val="32"/>
          <w:highlight w:val="none"/>
        </w:rPr>
        <w:t>示制度建设和执行情况（</w:t>
      </w:r>
      <w:r>
        <w:rPr>
          <w:rFonts w:hint="default" w:ascii="Times New Roman" w:hAnsi="Times New Roman" w:eastAsia="仿宋_GB2312" w:cs="Times New Roman"/>
          <w:b/>
          <w:bCs/>
          <w:color w:val="auto"/>
          <w:sz w:val="32"/>
          <w:szCs w:val="32"/>
          <w:highlight w:val="none"/>
          <w:lang w:val="en-US" w:eastAsia="zh-CN"/>
        </w:rPr>
        <w:t>7</w:t>
      </w:r>
      <w:r>
        <w:rPr>
          <w:rFonts w:hint="default" w:ascii="Times New Roman" w:hAnsi="Times New Roman" w:eastAsia="仿宋_GB2312" w:cs="Times New Roman"/>
          <w:b/>
          <w:bCs/>
          <w:color w:val="auto"/>
          <w:sz w:val="32"/>
          <w:szCs w:val="32"/>
          <w:highlight w:val="none"/>
        </w:rPr>
        <w:t>分）</w:t>
      </w:r>
    </w:p>
    <w:p w14:paraId="64D9D9E6">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为加强对扶贫项目资金运行的监管，我县制定了《滑县扶贫资金监督管理办法》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关于加强扶贫资金管理补充规定的通知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、《滑县扶贫资金项目公告公示制度实施细则》等</w:t>
      </w:r>
      <w:r>
        <w:rPr>
          <w:rFonts w:hint="default" w:ascii="Times New Roman" w:hAnsi="Times New Roman" w:eastAsia="仿宋_GB2312" w:cs="Times New Roman"/>
          <w:color w:val="auto"/>
          <w:sz w:val="32"/>
          <w:szCs w:val="32"/>
          <w:highlight w:val="none"/>
          <w:lang w:eastAsia="zh-CN"/>
        </w:rPr>
        <w:t>规章制度</w:t>
      </w:r>
      <w:r>
        <w:rPr>
          <w:rFonts w:hint="default" w:ascii="Times New Roman" w:hAnsi="Times New Roman" w:eastAsia="仿宋_GB2312" w:cs="Times New Roman"/>
          <w:color w:val="auto"/>
          <w:sz w:val="32"/>
          <w:szCs w:val="32"/>
          <w:highlight w:val="none"/>
        </w:rPr>
        <w:t>，建立健全扶贫资金分配使用管理公开公示制度，将涉农资金政策文件、管理制度、资金分配、工作进度等信息通过政府门户网站等渠道及时向社会公开，接受社会监督。</w:t>
      </w:r>
    </w:p>
    <w:p w14:paraId="28352173">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建立了县、乡、村三级公告公示平台。县级在县政府门户网站</w:t>
      </w:r>
      <w:r>
        <w:rPr>
          <w:rFonts w:hint="default" w:ascii="Times New Roman" w:hAnsi="Times New Roman" w:eastAsia="仿宋_GB2312" w:cs="Times New Roman"/>
          <w:color w:val="auto"/>
          <w:sz w:val="32"/>
          <w:szCs w:val="32"/>
          <w:highlight w:val="none"/>
          <w:lang w:eastAsia="zh-CN"/>
        </w:rPr>
        <w:t>进行公示</w:t>
      </w:r>
      <w:r>
        <w:rPr>
          <w:rFonts w:hint="default" w:ascii="Times New Roman" w:hAnsi="Times New Roman" w:eastAsia="仿宋_GB2312" w:cs="Times New Roman"/>
          <w:color w:val="auto"/>
          <w:sz w:val="32"/>
          <w:szCs w:val="32"/>
          <w:highlight w:val="none"/>
        </w:rPr>
        <w:t>；乡村两级在乡镇政府公示栏以及项目所在村的</w:t>
      </w:r>
      <w:r>
        <w:rPr>
          <w:rFonts w:hint="default" w:ascii="Times New Roman" w:hAnsi="Times New Roman" w:eastAsia="仿宋_GB2312" w:cs="Times New Roman"/>
          <w:color w:val="auto"/>
          <w:sz w:val="32"/>
          <w:szCs w:val="32"/>
          <w:highlight w:val="none"/>
          <w:lang w:val="en-US" w:eastAsia="zh-CN"/>
        </w:rPr>
        <w:t>公告</w:t>
      </w:r>
      <w:r>
        <w:rPr>
          <w:rFonts w:hint="default" w:ascii="Times New Roman" w:hAnsi="Times New Roman" w:eastAsia="仿宋_GB2312" w:cs="Times New Roman"/>
          <w:color w:val="auto"/>
          <w:sz w:val="32"/>
          <w:szCs w:val="32"/>
          <w:highlight w:val="none"/>
        </w:rPr>
        <w:t>公示栏进行公示。</w:t>
      </w:r>
    </w:p>
    <w:p w14:paraId="4BB904FF">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县级在县政府门户网站公示了《滑县人民政府关于印发滑县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脱贫攻坚规划的通知》（滑政〔201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号），《滑县人民政府关于印发滑县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脱贫攻坚规划调整方案的通知》（滑政〔201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号），《滑县人民政府关于印发滑县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统筹整合使用财政涉农资金实施方案的通知 》（滑政〔201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《滑县人民政府关于印发滑县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统筹整合使用财政涉农资金实施方案的通知 》（滑政〔201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《滑县扶贫开发办公室</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滑县财政局关于印发滑县扶贫资金项目公告公示制度实施细则的通知》（滑扶贫办〔2019〕20号）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度县级资金分配结果公告公示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度扶贫资金项目计划安排情况公示》</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w:t>
      </w:r>
      <w:r>
        <w:rPr>
          <w:rFonts w:hint="default" w:ascii="Times New Roman" w:hAnsi="Times New Roman" w:eastAsia="仿宋_GB2312" w:cs="Times New Roman"/>
          <w:color w:val="auto"/>
          <w:sz w:val="32"/>
          <w:szCs w:val="32"/>
          <w:highlight w:val="none"/>
          <w:lang w:eastAsia="zh-CN"/>
        </w:rPr>
        <w:t>2019年年度资金项目实施计划完成情况公告公示》</w:t>
      </w:r>
      <w:r>
        <w:rPr>
          <w:rFonts w:hint="default" w:ascii="Times New Roman" w:hAnsi="Times New Roman" w:eastAsia="仿宋_GB2312" w:cs="Times New Roman"/>
          <w:color w:val="auto"/>
          <w:sz w:val="32"/>
          <w:szCs w:val="32"/>
          <w:highlight w:val="none"/>
        </w:rPr>
        <w:t>等。利用县政府门户网站公告公示了滑县201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统筹整合</w:t>
      </w:r>
      <w:r>
        <w:rPr>
          <w:rFonts w:hint="default" w:ascii="Times New Roman" w:hAnsi="Times New Roman" w:eastAsia="仿宋_GB2312" w:cs="Times New Roman"/>
          <w:color w:val="auto"/>
          <w:sz w:val="32"/>
          <w:szCs w:val="32"/>
          <w:highlight w:val="none"/>
          <w:lang w:val="en-US" w:eastAsia="zh-CN"/>
        </w:rPr>
        <w:t>资金19903.93万元，用于422个项目，其中基础设施类项目306个，</w:t>
      </w:r>
      <w:r>
        <w:rPr>
          <w:rFonts w:hint="default" w:ascii="Times New Roman" w:hAnsi="Times New Roman" w:eastAsia="仿宋_GB2312" w:cs="Times New Roman"/>
          <w:color w:val="auto"/>
          <w:sz w:val="32"/>
          <w:szCs w:val="32"/>
          <w:highlight w:val="none"/>
          <w:lang w:eastAsia="zh-CN"/>
        </w:rPr>
        <w:t>统筹整合</w:t>
      </w:r>
      <w:r>
        <w:rPr>
          <w:rFonts w:hint="default" w:ascii="Times New Roman" w:hAnsi="Times New Roman" w:eastAsia="仿宋_GB2312" w:cs="Times New Roman"/>
          <w:color w:val="auto"/>
          <w:sz w:val="32"/>
          <w:szCs w:val="32"/>
          <w:highlight w:val="none"/>
          <w:lang w:val="en-US" w:eastAsia="zh-CN"/>
        </w:rPr>
        <w:t>资金14356.42万元；产业扶贫项目116个，</w:t>
      </w:r>
      <w:r>
        <w:rPr>
          <w:rFonts w:hint="default" w:ascii="Times New Roman" w:hAnsi="Times New Roman" w:eastAsia="仿宋_GB2312" w:cs="Times New Roman"/>
          <w:color w:val="auto"/>
          <w:sz w:val="32"/>
          <w:szCs w:val="32"/>
          <w:highlight w:val="none"/>
          <w:lang w:eastAsia="zh-CN"/>
        </w:rPr>
        <w:t>统筹整合</w:t>
      </w:r>
      <w:r>
        <w:rPr>
          <w:rFonts w:hint="default" w:ascii="Times New Roman" w:hAnsi="Times New Roman" w:eastAsia="仿宋_GB2312" w:cs="Times New Roman"/>
          <w:color w:val="auto"/>
          <w:sz w:val="32"/>
          <w:szCs w:val="32"/>
          <w:highlight w:val="none"/>
          <w:lang w:val="en-US" w:eastAsia="zh-CN"/>
        </w:rPr>
        <w:t>资金5547.51万元。</w:t>
      </w:r>
      <w:r>
        <w:rPr>
          <w:rFonts w:hint="default" w:ascii="Times New Roman" w:hAnsi="Times New Roman" w:eastAsia="仿宋_GB2312" w:cs="Times New Roman"/>
          <w:color w:val="auto"/>
          <w:sz w:val="32"/>
          <w:szCs w:val="32"/>
          <w:highlight w:val="none"/>
        </w:rPr>
        <w:t>自评得分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分。</w:t>
      </w:r>
    </w:p>
    <w:p w14:paraId="39E4E2CA">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乡村信息公开和公告公示制度建设和执行情况（4分）</w:t>
      </w:r>
    </w:p>
    <w:p w14:paraId="6F145073">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w:t>
      </w:r>
      <w:r>
        <w:rPr>
          <w:rFonts w:hint="default" w:ascii="Times New Roman" w:hAnsi="Times New Roman" w:eastAsia="仿宋_GB2312" w:cs="Times New Roman"/>
          <w:color w:val="auto"/>
          <w:sz w:val="32"/>
          <w:szCs w:val="32"/>
          <w:highlight w:val="none"/>
          <w:lang w:val="en-US" w:eastAsia="zh-CN"/>
        </w:rPr>
        <w:t>扶贫</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rPr>
        <w:t>公示公告</w:t>
      </w:r>
      <w:r>
        <w:rPr>
          <w:rFonts w:hint="default" w:ascii="Times New Roman" w:hAnsi="Times New Roman" w:eastAsia="仿宋_GB2312" w:cs="Times New Roman"/>
          <w:color w:val="auto"/>
          <w:sz w:val="32"/>
          <w:szCs w:val="32"/>
          <w:highlight w:val="none"/>
          <w:lang w:val="en-US" w:eastAsia="zh-CN"/>
        </w:rPr>
        <w:t>制度</w:t>
      </w:r>
      <w:r>
        <w:rPr>
          <w:rFonts w:hint="default" w:ascii="Times New Roman" w:hAnsi="Times New Roman" w:eastAsia="仿宋_GB2312" w:cs="Times New Roman"/>
          <w:color w:val="auto"/>
          <w:sz w:val="32"/>
          <w:szCs w:val="32"/>
          <w:highlight w:val="none"/>
        </w:rPr>
        <w:t>的要求，</w:t>
      </w:r>
      <w:r>
        <w:rPr>
          <w:rFonts w:hint="default" w:ascii="Times New Roman" w:hAnsi="Times New Roman" w:eastAsia="仿宋_GB2312" w:cs="Times New Roman"/>
          <w:color w:val="auto"/>
          <w:sz w:val="32"/>
          <w:szCs w:val="32"/>
          <w:highlight w:val="none"/>
          <w:lang w:val="en-US" w:eastAsia="zh-CN"/>
        </w:rPr>
        <w:t>乡村两级需对县级扶贫资金项目公告公示制度或实施细则、五级监督电话进行公告公示；同时</w:t>
      </w:r>
      <w:r>
        <w:rPr>
          <w:rFonts w:hint="default" w:ascii="Times New Roman" w:hAnsi="Times New Roman" w:eastAsia="仿宋_GB2312" w:cs="Times New Roman"/>
          <w:color w:val="auto"/>
          <w:sz w:val="32"/>
          <w:szCs w:val="32"/>
          <w:highlight w:val="none"/>
        </w:rPr>
        <w:t>由乡镇实施的项目，在乡镇政府公示栏</w:t>
      </w:r>
      <w:r>
        <w:rPr>
          <w:rFonts w:hint="default" w:ascii="Times New Roman" w:hAnsi="Times New Roman" w:eastAsia="仿宋_GB2312" w:cs="Times New Roman"/>
          <w:color w:val="auto"/>
          <w:sz w:val="32"/>
          <w:szCs w:val="32"/>
          <w:highlight w:val="none"/>
          <w:lang w:val="en-US" w:eastAsia="zh-CN"/>
        </w:rPr>
        <w:t>对项目入库、项目计划安排、项目计划完成情况等进行公告公示；在</w:t>
      </w:r>
      <w:r>
        <w:rPr>
          <w:rFonts w:hint="default" w:ascii="Times New Roman" w:hAnsi="Times New Roman" w:eastAsia="仿宋_GB2312" w:cs="Times New Roman"/>
          <w:color w:val="auto"/>
          <w:sz w:val="32"/>
          <w:szCs w:val="32"/>
          <w:highlight w:val="none"/>
        </w:rPr>
        <w:t>项目所在村的</w:t>
      </w:r>
      <w:r>
        <w:rPr>
          <w:rFonts w:hint="default" w:ascii="Times New Roman" w:hAnsi="Times New Roman" w:eastAsia="仿宋_GB2312" w:cs="Times New Roman"/>
          <w:color w:val="auto"/>
          <w:sz w:val="32"/>
          <w:szCs w:val="32"/>
          <w:highlight w:val="none"/>
          <w:lang w:val="en-US" w:eastAsia="zh-CN"/>
        </w:rPr>
        <w:t>公告</w:t>
      </w:r>
      <w:r>
        <w:rPr>
          <w:rFonts w:hint="default" w:ascii="Times New Roman" w:hAnsi="Times New Roman" w:eastAsia="仿宋_GB2312" w:cs="Times New Roman"/>
          <w:color w:val="auto"/>
          <w:sz w:val="32"/>
          <w:szCs w:val="32"/>
          <w:highlight w:val="none"/>
        </w:rPr>
        <w:t>公示栏</w:t>
      </w:r>
      <w:r>
        <w:rPr>
          <w:rFonts w:hint="default" w:ascii="Times New Roman" w:hAnsi="Times New Roman" w:eastAsia="仿宋_GB2312" w:cs="Times New Roman"/>
          <w:color w:val="auto"/>
          <w:sz w:val="32"/>
          <w:szCs w:val="32"/>
          <w:highlight w:val="none"/>
          <w:lang w:val="en-US" w:eastAsia="zh-CN"/>
        </w:rPr>
        <w:t>对项目入库、项目批复、项目实施方案、项目实施、项目竣工、项目计划完成情况等</w:t>
      </w:r>
      <w:r>
        <w:rPr>
          <w:rFonts w:hint="default" w:ascii="Times New Roman" w:hAnsi="Times New Roman" w:eastAsia="仿宋_GB2312" w:cs="Times New Roman"/>
          <w:color w:val="auto"/>
          <w:sz w:val="32"/>
          <w:szCs w:val="32"/>
          <w:highlight w:val="none"/>
        </w:rPr>
        <w:t>进行公示公告；由县直部门在乡村实施的项目，在项目所在村的</w:t>
      </w:r>
      <w:r>
        <w:rPr>
          <w:rFonts w:hint="default" w:ascii="Times New Roman" w:hAnsi="Times New Roman" w:eastAsia="仿宋_GB2312" w:cs="Times New Roman"/>
          <w:color w:val="auto"/>
          <w:sz w:val="32"/>
          <w:szCs w:val="32"/>
          <w:highlight w:val="none"/>
          <w:lang w:val="en-US" w:eastAsia="zh-CN"/>
        </w:rPr>
        <w:t>公告</w:t>
      </w:r>
      <w:r>
        <w:rPr>
          <w:rFonts w:hint="default" w:ascii="Times New Roman" w:hAnsi="Times New Roman" w:eastAsia="仿宋_GB2312" w:cs="Times New Roman"/>
          <w:color w:val="auto"/>
          <w:sz w:val="32"/>
          <w:szCs w:val="32"/>
          <w:highlight w:val="none"/>
        </w:rPr>
        <w:t>公示栏进行公示公告；到户类项目，受益农户名单在项目所在村的</w:t>
      </w:r>
      <w:r>
        <w:rPr>
          <w:rFonts w:hint="default" w:ascii="Times New Roman" w:hAnsi="Times New Roman" w:eastAsia="仿宋_GB2312" w:cs="Times New Roman"/>
          <w:color w:val="auto"/>
          <w:sz w:val="32"/>
          <w:szCs w:val="32"/>
          <w:highlight w:val="none"/>
          <w:lang w:val="en-US" w:eastAsia="zh-CN"/>
        </w:rPr>
        <w:t>公告</w:t>
      </w:r>
      <w:r>
        <w:rPr>
          <w:rFonts w:hint="default" w:ascii="Times New Roman" w:hAnsi="Times New Roman" w:eastAsia="仿宋_GB2312" w:cs="Times New Roman"/>
          <w:color w:val="auto"/>
          <w:sz w:val="32"/>
          <w:szCs w:val="32"/>
          <w:highlight w:val="none"/>
        </w:rPr>
        <w:t>公示栏进行公示公告。自评得分4分。</w:t>
      </w:r>
    </w:p>
    <w:p w14:paraId="1632D8BC">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．监督检查制度建设</w:t>
      </w:r>
      <w:r>
        <w:rPr>
          <w:rFonts w:hint="default" w:ascii="Times New Roman" w:hAnsi="Times New Roman" w:eastAsia="仿宋_GB2312" w:cs="Times New Roman"/>
          <w:b/>
          <w:bCs/>
          <w:color w:val="auto"/>
          <w:sz w:val="32"/>
          <w:szCs w:val="32"/>
          <w:highlight w:val="none"/>
          <w:lang w:eastAsia="zh-CN"/>
        </w:rPr>
        <w:t>执行</w:t>
      </w:r>
      <w:r>
        <w:rPr>
          <w:rFonts w:hint="default" w:ascii="Times New Roman" w:hAnsi="Times New Roman" w:eastAsia="仿宋_GB2312" w:cs="Times New Roman"/>
          <w:b/>
          <w:bCs/>
          <w:color w:val="auto"/>
          <w:sz w:val="32"/>
          <w:szCs w:val="32"/>
          <w:highlight w:val="none"/>
        </w:rPr>
        <w:t>情况（5分）</w:t>
      </w:r>
    </w:p>
    <w:p w14:paraId="6CAF6B70">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按照上级关于财政专项扶贫项目资金管理的相关要求，结合滑县实际，</w:t>
      </w:r>
      <w:r>
        <w:rPr>
          <w:rFonts w:hint="default"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滑县人民政府办公室关于印发</w:t>
      </w:r>
      <w:r>
        <w:rPr>
          <w:rFonts w:hint="default" w:ascii="Times New Roman" w:hAnsi="Times New Roman" w:eastAsia="仿宋_GB2312" w:cs="Times New Roman"/>
          <w:color w:val="auto"/>
          <w:sz w:val="32"/>
          <w:szCs w:val="32"/>
          <w:highlight w:val="none"/>
        </w:rPr>
        <w:t>滑县扶贫资金监督管理办法</w:t>
      </w:r>
      <w:r>
        <w:rPr>
          <w:rFonts w:hint="default" w:ascii="Times New Roman" w:hAnsi="Times New Roman" w:eastAsia="仿宋_GB2312" w:cs="Times New Roman"/>
          <w:color w:val="auto"/>
          <w:sz w:val="32"/>
          <w:szCs w:val="32"/>
          <w:highlight w:val="none"/>
          <w:lang w:val="en-US" w:eastAsia="zh-CN"/>
        </w:rPr>
        <w:t>的通知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（滑政办</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2016</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77号）</w:t>
      </w:r>
      <w:r>
        <w:rPr>
          <w:rFonts w:hint="default" w:ascii="Times New Roman" w:hAnsi="Times New Roman" w:eastAsia="仿宋_GB2312" w:cs="Times New Roman"/>
          <w:color w:val="auto"/>
          <w:sz w:val="32"/>
          <w:szCs w:val="32"/>
          <w:highlight w:val="none"/>
          <w:lang w:eastAsia="zh-CN"/>
        </w:rPr>
        <w:t>、《滑县</w:t>
      </w:r>
      <w:r>
        <w:rPr>
          <w:rFonts w:hint="default" w:ascii="Times New Roman" w:hAnsi="Times New Roman" w:eastAsia="仿宋_GB2312" w:cs="Times New Roman"/>
          <w:color w:val="auto"/>
          <w:sz w:val="32"/>
          <w:szCs w:val="32"/>
          <w:highlight w:val="none"/>
          <w:lang w:val="en-US" w:eastAsia="zh-CN"/>
        </w:rPr>
        <w:t>审计局扶贫资金审计监督办法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w:t>
      </w:r>
      <w:r>
        <w:rPr>
          <w:rFonts w:hint="default" w:ascii="Times New Roman" w:hAnsi="Times New Roman" w:eastAsia="仿宋_GB2312" w:cs="Times New Roman"/>
          <w:color w:val="auto"/>
          <w:sz w:val="32"/>
          <w:szCs w:val="32"/>
          <w:highlight w:val="none"/>
          <w:lang w:val="en-US" w:eastAsia="zh-CN"/>
        </w:rPr>
        <w:t>审</w:t>
      </w:r>
      <w:r>
        <w:rPr>
          <w:rFonts w:hint="default" w:ascii="Times New Roman" w:hAnsi="Times New Roman" w:eastAsia="仿宋_GB2312" w:cs="Times New Roman"/>
          <w:color w:val="auto"/>
          <w:sz w:val="32"/>
          <w:szCs w:val="32"/>
          <w:highlight w:val="none"/>
        </w:rPr>
        <w:t>〔201</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号）等文件</w:t>
      </w:r>
      <w:r>
        <w:rPr>
          <w:rFonts w:hint="default" w:ascii="Times New Roman" w:hAnsi="Times New Roman" w:eastAsia="仿宋_GB2312" w:cs="Times New Roman"/>
          <w:color w:val="auto"/>
          <w:sz w:val="32"/>
          <w:szCs w:val="32"/>
          <w:highlight w:val="none"/>
          <w:lang w:eastAsia="zh-CN"/>
        </w:rPr>
        <w:t>的基础上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又</w:t>
      </w:r>
      <w:r>
        <w:rPr>
          <w:rFonts w:hint="default" w:ascii="Times New Roman" w:hAnsi="Times New Roman" w:eastAsia="仿宋_GB2312" w:cs="Times New Roman"/>
          <w:color w:val="auto"/>
          <w:sz w:val="32"/>
          <w:szCs w:val="32"/>
          <w:highlight w:val="none"/>
          <w:lang w:eastAsia="zh-CN"/>
        </w:rPr>
        <w:t>制定了《滑县扶贫开发领导小组关于做好2019年涉农资金整合工作的通知》</w:t>
      </w:r>
      <w:r>
        <w:rPr>
          <w:rFonts w:hint="default" w:ascii="Times New Roman" w:hAnsi="Times New Roman" w:eastAsia="仿宋_GB2312" w:cs="Times New Roman"/>
          <w:color w:val="auto"/>
          <w:sz w:val="32"/>
          <w:szCs w:val="32"/>
          <w:highlight w:val="none"/>
        </w:rPr>
        <w:t>（滑</w:t>
      </w:r>
      <w:r>
        <w:rPr>
          <w:rFonts w:hint="default" w:ascii="Times New Roman" w:hAnsi="Times New Roman" w:eastAsia="仿宋_GB2312" w:cs="Times New Roman"/>
          <w:color w:val="auto"/>
          <w:sz w:val="32"/>
          <w:szCs w:val="32"/>
          <w:highlight w:val="none"/>
          <w:lang w:val="en-US" w:eastAsia="zh-CN"/>
        </w:rPr>
        <w:t>扶贫组</w:t>
      </w:r>
      <w:r>
        <w:rPr>
          <w:rFonts w:hint="default" w:ascii="Times New Roman" w:hAnsi="Times New Roman" w:eastAsia="仿宋_GB2312" w:cs="Times New Roman"/>
          <w:color w:val="auto"/>
          <w:sz w:val="32"/>
          <w:szCs w:val="32"/>
          <w:highlight w:val="none"/>
        </w:rPr>
        <w:t>〔201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滑县财政局 滑县扶贫开发办公室关于加强扶贫资金管理补充规定的通知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（滑财</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2019</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70号）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始终把对财政扶贫资金的监督检查贯穿于项目实施的全过程。</w:t>
      </w:r>
      <w:r>
        <w:rPr>
          <w:rFonts w:hint="default" w:ascii="Times New Roman" w:hAnsi="Times New Roman" w:eastAsia="仿宋_GB2312" w:cs="Times New Roman"/>
          <w:b/>
          <w:bCs/>
          <w:color w:val="auto"/>
          <w:sz w:val="32"/>
          <w:szCs w:val="32"/>
          <w:highlight w:val="none"/>
        </w:rPr>
        <w:t>一是强化监督检查。</w:t>
      </w:r>
      <w:r>
        <w:rPr>
          <w:rFonts w:hint="default" w:ascii="Times New Roman" w:hAnsi="Times New Roman" w:eastAsia="仿宋_GB2312" w:cs="Times New Roman"/>
          <w:color w:val="auto"/>
          <w:sz w:val="32"/>
          <w:szCs w:val="32"/>
          <w:highlight w:val="none"/>
          <w:lang w:val="en-US" w:eastAsia="zh-CN"/>
        </w:rPr>
        <w:t>开展财政扶贫资金监督检查，</w:t>
      </w:r>
      <w:r>
        <w:rPr>
          <w:rFonts w:hint="default" w:ascii="Times New Roman" w:hAnsi="Times New Roman" w:eastAsia="仿宋_GB2312" w:cs="Times New Roman"/>
          <w:color w:val="auto"/>
          <w:sz w:val="32"/>
          <w:szCs w:val="32"/>
          <w:highlight w:val="none"/>
          <w:lang w:eastAsia="zh-CN"/>
        </w:rPr>
        <w:t>采取单位自查、随机抽查、专项检查相结合的方式，对</w:t>
      </w:r>
      <w:r>
        <w:rPr>
          <w:rFonts w:hint="default" w:ascii="Times New Roman" w:hAnsi="Times New Roman" w:eastAsia="仿宋_GB2312" w:cs="Times New Roman"/>
          <w:color w:val="auto"/>
          <w:sz w:val="32"/>
          <w:szCs w:val="32"/>
          <w:highlight w:val="none"/>
          <w:lang w:val="en-US" w:eastAsia="zh-CN"/>
        </w:rPr>
        <w:t>各乡镇财政扶贫资金的管理使用情况进行了全面检查，审计局对扶贫政策执行情况、扶贫资金的管理使用情况进行了专项审计调查。</w:t>
      </w:r>
      <w:r>
        <w:rPr>
          <w:rFonts w:hint="default" w:ascii="Times New Roman" w:hAnsi="Times New Roman" w:eastAsia="仿宋_GB2312" w:cs="Times New Roman"/>
          <w:b/>
          <w:bCs/>
          <w:color w:val="auto"/>
          <w:sz w:val="32"/>
          <w:szCs w:val="32"/>
          <w:highlight w:val="none"/>
        </w:rPr>
        <w:t>二是</w:t>
      </w:r>
      <w:r>
        <w:rPr>
          <w:rFonts w:hint="default" w:ascii="Times New Roman" w:hAnsi="Times New Roman" w:eastAsia="仿宋_GB2312" w:cs="Times New Roman"/>
          <w:b/>
          <w:bCs/>
          <w:color w:val="auto"/>
          <w:sz w:val="32"/>
          <w:szCs w:val="32"/>
          <w:highlight w:val="none"/>
          <w:lang w:eastAsia="zh-CN"/>
        </w:rPr>
        <w:t>发现问题，及时整改</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eastAsia="zh-CN"/>
        </w:rPr>
        <w:t>针对检查中发现的问题，形成问题整改台账，由相关县直单位和相关乡镇在规定期限内进行整改，确保实现“精准扶贫”目标</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三是及时整改省、市反馈项目建设</w:t>
      </w:r>
      <w:r>
        <w:rPr>
          <w:rFonts w:hint="default" w:ascii="Times New Roman" w:hAnsi="Times New Roman" w:eastAsia="仿宋_GB2312" w:cs="Times New Roman"/>
          <w:b/>
          <w:bCs/>
          <w:color w:val="auto"/>
          <w:sz w:val="32"/>
          <w:szCs w:val="32"/>
          <w:highlight w:val="none"/>
          <w:lang w:val="en-US" w:eastAsia="zh-CN"/>
        </w:rPr>
        <w:t>管理问题。</w:t>
      </w:r>
      <w:r>
        <w:rPr>
          <w:rFonts w:hint="default" w:ascii="Times New Roman" w:hAnsi="Times New Roman" w:eastAsia="仿宋_GB2312" w:cs="Times New Roman"/>
          <w:color w:val="auto"/>
          <w:sz w:val="32"/>
          <w:szCs w:val="32"/>
          <w:highlight w:val="none"/>
          <w:lang w:val="en-US" w:eastAsia="zh-CN"/>
        </w:rPr>
        <w:t>对省、市在考核、业务指导中反馈的问题，我县迅速安排、扎实推进，举一反三、全面深入排查整改。</w:t>
      </w:r>
    </w:p>
    <w:p w14:paraId="695BD4C5">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我县</w:t>
      </w:r>
      <w:r>
        <w:rPr>
          <w:rFonts w:hint="default" w:ascii="Times New Roman" w:hAnsi="Times New Roman" w:eastAsia="仿宋_GB2312" w:cs="Times New Roman"/>
          <w:color w:val="auto"/>
          <w:sz w:val="32"/>
          <w:szCs w:val="32"/>
          <w:highlight w:val="none"/>
          <w:lang w:val="en-US" w:eastAsia="zh-CN"/>
        </w:rPr>
        <w:t>制定了《滑县扶贫监督举报电话管理制度》（滑扶贫办〔2018〕154号），</w:t>
      </w:r>
      <w:r>
        <w:rPr>
          <w:rFonts w:hint="default" w:ascii="Times New Roman" w:hAnsi="Times New Roman" w:eastAsia="仿宋_GB2312" w:cs="Times New Roman"/>
          <w:color w:val="auto"/>
          <w:sz w:val="32"/>
          <w:szCs w:val="32"/>
          <w:highlight w:val="none"/>
        </w:rPr>
        <w:t>设立了扶贫公共服务热线电话13343728384、</w:t>
      </w:r>
      <w:r>
        <w:rPr>
          <w:rFonts w:hint="default" w:ascii="Times New Roman" w:hAnsi="Times New Roman" w:eastAsia="仿宋_GB2312" w:cs="Times New Roman"/>
          <w:color w:val="auto"/>
          <w:sz w:val="32"/>
          <w:szCs w:val="32"/>
          <w:highlight w:val="none"/>
          <w:lang w:val="en-US" w:eastAsia="zh-CN"/>
        </w:rPr>
        <w:t>03725500315</w:t>
      </w:r>
      <w:r>
        <w:rPr>
          <w:rFonts w:hint="default" w:ascii="Times New Roman" w:hAnsi="Times New Roman" w:eastAsia="仿宋_GB2312" w:cs="Times New Roman"/>
          <w:color w:val="auto"/>
          <w:sz w:val="32"/>
          <w:szCs w:val="32"/>
          <w:highlight w:val="none"/>
        </w:rPr>
        <w:t>，接受社会各方有关脱贫攻坚方面的政策咨询、工作监督、问题举报，明确专人按照信访工作有关要求及时给予答复及处理。明确专人负责，制定了相应的制度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2019年以来，上级交办各类信访件、线索件96件，县级受理60件，</w:t>
      </w:r>
      <w:r>
        <w:rPr>
          <w:rFonts w:hint="default" w:ascii="Times New Roman" w:hAnsi="Times New Roman" w:eastAsia="仿宋_GB2312" w:cs="Times New Roman"/>
          <w:color w:val="auto"/>
          <w:sz w:val="32"/>
          <w:szCs w:val="32"/>
          <w:highlight w:val="none"/>
        </w:rPr>
        <w:t>全部为政策咨询，没有对项目资金使用的举报。政策咨询全部及时进行了答复。自评得分</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w:t>
      </w:r>
    </w:p>
    <w:p w14:paraId="0CEDB9B4">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5．项目库建设及管理情况（</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分）</w:t>
      </w:r>
    </w:p>
    <w:p w14:paraId="476A3D5A">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为推进扶贫开发项目决策与管理的科学化、程序化和规范化，我县制定了</w:t>
      </w:r>
      <w:r>
        <w:rPr>
          <w:rFonts w:hint="default" w:ascii="Times New Roman" w:hAnsi="Times New Roman" w:eastAsia="仿宋_GB2312" w:cs="Times New Roman"/>
          <w:color w:val="auto"/>
          <w:sz w:val="32"/>
          <w:szCs w:val="32"/>
          <w:highlight w:val="none"/>
          <w:lang w:val="en-US" w:eastAsia="zh-CN"/>
        </w:rPr>
        <w:t>滑县扶贫开发领导小组办公室关于印发</w:t>
      </w:r>
      <w:r>
        <w:rPr>
          <w:rFonts w:hint="default" w:ascii="Times New Roman" w:hAnsi="Times New Roman" w:eastAsia="仿宋_GB2312" w:cs="Times New Roman"/>
          <w:color w:val="auto"/>
          <w:sz w:val="32"/>
          <w:szCs w:val="32"/>
          <w:highlight w:val="none"/>
        </w:rPr>
        <w:t>《滑县扶贫开发项目库管理办法》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滑扶贫组办</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2018</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55号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并及时转发了河南省脱贫攻坚领导小组办公室《关于进一步加强县级脱贫攻坚项目库规范管理切实发挥扶贫项目效益》的通知</w:t>
      </w:r>
      <w:r>
        <w:rPr>
          <w:rFonts w:hint="default" w:ascii="Times New Roman" w:hAnsi="Times New Roman" w:eastAsia="仿宋_GB2312" w:cs="Times New Roman"/>
          <w:color w:val="auto"/>
          <w:sz w:val="32"/>
          <w:szCs w:val="32"/>
          <w:highlight w:val="none"/>
        </w:rPr>
        <w:t>，明确了入库项目范围、</w:t>
      </w:r>
      <w:r>
        <w:rPr>
          <w:rFonts w:hint="default" w:ascii="Times New Roman" w:hAnsi="Times New Roman" w:eastAsia="仿宋_GB2312" w:cs="Times New Roman"/>
          <w:color w:val="auto"/>
          <w:sz w:val="32"/>
          <w:szCs w:val="32"/>
          <w:highlight w:val="none"/>
          <w:lang w:val="en-US" w:eastAsia="zh-CN"/>
        </w:rPr>
        <w:t>原则、要求、</w:t>
      </w:r>
      <w:r>
        <w:rPr>
          <w:rFonts w:hint="default" w:ascii="Times New Roman" w:hAnsi="Times New Roman" w:eastAsia="仿宋_GB2312" w:cs="Times New Roman"/>
          <w:color w:val="auto"/>
          <w:sz w:val="32"/>
          <w:szCs w:val="32"/>
          <w:highlight w:val="none"/>
        </w:rPr>
        <w:t>程序</w:t>
      </w:r>
      <w:r>
        <w:rPr>
          <w:rFonts w:hint="default" w:ascii="Times New Roman" w:hAnsi="Times New Roman" w:eastAsia="仿宋_GB2312" w:cs="Times New Roman"/>
          <w:color w:val="auto"/>
          <w:sz w:val="32"/>
          <w:szCs w:val="32"/>
          <w:highlight w:val="none"/>
          <w:lang w:val="en-US" w:eastAsia="zh-CN"/>
        </w:rPr>
        <w:t>和职责分工等，并严格按照相关规定对项目库进行管理。</w:t>
      </w:r>
    </w:p>
    <w:p w14:paraId="513C623B">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滑县</w:t>
      </w:r>
      <w:r>
        <w:rPr>
          <w:rFonts w:hint="default" w:ascii="Times New Roman" w:hAnsi="Times New Roman" w:eastAsia="仿宋_GB2312" w:cs="Times New Roman"/>
          <w:color w:val="auto"/>
          <w:sz w:val="32"/>
          <w:szCs w:val="32"/>
          <w:highlight w:val="none"/>
        </w:rPr>
        <w:t>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脱贫攻坚</w:t>
      </w:r>
      <w:r>
        <w:rPr>
          <w:rFonts w:hint="default" w:ascii="Times New Roman" w:hAnsi="Times New Roman" w:eastAsia="仿宋_GB2312" w:cs="Times New Roman"/>
          <w:color w:val="auto"/>
          <w:sz w:val="32"/>
          <w:szCs w:val="32"/>
          <w:highlight w:val="none"/>
        </w:rPr>
        <w:t>项目共</w:t>
      </w:r>
      <w:r>
        <w:rPr>
          <w:rFonts w:hint="default" w:ascii="Times New Roman" w:hAnsi="Times New Roman" w:eastAsia="仿宋_GB2312" w:cs="Times New Roman"/>
          <w:color w:val="auto"/>
          <w:sz w:val="32"/>
          <w:szCs w:val="32"/>
          <w:highlight w:val="none"/>
          <w:lang w:val="en-US" w:eastAsia="zh-CN"/>
        </w:rPr>
        <w:t>423</w:t>
      </w:r>
      <w:r>
        <w:rPr>
          <w:rFonts w:hint="default" w:ascii="Times New Roman" w:hAnsi="Times New Roman" w:eastAsia="仿宋_GB2312" w:cs="Times New Roman"/>
          <w:color w:val="auto"/>
          <w:sz w:val="32"/>
          <w:szCs w:val="32"/>
          <w:highlight w:val="none"/>
        </w:rPr>
        <w:t>个，金额</w:t>
      </w:r>
      <w:r>
        <w:rPr>
          <w:rFonts w:hint="default" w:ascii="Times New Roman" w:hAnsi="Times New Roman" w:eastAsia="仿宋_GB2312" w:cs="Times New Roman"/>
          <w:color w:val="auto"/>
          <w:sz w:val="32"/>
          <w:szCs w:val="32"/>
          <w:highlight w:val="none"/>
          <w:lang w:val="en-US" w:eastAsia="zh-CN"/>
        </w:rPr>
        <w:t>21119.93</w:t>
      </w:r>
      <w:r>
        <w:rPr>
          <w:rFonts w:hint="default" w:ascii="Times New Roman" w:hAnsi="Times New Roman" w:eastAsia="仿宋_GB2312" w:cs="Times New Roman"/>
          <w:color w:val="auto"/>
          <w:sz w:val="32"/>
          <w:szCs w:val="32"/>
          <w:highlight w:val="none"/>
        </w:rPr>
        <w:t>万元。其中</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基础设施项目</w:t>
      </w:r>
      <w:r>
        <w:rPr>
          <w:rFonts w:hint="default" w:ascii="Times New Roman" w:hAnsi="Times New Roman" w:eastAsia="仿宋_GB2312" w:cs="Times New Roman"/>
          <w:color w:val="auto"/>
          <w:sz w:val="32"/>
          <w:szCs w:val="32"/>
          <w:highlight w:val="none"/>
          <w:lang w:val="en-US" w:eastAsia="zh-CN"/>
        </w:rPr>
        <w:t>305</w:t>
      </w:r>
      <w:r>
        <w:rPr>
          <w:rFonts w:hint="default" w:ascii="Times New Roman" w:hAnsi="Times New Roman" w:eastAsia="仿宋_GB2312" w:cs="Times New Roman"/>
          <w:color w:val="auto"/>
          <w:sz w:val="32"/>
          <w:szCs w:val="32"/>
          <w:highlight w:val="none"/>
        </w:rPr>
        <w:t>个，金额</w:t>
      </w:r>
      <w:r>
        <w:rPr>
          <w:rFonts w:hint="default" w:ascii="Times New Roman" w:hAnsi="Times New Roman" w:eastAsia="仿宋_GB2312" w:cs="Times New Roman"/>
          <w:color w:val="auto"/>
          <w:sz w:val="32"/>
          <w:szCs w:val="32"/>
          <w:highlight w:val="none"/>
          <w:lang w:val="en-US" w:eastAsia="zh-CN"/>
        </w:rPr>
        <w:t>13905.38</w:t>
      </w:r>
      <w:r>
        <w:rPr>
          <w:rFonts w:hint="default" w:ascii="Times New Roman" w:hAnsi="Times New Roman" w:eastAsia="仿宋_GB2312" w:cs="Times New Roman"/>
          <w:color w:val="auto"/>
          <w:sz w:val="32"/>
          <w:szCs w:val="32"/>
          <w:highlight w:val="none"/>
        </w:rPr>
        <w:t>万元；产业扶贫项目</w:t>
      </w:r>
      <w:r>
        <w:rPr>
          <w:rFonts w:hint="default" w:ascii="Times New Roman" w:hAnsi="Times New Roman" w:eastAsia="仿宋_GB2312" w:cs="Times New Roman"/>
          <w:color w:val="auto"/>
          <w:sz w:val="32"/>
          <w:szCs w:val="32"/>
          <w:highlight w:val="none"/>
          <w:lang w:val="en-US" w:eastAsia="zh-CN"/>
        </w:rPr>
        <w:t>112</w:t>
      </w:r>
      <w:r>
        <w:rPr>
          <w:rFonts w:hint="default" w:ascii="Times New Roman" w:hAnsi="Times New Roman" w:eastAsia="仿宋_GB2312" w:cs="Times New Roman"/>
          <w:color w:val="auto"/>
          <w:sz w:val="32"/>
          <w:szCs w:val="32"/>
          <w:highlight w:val="none"/>
        </w:rPr>
        <w:t>个，金额</w:t>
      </w:r>
      <w:r>
        <w:rPr>
          <w:rFonts w:hint="default" w:ascii="Times New Roman" w:hAnsi="Times New Roman" w:eastAsia="仿宋_GB2312" w:cs="Times New Roman"/>
          <w:color w:val="auto"/>
          <w:sz w:val="32"/>
          <w:szCs w:val="32"/>
          <w:highlight w:val="none"/>
          <w:lang w:val="en-US" w:eastAsia="zh-CN"/>
        </w:rPr>
        <w:t>4831.51</w:t>
      </w:r>
      <w:r>
        <w:rPr>
          <w:rFonts w:hint="default" w:ascii="Times New Roman" w:hAnsi="Times New Roman" w:eastAsia="仿宋_GB2312" w:cs="Times New Roman"/>
          <w:color w:val="auto"/>
          <w:sz w:val="32"/>
          <w:szCs w:val="32"/>
          <w:highlight w:val="none"/>
        </w:rPr>
        <w:t>万元；金融扶贫项目</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个，金额</w:t>
      </w:r>
      <w:r>
        <w:rPr>
          <w:rFonts w:hint="default" w:ascii="Times New Roman" w:hAnsi="Times New Roman" w:eastAsia="仿宋_GB2312" w:cs="Times New Roman"/>
          <w:color w:val="auto"/>
          <w:sz w:val="32"/>
          <w:szCs w:val="32"/>
          <w:highlight w:val="none"/>
          <w:lang w:val="en-US" w:eastAsia="zh-CN"/>
        </w:rPr>
        <w:t>120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危房改造项目1个，451.04万元；教育扶贫项目1个，540万元；就业扶贫项目1个，56万元。项目管理费1个，1216万元。</w:t>
      </w:r>
    </w:p>
    <w:p w14:paraId="12AA23DA">
      <w:pPr>
        <w:keepNext w:val="0"/>
        <w:keepLines w:val="0"/>
        <w:pageBreakBefore w:val="0"/>
        <w:widowControl w:val="0"/>
        <w:kinsoku/>
        <w:wordWrap/>
        <w:overflowPunct w:val="0"/>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滑县</w:t>
      </w:r>
      <w:r>
        <w:rPr>
          <w:rFonts w:hint="default" w:ascii="Times New Roman" w:hAnsi="Times New Roman" w:eastAsia="仿宋_GB2312" w:cs="Times New Roman"/>
          <w:color w:val="auto"/>
          <w:sz w:val="32"/>
          <w:szCs w:val="32"/>
          <w:highlight w:val="none"/>
          <w:lang w:val="en-US" w:eastAsia="zh-CN"/>
        </w:rPr>
        <w:t>2020年脱贫攻坚项目库</w:t>
      </w:r>
      <w:r>
        <w:rPr>
          <w:rFonts w:hint="default" w:ascii="Times New Roman" w:hAnsi="Times New Roman" w:eastAsia="仿宋" w:cs="Times New Roman"/>
          <w:color w:val="auto"/>
          <w:sz w:val="32"/>
          <w:szCs w:val="32"/>
          <w:highlight w:val="none"/>
        </w:rPr>
        <w:t>，共入库项目</w:t>
      </w:r>
      <w:r>
        <w:rPr>
          <w:rFonts w:hint="default" w:ascii="Times New Roman" w:hAnsi="Times New Roman" w:eastAsia="仿宋" w:cs="Times New Roman"/>
          <w:color w:val="auto"/>
          <w:sz w:val="32"/>
          <w:szCs w:val="32"/>
          <w:highlight w:val="none"/>
          <w:lang w:val="en-US" w:eastAsia="zh-CN"/>
        </w:rPr>
        <w:t>517</w:t>
      </w:r>
      <w:r>
        <w:rPr>
          <w:rFonts w:hint="default" w:ascii="Times New Roman" w:hAnsi="Times New Roman" w:eastAsia="仿宋" w:cs="Times New Roman"/>
          <w:color w:val="auto"/>
          <w:sz w:val="32"/>
          <w:szCs w:val="32"/>
          <w:highlight w:val="none"/>
        </w:rPr>
        <w:t>个，金额</w:t>
      </w:r>
      <w:r>
        <w:rPr>
          <w:rFonts w:hint="default" w:ascii="Times New Roman" w:hAnsi="Times New Roman" w:eastAsia="仿宋" w:cs="Times New Roman"/>
          <w:color w:val="auto"/>
          <w:sz w:val="32"/>
          <w:szCs w:val="32"/>
          <w:highlight w:val="none"/>
          <w:lang w:val="en-US" w:eastAsia="zh-CN"/>
        </w:rPr>
        <w:t>24485.72</w:t>
      </w:r>
      <w:r>
        <w:rPr>
          <w:rFonts w:hint="default" w:ascii="Times New Roman" w:hAnsi="Times New Roman" w:eastAsia="仿宋" w:cs="Times New Roman"/>
          <w:color w:val="auto"/>
          <w:sz w:val="32"/>
          <w:szCs w:val="32"/>
          <w:highlight w:val="none"/>
        </w:rPr>
        <w:t>万元。其中，</w:t>
      </w:r>
      <w:r>
        <w:rPr>
          <w:rFonts w:hint="default" w:ascii="Times New Roman" w:hAnsi="Times New Roman" w:eastAsia="仿宋" w:cs="Times New Roman"/>
          <w:color w:val="auto"/>
          <w:sz w:val="32"/>
          <w:szCs w:val="32"/>
          <w:highlight w:val="none"/>
          <w:lang w:eastAsia="zh-CN"/>
        </w:rPr>
        <w:t>产业扶贫类</w:t>
      </w:r>
      <w:r>
        <w:rPr>
          <w:rFonts w:hint="default" w:ascii="Times New Roman" w:hAnsi="Times New Roman" w:eastAsia="仿宋" w:cs="Times New Roman"/>
          <w:color w:val="auto"/>
          <w:sz w:val="32"/>
          <w:szCs w:val="32"/>
          <w:highlight w:val="none"/>
          <w:lang w:val="en-US" w:eastAsia="zh-CN"/>
        </w:rPr>
        <w:t>182个，</w:t>
      </w:r>
      <w:r>
        <w:rPr>
          <w:rFonts w:hint="default" w:ascii="Times New Roman" w:hAnsi="Times New Roman" w:eastAsia="仿宋" w:cs="Times New Roman"/>
          <w:color w:val="auto"/>
          <w:sz w:val="32"/>
          <w:szCs w:val="32"/>
          <w:highlight w:val="none"/>
        </w:rPr>
        <w:t>金额</w:t>
      </w:r>
      <w:r>
        <w:rPr>
          <w:rFonts w:hint="default" w:ascii="Times New Roman" w:hAnsi="Times New Roman" w:eastAsia="仿宋" w:cs="Times New Roman"/>
          <w:color w:val="auto"/>
          <w:sz w:val="32"/>
          <w:szCs w:val="32"/>
          <w:highlight w:val="none"/>
          <w:lang w:val="en-US" w:eastAsia="zh-CN"/>
        </w:rPr>
        <w:t>7011.13万元；村</w:t>
      </w:r>
      <w:r>
        <w:rPr>
          <w:rFonts w:hint="default" w:ascii="Times New Roman" w:hAnsi="Times New Roman" w:eastAsia="仿宋" w:cs="Times New Roman"/>
          <w:color w:val="auto"/>
          <w:sz w:val="32"/>
          <w:szCs w:val="32"/>
          <w:highlight w:val="none"/>
        </w:rPr>
        <w:t>基础设施项目</w:t>
      </w:r>
      <w:r>
        <w:rPr>
          <w:rFonts w:hint="default" w:ascii="Times New Roman" w:hAnsi="Times New Roman" w:eastAsia="仿宋" w:cs="Times New Roman"/>
          <w:color w:val="auto"/>
          <w:sz w:val="32"/>
          <w:szCs w:val="32"/>
          <w:highlight w:val="none"/>
          <w:lang w:val="en-US" w:eastAsia="zh-CN"/>
        </w:rPr>
        <w:t>328</w:t>
      </w:r>
      <w:r>
        <w:rPr>
          <w:rFonts w:hint="default" w:ascii="Times New Roman" w:hAnsi="Times New Roman" w:eastAsia="仿宋" w:cs="Times New Roman"/>
          <w:color w:val="auto"/>
          <w:sz w:val="32"/>
          <w:szCs w:val="32"/>
          <w:highlight w:val="none"/>
        </w:rPr>
        <w:t>个，金额</w:t>
      </w:r>
      <w:r>
        <w:rPr>
          <w:rFonts w:hint="default" w:ascii="Times New Roman" w:hAnsi="Times New Roman" w:eastAsia="仿宋" w:cs="Times New Roman"/>
          <w:color w:val="auto"/>
          <w:sz w:val="32"/>
          <w:szCs w:val="32"/>
          <w:highlight w:val="none"/>
          <w:lang w:val="en-US" w:eastAsia="zh-CN"/>
        </w:rPr>
        <w:t>14944.59</w:t>
      </w:r>
      <w:r>
        <w:rPr>
          <w:rFonts w:hint="default" w:ascii="Times New Roman" w:hAnsi="Times New Roman" w:eastAsia="仿宋" w:cs="Times New Roman"/>
          <w:color w:val="auto"/>
          <w:sz w:val="32"/>
          <w:szCs w:val="32"/>
          <w:highlight w:val="none"/>
        </w:rPr>
        <w:t>万元；金融扶贫项目</w:t>
      </w: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个，金额</w:t>
      </w:r>
      <w:r>
        <w:rPr>
          <w:rFonts w:hint="default" w:ascii="Times New Roman" w:hAnsi="Times New Roman" w:eastAsia="仿宋" w:cs="Times New Roman"/>
          <w:color w:val="auto"/>
          <w:sz w:val="32"/>
          <w:szCs w:val="32"/>
          <w:highlight w:val="none"/>
          <w:lang w:val="en-US" w:eastAsia="zh-CN"/>
        </w:rPr>
        <w:t>400</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 w:cs="Times New Roman"/>
          <w:color w:val="auto"/>
          <w:sz w:val="32"/>
          <w:szCs w:val="32"/>
          <w:highlight w:val="none"/>
          <w:lang w:eastAsia="zh-CN"/>
        </w:rPr>
        <w:t>；危房改造项目</w:t>
      </w:r>
      <w:r>
        <w:rPr>
          <w:rFonts w:hint="default" w:ascii="Times New Roman" w:hAnsi="Times New Roman" w:eastAsia="仿宋" w:cs="Times New Roman"/>
          <w:color w:val="auto"/>
          <w:sz w:val="32"/>
          <w:szCs w:val="32"/>
          <w:highlight w:val="none"/>
          <w:lang w:val="en-US" w:eastAsia="zh-CN"/>
        </w:rPr>
        <w:t>1个，</w:t>
      </w:r>
      <w:r>
        <w:rPr>
          <w:rFonts w:hint="default" w:ascii="Times New Roman" w:hAnsi="Times New Roman" w:eastAsia="仿宋" w:cs="Times New Roman"/>
          <w:color w:val="auto"/>
          <w:sz w:val="32"/>
          <w:szCs w:val="32"/>
          <w:highlight w:val="none"/>
        </w:rPr>
        <w:t>金额</w:t>
      </w:r>
      <w:r>
        <w:rPr>
          <w:rFonts w:hint="default" w:ascii="Times New Roman" w:hAnsi="Times New Roman" w:eastAsia="仿宋" w:cs="Times New Roman"/>
          <w:color w:val="auto"/>
          <w:sz w:val="32"/>
          <w:szCs w:val="32"/>
          <w:highlight w:val="none"/>
          <w:lang w:val="en-US" w:eastAsia="zh-CN"/>
        </w:rPr>
        <w:t>154万元；教育扶贫</w:t>
      </w:r>
      <w:r>
        <w:rPr>
          <w:rFonts w:hint="default" w:ascii="Times New Roman" w:hAnsi="Times New Roman" w:eastAsia="仿宋" w:cs="Times New Roman"/>
          <w:color w:val="auto"/>
          <w:sz w:val="32"/>
          <w:szCs w:val="32"/>
          <w:highlight w:val="none"/>
        </w:rPr>
        <w:t>项目</w:t>
      </w:r>
      <w:r>
        <w:rPr>
          <w:rFonts w:hint="default" w:ascii="Times New Roman" w:hAnsi="Times New Roman" w:eastAsia="仿宋" w:cs="Times New Roman"/>
          <w:color w:val="auto"/>
          <w:sz w:val="32"/>
          <w:szCs w:val="32"/>
          <w:highlight w:val="none"/>
          <w:lang w:val="en-US" w:eastAsia="zh-CN"/>
        </w:rPr>
        <w:t>2个，</w:t>
      </w:r>
      <w:r>
        <w:rPr>
          <w:rFonts w:hint="default" w:ascii="Times New Roman" w:hAnsi="Times New Roman" w:eastAsia="仿宋" w:cs="Times New Roman"/>
          <w:color w:val="auto"/>
          <w:sz w:val="32"/>
          <w:szCs w:val="32"/>
          <w:highlight w:val="none"/>
        </w:rPr>
        <w:t>金额</w:t>
      </w:r>
      <w:r>
        <w:rPr>
          <w:rFonts w:hint="default" w:ascii="Times New Roman" w:hAnsi="Times New Roman" w:eastAsia="仿宋" w:cs="Times New Roman"/>
          <w:color w:val="auto"/>
          <w:sz w:val="32"/>
          <w:szCs w:val="32"/>
          <w:highlight w:val="none"/>
          <w:lang w:val="en-US" w:eastAsia="zh-CN"/>
        </w:rPr>
        <w:t>680万元，就业扶贫项目1个，金额80万元；项目管理费1个，金额1216万元。</w:t>
      </w:r>
    </w:p>
    <w:p w14:paraId="2778A3D5">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自评得分4分。</w:t>
      </w:r>
    </w:p>
    <w:p w14:paraId="0E3A3D97">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6．项目管理制度建设和执行情况（</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分）</w:t>
      </w:r>
    </w:p>
    <w:p w14:paraId="0356CA34">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为加强项目的管理，</w:t>
      </w:r>
      <w:r>
        <w:rPr>
          <w:rFonts w:hint="default" w:ascii="Times New Roman" w:hAnsi="Times New Roman" w:eastAsia="仿宋_GB2312" w:cs="Times New Roman"/>
          <w:color w:val="auto"/>
          <w:sz w:val="32"/>
          <w:szCs w:val="32"/>
          <w:highlight w:val="none"/>
          <w:lang w:eastAsia="zh-CN"/>
        </w:rPr>
        <w:t>出台</w:t>
      </w:r>
      <w:r>
        <w:rPr>
          <w:rFonts w:hint="default" w:ascii="Times New Roman" w:hAnsi="Times New Roman" w:eastAsia="仿宋_GB2312" w:cs="Times New Roman"/>
          <w:color w:val="auto"/>
          <w:sz w:val="32"/>
          <w:szCs w:val="32"/>
          <w:highlight w:val="none"/>
        </w:rPr>
        <w:t>了《</w:t>
      </w:r>
      <w:r>
        <w:rPr>
          <w:rFonts w:hint="default" w:ascii="Times New Roman" w:hAnsi="Times New Roman" w:eastAsia="仿宋_GB2312" w:cs="Times New Roman"/>
          <w:color w:val="auto"/>
          <w:sz w:val="32"/>
          <w:szCs w:val="32"/>
          <w:highlight w:val="none"/>
          <w:lang w:val="en-US" w:eastAsia="zh-CN"/>
        </w:rPr>
        <w:t>滑县人民政府办公室关于印发</w:t>
      </w:r>
      <w:r>
        <w:rPr>
          <w:rFonts w:hint="default" w:ascii="Times New Roman" w:hAnsi="Times New Roman" w:eastAsia="仿宋_GB2312" w:cs="Times New Roman"/>
          <w:color w:val="auto"/>
          <w:sz w:val="32"/>
          <w:szCs w:val="32"/>
          <w:highlight w:val="none"/>
        </w:rPr>
        <w:t>滑县扶贫资金监督管理办法</w:t>
      </w:r>
      <w:r>
        <w:rPr>
          <w:rFonts w:hint="default" w:ascii="Times New Roman" w:hAnsi="Times New Roman" w:eastAsia="仿宋_GB2312" w:cs="Times New Roman"/>
          <w:color w:val="auto"/>
          <w:sz w:val="32"/>
          <w:szCs w:val="32"/>
          <w:highlight w:val="none"/>
          <w:lang w:val="en-US" w:eastAsia="zh-CN"/>
        </w:rPr>
        <w:t>的通知</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（滑政办</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2016</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77号）、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滑县财政局 滑县扶贫开发办公室关于加强扶贫资金管理补充规定的通知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（滑财</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2019</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70号）、</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滑县扶贫开发领导小组办公室关于印发滑县脱贫攻坚项目库管理办法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滑扶贫组办</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2018</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55号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《滑县扶贫开发办公室</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滑县财政局关于印发滑县扶贫资金项目公告公示制度实施细则的通知》（滑扶贫办〔2019〕20号）</w:t>
      </w:r>
      <w:r>
        <w:rPr>
          <w:rFonts w:hint="default" w:ascii="Times New Roman" w:hAnsi="Times New Roman" w:eastAsia="仿宋_GB2312" w:cs="Times New Roman"/>
          <w:color w:val="auto"/>
          <w:sz w:val="32"/>
          <w:szCs w:val="32"/>
          <w:highlight w:val="none"/>
          <w:lang w:eastAsia="zh-CN"/>
        </w:rPr>
        <w:t>、《滑县扶贫开发领导小组办公室关于印发滑县扶贫项目管理办法（</w:t>
      </w:r>
      <w:r>
        <w:rPr>
          <w:rFonts w:hint="default" w:ascii="Times New Roman" w:hAnsi="Times New Roman" w:eastAsia="仿宋_GB2312" w:cs="Times New Roman"/>
          <w:color w:val="auto"/>
          <w:sz w:val="32"/>
          <w:szCs w:val="32"/>
          <w:highlight w:val="none"/>
          <w:lang w:val="en-US" w:eastAsia="zh-CN"/>
        </w:rPr>
        <w:t>试行</w:t>
      </w:r>
      <w:r>
        <w:rPr>
          <w:rFonts w:hint="default" w:ascii="Times New Roman" w:hAnsi="Times New Roman" w:eastAsia="仿宋_GB2312" w:cs="Times New Roman"/>
          <w:color w:val="auto"/>
          <w:sz w:val="32"/>
          <w:szCs w:val="32"/>
          <w:highlight w:val="none"/>
          <w:lang w:eastAsia="zh-CN"/>
        </w:rPr>
        <w:t>）的通知》（</w:t>
      </w:r>
      <w:r>
        <w:rPr>
          <w:rFonts w:hint="default" w:ascii="Times New Roman" w:hAnsi="Times New Roman" w:eastAsia="仿宋_GB2312" w:cs="Times New Roman"/>
          <w:color w:val="auto"/>
          <w:sz w:val="32"/>
          <w:szCs w:val="32"/>
          <w:highlight w:val="none"/>
          <w:lang w:val="en-US" w:eastAsia="zh-CN"/>
        </w:rPr>
        <w:t>滑扶贫组办</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2019</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18号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等一系列管理制度，同时认真执行项目公示公告、招投标制、集中采购等相关管理制度。我县财政专项扶贫资金项目</w:t>
      </w:r>
      <w:r>
        <w:rPr>
          <w:rFonts w:hint="default" w:ascii="Times New Roman" w:hAnsi="Times New Roman" w:eastAsia="仿宋_GB2312" w:cs="Times New Roman"/>
          <w:color w:val="auto"/>
          <w:sz w:val="32"/>
          <w:szCs w:val="32"/>
          <w:highlight w:val="none"/>
          <w:lang w:val="en-US" w:eastAsia="zh-CN"/>
        </w:rPr>
        <w:t>严格</w:t>
      </w:r>
      <w:r>
        <w:rPr>
          <w:rFonts w:hint="default" w:ascii="Times New Roman" w:hAnsi="Times New Roman" w:eastAsia="仿宋_GB2312" w:cs="Times New Roman"/>
          <w:color w:val="auto"/>
          <w:sz w:val="32"/>
          <w:szCs w:val="32"/>
          <w:highlight w:val="none"/>
        </w:rPr>
        <w:t>按照相关</w:t>
      </w:r>
      <w:r>
        <w:rPr>
          <w:rFonts w:hint="default" w:ascii="Times New Roman" w:hAnsi="Times New Roman" w:eastAsia="仿宋_GB2312" w:cs="Times New Roman"/>
          <w:color w:val="auto"/>
          <w:sz w:val="32"/>
          <w:szCs w:val="32"/>
          <w:highlight w:val="none"/>
          <w:lang w:val="en-US" w:eastAsia="zh-CN"/>
        </w:rPr>
        <w:t>政策</w:t>
      </w:r>
      <w:r>
        <w:rPr>
          <w:rFonts w:hint="default" w:ascii="Times New Roman" w:hAnsi="Times New Roman" w:eastAsia="仿宋_GB2312" w:cs="Times New Roman"/>
          <w:color w:val="auto"/>
          <w:sz w:val="32"/>
          <w:szCs w:val="32"/>
          <w:highlight w:val="none"/>
        </w:rPr>
        <w:t>要求认真执行。自评得分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分。</w:t>
      </w:r>
    </w:p>
    <w:p w14:paraId="18562106">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7．项目建设进度（</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分）</w:t>
      </w:r>
    </w:p>
    <w:p w14:paraId="49432C8C">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月底，滑县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财政扶贫资金项目全部竣工，</w:t>
      </w:r>
      <w:r>
        <w:rPr>
          <w:rFonts w:hint="default" w:ascii="Times New Roman" w:hAnsi="Times New Roman" w:eastAsia="仿宋_GB2312" w:cs="Times New Roman"/>
          <w:color w:val="auto"/>
          <w:sz w:val="32"/>
          <w:szCs w:val="32"/>
          <w:highlight w:val="none"/>
          <w:lang w:eastAsia="zh-CN"/>
        </w:rPr>
        <w:t>统筹整合财政涉农资金</w:t>
      </w:r>
      <w:r>
        <w:rPr>
          <w:rFonts w:hint="default" w:ascii="Times New Roman" w:hAnsi="Times New Roman" w:eastAsia="仿宋_GB2312" w:cs="Times New Roman"/>
          <w:color w:val="auto"/>
          <w:sz w:val="32"/>
          <w:szCs w:val="32"/>
          <w:highlight w:val="none"/>
          <w:lang w:val="en-US" w:eastAsia="zh-CN"/>
        </w:rPr>
        <w:t>19903.93万元，支出资金19248.96万元，</w:t>
      </w:r>
      <w:r>
        <w:rPr>
          <w:rFonts w:hint="default" w:ascii="Times New Roman" w:hAnsi="Times New Roman" w:eastAsia="仿宋_GB2312" w:cs="Times New Roman"/>
          <w:color w:val="auto"/>
          <w:sz w:val="32"/>
          <w:szCs w:val="32"/>
          <w:highlight w:val="none"/>
        </w:rPr>
        <w:t>资金支付</w:t>
      </w:r>
      <w:r>
        <w:rPr>
          <w:rFonts w:hint="default" w:ascii="Times New Roman" w:hAnsi="Times New Roman" w:eastAsia="仿宋_GB2312" w:cs="Times New Roman"/>
          <w:color w:val="auto"/>
          <w:sz w:val="32"/>
          <w:szCs w:val="32"/>
          <w:highlight w:val="none"/>
          <w:lang w:eastAsia="zh-CN"/>
        </w:rPr>
        <w:t>进度</w:t>
      </w:r>
      <w:r>
        <w:rPr>
          <w:rFonts w:hint="default" w:ascii="Times New Roman" w:hAnsi="Times New Roman" w:eastAsia="仿宋_GB2312" w:cs="Times New Roman"/>
          <w:color w:val="auto"/>
          <w:sz w:val="32"/>
          <w:szCs w:val="32"/>
          <w:highlight w:val="none"/>
          <w:lang w:val="en-US" w:eastAsia="zh-CN"/>
        </w:rPr>
        <w:t xml:space="preserve">96.71 </w:t>
      </w:r>
      <w:r>
        <w:rPr>
          <w:rFonts w:hint="default" w:ascii="Times New Roman" w:hAnsi="Times New Roman" w:eastAsia="仿宋_GB2312" w:cs="Times New Roman"/>
          <w:color w:val="auto"/>
          <w:sz w:val="32"/>
          <w:szCs w:val="32"/>
          <w:highlight w:val="none"/>
        </w:rPr>
        <w:t>%。自评得分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分。</w:t>
      </w:r>
    </w:p>
    <w:p w14:paraId="055BE934">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四</w:t>
      </w:r>
      <w:r>
        <w:rPr>
          <w:rFonts w:hint="default" w:ascii="Times New Roman" w:hAnsi="Times New Roman" w:eastAsia="楷体_GB2312" w:cs="Times New Roman"/>
          <w:color w:val="auto"/>
          <w:sz w:val="32"/>
          <w:szCs w:val="32"/>
          <w:highlight w:val="none"/>
        </w:rPr>
        <w:t>）资金使用成效（</w:t>
      </w:r>
      <w:r>
        <w:rPr>
          <w:rFonts w:hint="default" w:ascii="Times New Roman" w:hAnsi="Times New Roman" w:eastAsia="楷体_GB2312" w:cs="Times New Roman"/>
          <w:color w:val="auto"/>
          <w:sz w:val="32"/>
          <w:szCs w:val="32"/>
          <w:highlight w:val="none"/>
          <w:lang w:val="en-US" w:eastAsia="zh-CN"/>
        </w:rPr>
        <w:t>62</w:t>
      </w:r>
      <w:r>
        <w:rPr>
          <w:rFonts w:hint="default" w:ascii="Times New Roman" w:hAnsi="Times New Roman" w:eastAsia="楷体_GB2312" w:cs="Times New Roman"/>
          <w:color w:val="auto"/>
          <w:sz w:val="32"/>
          <w:szCs w:val="32"/>
          <w:highlight w:val="none"/>
        </w:rPr>
        <w:t>分）</w:t>
      </w:r>
    </w:p>
    <w:p w14:paraId="3BAADB4A">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8．年度资金结转结余率（1</w:t>
      </w: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rPr>
        <w:t>分）</w:t>
      </w:r>
    </w:p>
    <w:p w14:paraId="2C3E7FE6">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lang w:val="en-US" w:eastAsia="zh-CN"/>
        </w:rPr>
        <w:t>12月</w:t>
      </w:r>
      <w:r>
        <w:rPr>
          <w:rFonts w:hint="default" w:ascii="Times New Roman" w:hAnsi="Times New Roman" w:eastAsia="仿宋_GB2312" w:cs="Times New Roman"/>
          <w:color w:val="auto"/>
          <w:sz w:val="32"/>
          <w:szCs w:val="32"/>
          <w:highlight w:val="none"/>
        </w:rPr>
        <w:t>底我县财政扶贫资金专户结余资金数为</w:t>
      </w:r>
      <w:r>
        <w:rPr>
          <w:rFonts w:hint="default" w:ascii="Times New Roman" w:hAnsi="Times New Roman" w:eastAsia="仿宋_GB2312" w:cs="Times New Roman"/>
          <w:color w:val="auto"/>
          <w:sz w:val="32"/>
          <w:szCs w:val="32"/>
          <w:highlight w:val="none"/>
          <w:lang w:val="en-US" w:eastAsia="zh-CN"/>
        </w:rPr>
        <w:t>510.84</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全部</w:t>
      </w:r>
      <w:r>
        <w:rPr>
          <w:rFonts w:hint="default" w:ascii="Times New Roman" w:hAnsi="Times New Roman" w:eastAsia="仿宋_GB2312" w:cs="Times New Roman"/>
          <w:color w:val="auto"/>
          <w:sz w:val="32"/>
          <w:szCs w:val="32"/>
          <w:highlight w:val="none"/>
          <w:lang w:val="en-US" w:eastAsia="zh-CN"/>
        </w:rPr>
        <w:t>2019年度结转结余资金</w:t>
      </w:r>
      <w:r>
        <w:rPr>
          <w:rFonts w:hint="default" w:ascii="Times New Roman" w:hAnsi="Times New Roman" w:eastAsia="仿宋_GB2312" w:cs="Times New Roman"/>
          <w:color w:val="auto"/>
          <w:sz w:val="32"/>
          <w:szCs w:val="32"/>
          <w:highlight w:val="none"/>
        </w:rPr>
        <w:t>，结转结余率为</w:t>
      </w:r>
      <w:r>
        <w:rPr>
          <w:rFonts w:hint="default" w:ascii="Times New Roman" w:hAnsi="Times New Roman" w:eastAsia="仿宋_GB2312" w:cs="Times New Roman"/>
          <w:color w:val="auto"/>
          <w:sz w:val="32"/>
          <w:szCs w:val="32"/>
          <w:highlight w:val="none"/>
          <w:lang w:val="en-US" w:eastAsia="zh-CN"/>
        </w:rPr>
        <w:t>4.37</w:t>
      </w:r>
      <w:r>
        <w:rPr>
          <w:rFonts w:hint="default" w:ascii="Times New Roman" w:hAnsi="Times New Roman" w:eastAsia="仿宋_GB2312" w:cs="Times New Roman"/>
          <w:color w:val="auto"/>
          <w:sz w:val="32"/>
          <w:szCs w:val="32"/>
          <w:highlight w:val="none"/>
        </w:rPr>
        <w:t>%；结转结余1－2年的资金</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万元，结转结余率为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%。自评得分</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分。</w:t>
      </w:r>
    </w:p>
    <w:p w14:paraId="72FDEDB7">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9．资金统筹整合使用成效（1</w:t>
      </w: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rPr>
        <w:t>分）</w:t>
      </w:r>
    </w:p>
    <w:p w14:paraId="40663C7F">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脱贫攻坚规划，我县于</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月份印发了《</w:t>
      </w:r>
      <w:r>
        <w:rPr>
          <w:rFonts w:hint="default" w:ascii="Times New Roman" w:hAnsi="Times New Roman" w:eastAsia="仿宋_GB2312" w:cs="Times New Roman"/>
          <w:color w:val="auto"/>
          <w:sz w:val="32"/>
          <w:szCs w:val="32"/>
          <w:highlight w:val="none"/>
          <w:lang w:eastAsia="zh-CN"/>
        </w:rPr>
        <w:t>滑县2019年</w:t>
      </w:r>
      <w:r>
        <w:rPr>
          <w:rFonts w:hint="default" w:ascii="Times New Roman" w:hAnsi="Times New Roman" w:eastAsia="仿宋_GB2312" w:cs="Times New Roman"/>
          <w:color w:val="auto"/>
          <w:sz w:val="32"/>
          <w:szCs w:val="32"/>
          <w:highlight w:val="none"/>
        </w:rPr>
        <w:t>统筹整合财政涉农资金实施方案》，并于</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月份进行了年中调整。统筹整合财政涉农资金实施方案已按规定上报省</w:t>
      </w:r>
      <w:r>
        <w:rPr>
          <w:rFonts w:hint="default" w:ascii="Times New Roman" w:hAnsi="Times New Roman" w:eastAsia="仿宋_GB2312" w:cs="Times New Roman"/>
          <w:color w:val="auto"/>
          <w:sz w:val="32"/>
          <w:szCs w:val="32"/>
          <w:highlight w:val="none"/>
          <w:lang w:eastAsia="zh-CN"/>
        </w:rPr>
        <w:t>扶贫领导小组</w:t>
      </w:r>
      <w:r>
        <w:rPr>
          <w:rFonts w:hint="default" w:ascii="Times New Roman" w:hAnsi="Times New Roman" w:eastAsia="仿宋_GB2312" w:cs="Times New Roman"/>
          <w:color w:val="auto"/>
          <w:sz w:val="32"/>
          <w:szCs w:val="32"/>
          <w:highlight w:val="none"/>
        </w:rPr>
        <w:t>备案。</w:t>
      </w:r>
    </w:p>
    <w:p w14:paraId="789AA7E1">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，滑县统筹整合财政涉农资金</w:t>
      </w:r>
      <w:r>
        <w:rPr>
          <w:rFonts w:hint="default" w:ascii="Times New Roman" w:hAnsi="Times New Roman" w:eastAsia="仿宋_GB2312" w:cs="Times New Roman"/>
          <w:color w:val="auto"/>
          <w:sz w:val="32"/>
          <w:szCs w:val="32"/>
          <w:highlight w:val="none"/>
          <w:lang w:val="en-US" w:eastAsia="zh-CN"/>
        </w:rPr>
        <w:t>19903.93</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实施脱贫攻坚项目</w:t>
      </w:r>
      <w:r>
        <w:rPr>
          <w:rFonts w:hint="default" w:ascii="Times New Roman" w:hAnsi="Times New Roman" w:eastAsia="仿宋_GB2312" w:cs="Times New Roman"/>
          <w:color w:val="auto"/>
          <w:sz w:val="32"/>
          <w:szCs w:val="32"/>
          <w:highlight w:val="none"/>
          <w:lang w:val="en-US" w:eastAsia="zh-CN"/>
        </w:rPr>
        <w:t>422个</w:t>
      </w:r>
      <w:r>
        <w:rPr>
          <w:rFonts w:hint="default" w:ascii="Times New Roman" w:hAnsi="Times New Roman" w:eastAsia="仿宋_GB2312" w:cs="Times New Roman"/>
          <w:color w:val="auto"/>
          <w:sz w:val="32"/>
          <w:szCs w:val="32"/>
          <w:highlight w:val="none"/>
        </w:rPr>
        <w:t>，主要用于农村基础设施建设、</w:t>
      </w:r>
      <w:r>
        <w:rPr>
          <w:rFonts w:hint="default" w:ascii="Times New Roman" w:hAnsi="Times New Roman" w:eastAsia="仿宋_GB2312" w:cs="Times New Roman"/>
          <w:color w:val="auto"/>
          <w:sz w:val="32"/>
          <w:szCs w:val="32"/>
          <w:highlight w:val="none"/>
          <w:lang w:eastAsia="zh-CN"/>
        </w:rPr>
        <w:t>农业生产发展等</w:t>
      </w:r>
      <w:r>
        <w:rPr>
          <w:rFonts w:hint="default" w:ascii="Times New Roman" w:hAnsi="Times New Roman" w:eastAsia="仿宋_GB2312" w:cs="Times New Roman"/>
          <w:color w:val="auto"/>
          <w:sz w:val="32"/>
          <w:szCs w:val="32"/>
          <w:highlight w:val="none"/>
        </w:rPr>
        <w:t>项目。</w:t>
      </w:r>
    </w:p>
    <w:p w14:paraId="47D94F6F">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为做好资金统筹整合工作，我县多次召开会议，贯彻落实上级政策，研究制定我县实施方案，对相关县直单位和乡镇进行业务培训，及时报送资金项目信息，并在相关媒体宣传我县资金统筹整合使用成效。</w:t>
      </w:r>
    </w:p>
    <w:p w14:paraId="3D8E5C21">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统筹整合资金投入，脱贫攻坚项目的实施，取得了明显成效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群众满意度大幅提高。农村基础设施和公共服务条件进一步改善，群众生产生活更加便利</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内生动力明显增强。通过政策引导、典型示范、宣传教育，贫困户思想观念发生明显转变，从要我脱贫转变为我要脱贫，干事创业激情涌动，活力迸发。干部素质得到提高。县四大班子领导深入一线为贫困户脱贫觅良策、找出路，县</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村三级党员干部实行结对帮扶，一包到底，不脱贫不脱钩，干部队伍得到锤炼，能力素质得到提升，作风纪律得到转变。</w:t>
      </w:r>
    </w:p>
    <w:p w14:paraId="53323C74">
      <w:pPr>
        <w:keepNext w:val="0"/>
        <w:keepLines w:val="0"/>
        <w:pageBreakBefore w:val="0"/>
        <w:widowControl w:val="0"/>
        <w:kinsoku/>
        <w:wordWrap/>
        <w:overflowPunct w:val="0"/>
        <w:topLinePunct w:val="0"/>
        <w:autoSpaceDE/>
        <w:autoSpaceDN/>
        <w:bidi w:val="0"/>
        <w:adjustRightInd/>
        <w:snapToGrid/>
        <w:spacing w:line="540" w:lineRule="exact"/>
        <w:ind w:right="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自评得分1</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分。</w:t>
      </w:r>
    </w:p>
    <w:p w14:paraId="0EFA24E4">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10．贫困人口减少（</w:t>
      </w:r>
      <w:r>
        <w:rPr>
          <w:rFonts w:hint="default" w:ascii="Times New Roman" w:hAnsi="Times New Roman" w:eastAsia="仿宋_GB2312" w:cs="Times New Roman"/>
          <w:b/>
          <w:bCs/>
          <w:color w:val="auto"/>
          <w:sz w:val="32"/>
          <w:szCs w:val="32"/>
          <w:highlight w:val="none"/>
          <w:lang w:val="en-US" w:eastAsia="zh-CN"/>
        </w:rPr>
        <w:t>8</w:t>
      </w:r>
      <w:r>
        <w:rPr>
          <w:rFonts w:hint="default" w:ascii="Times New Roman" w:hAnsi="Times New Roman" w:eastAsia="仿宋_GB2312" w:cs="Times New Roman"/>
          <w:b/>
          <w:bCs/>
          <w:color w:val="auto"/>
          <w:sz w:val="32"/>
          <w:szCs w:val="32"/>
          <w:highlight w:val="none"/>
        </w:rPr>
        <w:t>分）</w:t>
      </w:r>
    </w:p>
    <w:p w14:paraId="358A66C3">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我县</w:t>
      </w:r>
      <w:r>
        <w:rPr>
          <w:rFonts w:hint="default" w:ascii="Times New Roman" w:hAnsi="Times New Roman" w:eastAsia="仿宋_GB2312" w:cs="Times New Roman"/>
          <w:color w:val="auto"/>
          <w:sz w:val="32"/>
          <w:szCs w:val="32"/>
          <w:highlight w:val="none"/>
          <w:lang w:eastAsia="zh-CN"/>
        </w:rPr>
        <w:t>实现减贫</w:t>
      </w:r>
      <w:r>
        <w:rPr>
          <w:rFonts w:hint="default" w:ascii="Times New Roman" w:hAnsi="Times New Roman" w:eastAsia="仿宋_GB2312" w:cs="Times New Roman"/>
          <w:color w:val="auto"/>
          <w:sz w:val="32"/>
          <w:szCs w:val="32"/>
          <w:highlight w:val="none"/>
          <w:lang w:val="en-US" w:eastAsia="zh-CN"/>
        </w:rPr>
        <w:t>6659人，完成减贫6000人</w:t>
      </w:r>
      <w:r>
        <w:rPr>
          <w:rFonts w:hint="default" w:ascii="Times New Roman" w:hAnsi="Times New Roman" w:eastAsia="仿宋_GB2312" w:cs="Times New Roman"/>
          <w:color w:val="auto"/>
          <w:sz w:val="32"/>
          <w:szCs w:val="32"/>
          <w:highlight w:val="none"/>
        </w:rPr>
        <w:t>目标，对照贫困人口脱贫标准，通过评议、核实、公告、公示等贫困户退出程序，在全国扶贫开发信息系统业务管理子系统进行标识脱贫。自评得分</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分。</w:t>
      </w:r>
    </w:p>
    <w:p w14:paraId="09127DE1">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11．精准使用情况（</w:t>
      </w:r>
      <w:r>
        <w:rPr>
          <w:rFonts w:hint="default" w:ascii="Times New Roman" w:hAnsi="Times New Roman" w:eastAsia="仿宋_GB2312" w:cs="Times New Roman"/>
          <w:b/>
          <w:bCs/>
          <w:color w:val="auto"/>
          <w:sz w:val="32"/>
          <w:szCs w:val="32"/>
          <w:highlight w:val="none"/>
          <w:lang w:val="en-US" w:eastAsia="zh-CN"/>
        </w:rPr>
        <w:t>24</w:t>
      </w:r>
      <w:r>
        <w:rPr>
          <w:rFonts w:hint="default" w:ascii="Times New Roman" w:hAnsi="Times New Roman" w:eastAsia="仿宋_GB2312" w:cs="Times New Roman"/>
          <w:b/>
          <w:bCs/>
          <w:color w:val="auto"/>
          <w:sz w:val="32"/>
          <w:szCs w:val="32"/>
          <w:highlight w:val="none"/>
        </w:rPr>
        <w:t>分）</w:t>
      </w:r>
    </w:p>
    <w:p w14:paraId="32678A82">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脱贫攻坚规划项目，紧紧围绕解决贫困群众的“两不愁三保障”问题，</w:t>
      </w:r>
      <w:r>
        <w:rPr>
          <w:rFonts w:hint="default" w:ascii="Times New Roman" w:hAnsi="Times New Roman" w:eastAsia="仿宋_GB2312" w:cs="Times New Roman"/>
          <w:color w:val="auto"/>
          <w:sz w:val="32"/>
          <w:szCs w:val="32"/>
          <w:highlight w:val="none"/>
          <w:lang w:val="en-US" w:eastAsia="zh-CN"/>
        </w:rPr>
        <w:t>严格按照项目入库程序进行申报，把好入库关，同时全面加强扶贫资金项目绩效管理，将项目绩效管理贯穿资金项目管理的全过程；</w:t>
      </w:r>
      <w:r>
        <w:rPr>
          <w:rFonts w:hint="default" w:ascii="Times New Roman" w:hAnsi="Times New Roman" w:eastAsia="仿宋_GB2312" w:cs="Times New Roman"/>
          <w:color w:val="auto"/>
          <w:sz w:val="32"/>
          <w:szCs w:val="32"/>
          <w:highlight w:val="none"/>
        </w:rPr>
        <w:t>为保证规划的科学性、严谨性，我们多次征集部门、乡镇意见，经过反复筛选、多方论证，通过政府常务会议、扶贫开发领导小组会</w:t>
      </w:r>
      <w:r>
        <w:rPr>
          <w:rFonts w:hint="default" w:ascii="Times New Roman" w:hAnsi="Times New Roman" w:eastAsia="仿宋_GB2312" w:cs="Times New Roman"/>
          <w:color w:val="auto"/>
          <w:sz w:val="32"/>
          <w:szCs w:val="32"/>
          <w:highlight w:val="none"/>
          <w:lang w:eastAsia="zh-CN"/>
        </w:rPr>
        <w:t>议</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eastAsia="zh-CN"/>
        </w:rPr>
        <w:t>进行</w:t>
      </w:r>
      <w:r>
        <w:rPr>
          <w:rFonts w:hint="default" w:ascii="Times New Roman" w:hAnsi="Times New Roman" w:eastAsia="仿宋_GB2312" w:cs="Times New Roman"/>
          <w:color w:val="auto"/>
          <w:sz w:val="32"/>
          <w:szCs w:val="32"/>
          <w:highlight w:val="none"/>
        </w:rPr>
        <w:t>讨论，最终确定了滑县</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脱贫攻坚规划项目。为保证</w:t>
      </w: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规划项目的顺利实施，</w:t>
      </w:r>
      <w:r>
        <w:rPr>
          <w:rFonts w:hint="default" w:ascii="Times New Roman" w:hAnsi="Times New Roman" w:eastAsia="仿宋_GB2312" w:cs="Times New Roman"/>
          <w:color w:val="auto"/>
          <w:sz w:val="32"/>
          <w:szCs w:val="32"/>
          <w:highlight w:val="none"/>
          <w:lang w:eastAsia="zh-CN"/>
        </w:rPr>
        <w:t>各类项目都制定了实施</w:t>
      </w:r>
      <w:r>
        <w:rPr>
          <w:rFonts w:hint="default" w:ascii="Times New Roman" w:hAnsi="Times New Roman" w:eastAsia="仿宋_GB2312" w:cs="Times New Roman"/>
          <w:color w:val="auto"/>
          <w:sz w:val="32"/>
          <w:szCs w:val="32"/>
          <w:highlight w:val="none"/>
        </w:rPr>
        <w:t>方案，对项目的具体操作进行规范，保证项目的规范管理，资金的精准使用。自评得分</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rPr>
        <w:t>分。</w:t>
      </w:r>
    </w:p>
    <w:p w14:paraId="7849D3E8">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五</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工作评价</w:t>
      </w:r>
    </w:p>
    <w:p w14:paraId="6C236721">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12. 扶贫资金数据材料报送及日常工作（3分）</w:t>
      </w:r>
    </w:p>
    <w:p w14:paraId="22A00C4B">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在日常数据及年度重要扶贫资金数据报送工作中，我县均严格按照上级通知要求及时准确的完成了数据报送工作。</w:t>
      </w:r>
      <w:r>
        <w:rPr>
          <w:rFonts w:hint="default" w:ascii="Times New Roman" w:hAnsi="Times New Roman" w:eastAsia="仿宋_GB2312" w:cs="Times New Roman"/>
          <w:color w:val="auto"/>
          <w:sz w:val="32"/>
          <w:szCs w:val="32"/>
          <w:highlight w:val="none"/>
        </w:rPr>
        <w:t>自评得分</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分。</w:t>
      </w:r>
    </w:p>
    <w:p w14:paraId="57C9BED3">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（六）加减分指标</w:t>
      </w:r>
    </w:p>
    <w:p w14:paraId="2798C11B">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．机制创新</w:t>
      </w:r>
    </w:p>
    <w:p w14:paraId="0AF53EF9">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一是完善机制，压实工作责任。</w:t>
      </w:r>
      <w:r>
        <w:rPr>
          <w:rFonts w:hint="default" w:ascii="Times New Roman" w:hAnsi="Times New Roman" w:eastAsia="仿宋_GB2312" w:cs="Times New Roman"/>
          <w:color w:val="auto"/>
          <w:sz w:val="32"/>
          <w:szCs w:val="32"/>
          <w:highlight w:val="none"/>
          <w:lang w:val="en-US" w:eastAsia="zh-CN"/>
        </w:rPr>
        <w:t>坚持以脱贫攻坚统揽全局不动摇，继续强化县委、县政府主要负责同志履行脱贫攻坚第一责任人的责任，县乡村三级书记抓扶贫；县委常委会、政府常务会多次研究脱贫攻坚工作，先后召开县扶贫开发领导小组例会17次，召开全县脱贫攻坚整改提升誓师大会，压实脱贫攻坚工作任务。在2018年成立14个县级领导干部任组长的脱贫攻坚工作专班基础上，改设脱贫攻坚指挥部，各乡镇（街道）设立分指挥部，建立高效的指挥系统。实行脱贫攻坚战令和交办单制度，2019年已下达战令30个，下发交办单300余个，限期整改落实。继续将脱贫攻坚作为考核乡镇和县直部门的主要指标，乡镇考核中脱贫攻坚占70%的权重。坚持开展观摩调研，由县四大班子主要领导带队，组织相关部门负责人，对乡镇脱贫攻坚工作进行随机抽查观摩，现场点评，打分排队。</w:t>
      </w:r>
    </w:p>
    <w:p w14:paraId="73ADBEBD">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二是财政扶贫资金日报制，落实项目管理制度。</w:t>
      </w:r>
      <w:r>
        <w:rPr>
          <w:rFonts w:hint="default" w:ascii="Times New Roman" w:hAnsi="Times New Roman" w:eastAsia="仿宋_GB2312" w:cs="Times New Roman"/>
          <w:color w:val="auto"/>
          <w:sz w:val="32"/>
          <w:szCs w:val="32"/>
          <w:highlight w:val="none"/>
        </w:rPr>
        <w:t>为避免重资金拨付、轻监督检查的倾向,保证项目资金高效运行，滑县始终把对财政扶贫资金的监督检查贯穿于项目实施的全过程。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）坚持</w:t>
      </w:r>
      <w:r>
        <w:rPr>
          <w:rFonts w:hint="default" w:ascii="Times New Roman" w:hAnsi="Times New Roman" w:eastAsia="仿宋_GB2312" w:cs="Times New Roman"/>
          <w:color w:val="auto"/>
          <w:sz w:val="32"/>
          <w:szCs w:val="32"/>
          <w:highlight w:val="none"/>
          <w:u w:val="none"/>
          <w:lang w:eastAsia="zh-CN"/>
        </w:rPr>
        <w:t>日报制度。</w:t>
      </w:r>
      <w:r>
        <w:rPr>
          <w:rFonts w:hint="default" w:ascii="Times New Roman" w:hAnsi="Times New Roman" w:eastAsia="仿宋_GB2312" w:cs="Times New Roman"/>
          <w:color w:val="auto"/>
          <w:sz w:val="32"/>
          <w:szCs w:val="32"/>
          <w:highlight w:val="none"/>
        </w:rPr>
        <w:t>县扶贫开发领导小组办公室每</w:t>
      </w:r>
      <w:r>
        <w:rPr>
          <w:rFonts w:hint="default" w:ascii="Times New Roman" w:hAnsi="Times New Roman" w:eastAsia="仿宋_GB2312" w:cs="Times New Roman"/>
          <w:color w:val="auto"/>
          <w:sz w:val="32"/>
          <w:szCs w:val="32"/>
          <w:highlight w:val="none"/>
          <w:lang w:eastAsia="zh-CN"/>
        </w:rPr>
        <w:t>天</w:t>
      </w:r>
      <w:r>
        <w:rPr>
          <w:rFonts w:hint="default" w:ascii="Times New Roman" w:hAnsi="Times New Roman" w:eastAsia="仿宋_GB2312" w:cs="Times New Roman"/>
          <w:color w:val="auto"/>
          <w:sz w:val="32"/>
          <w:szCs w:val="32"/>
          <w:highlight w:val="none"/>
        </w:rPr>
        <w:t>统计汇总项目建设和资金支出进度，并在工作群进行通报，</w:t>
      </w:r>
      <w:r>
        <w:rPr>
          <w:rFonts w:hint="default" w:ascii="Times New Roman" w:hAnsi="Times New Roman" w:eastAsia="仿宋_GB2312" w:cs="Times New Roman"/>
          <w:color w:val="auto"/>
          <w:sz w:val="32"/>
          <w:szCs w:val="32"/>
          <w:highlight w:val="none"/>
          <w:lang w:eastAsia="zh-CN"/>
        </w:rPr>
        <w:t>以便</w:t>
      </w:r>
      <w:r>
        <w:rPr>
          <w:rFonts w:hint="default" w:ascii="Times New Roman" w:hAnsi="Times New Roman" w:eastAsia="仿宋_GB2312" w:cs="Times New Roman"/>
          <w:color w:val="auto"/>
          <w:sz w:val="32"/>
          <w:szCs w:val="32"/>
          <w:highlight w:val="none"/>
        </w:rPr>
        <w:t>及时掌握扶贫资金支付进度。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落实</w:t>
      </w:r>
      <w:r>
        <w:rPr>
          <w:rFonts w:hint="default" w:ascii="Times New Roman" w:hAnsi="Times New Roman" w:eastAsia="仿宋_GB2312" w:cs="Times New Roman"/>
          <w:color w:val="auto"/>
          <w:sz w:val="32"/>
          <w:szCs w:val="32"/>
          <w:highlight w:val="none"/>
          <w:lang w:eastAsia="zh-CN"/>
        </w:rPr>
        <w:t>项目管理</w:t>
      </w:r>
      <w:r>
        <w:rPr>
          <w:rFonts w:hint="default" w:ascii="Times New Roman" w:hAnsi="Times New Roman" w:eastAsia="仿宋_GB2312" w:cs="Times New Roman"/>
          <w:color w:val="auto"/>
          <w:sz w:val="32"/>
          <w:szCs w:val="32"/>
          <w:highlight w:val="none"/>
        </w:rPr>
        <w:t>制度。切实将项目招投标制、工程监理制、</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报账制贯穿于项目实施管理过程始终。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强化监督检查落实扶贫资金“一笔一笔审核”</w:t>
      </w:r>
      <w:r>
        <w:rPr>
          <w:rFonts w:hint="default" w:ascii="Times New Roman" w:hAnsi="Times New Roman" w:eastAsia="仿宋_GB2312" w:cs="Times New Roman"/>
          <w:color w:val="auto"/>
          <w:sz w:val="32"/>
          <w:szCs w:val="32"/>
          <w:highlight w:val="none"/>
          <w:lang w:eastAsia="zh-CN"/>
        </w:rPr>
        <w:t>要求</w:t>
      </w:r>
      <w:r>
        <w:rPr>
          <w:rFonts w:hint="default" w:ascii="Times New Roman" w:hAnsi="Times New Roman" w:eastAsia="仿宋_GB2312" w:cs="Times New Roman"/>
          <w:color w:val="auto"/>
          <w:sz w:val="32"/>
          <w:szCs w:val="32"/>
          <w:highlight w:val="none"/>
        </w:rPr>
        <w:t>，形成了多层次、多角度监管财政资金使用的机制，确保扶贫资金使用零差错。</w:t>
      </w:r>
    </w:p>
    <w:p w14:paraId="35C51C08">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是财政扶贫资金乡级报账制。</w:t>
      </w:r>
      <w:r>
        <w:rPr>
          <w:rFonts w:hint="default" w:ascii="Times New Roman" w:hAnsi="Times New Roman" w:eastAsia="仿宋_GB2312" w:cs="Times New Roman"/>
          <w:color w:val="auto"/>
          <w:sz w:val="32"/>
          <w:szCs w:val="32"/>
          <w:highlight w:val="none"/>
        </w:rPr>
        <w:t>根据《中华人民共和国预算法》第三条“国家实行一级政府一级预算”及省财政厅、省扶贫办《关于做好贫困县统筹整合涉农资金试点工作的通知》 “各县可结合本地实际，为加快扶贫资金报账拨付进度，探索县级、乡级财政报账管理制度”和省财政厅《河南省财政农业专项资金报账制》等有关文件精神。我县早在2014年，对财政资金管理进行探索，由乡镇具体实施的项目均在乡镇财政报账。根据县脱贫攻坚规划，将用于扶贫项目的预算安排资金或统筹整合的相关财政涉农资金提前告知或拨付至各乡镇，并严格执行财政报账制，对于加强扶贫项目管理，提高扶贫资金使用效益具有重要作用。</w:t>
      </w:r>
    </w:p>
    <w:p w14:paraId="04BCDFD1">
      <w:pPr>
        <w:keepNext w:val="0"/>
        <w:keepLines w:val="0"/>
        <w:pageBreakBefore w:val="0"/>
        <w:widowControl w:val="0"/>
        <w:kinsoku/>
        <w:wordWrap/>
        <w:overflowPunct w:val="0"/>
        <w:topLinePunct w:val="0"/>
        <w:autoSpaceDE/>
        <w:autoSpaceDN/>
        <w:bidi w:val="0"/>
        <w:adjustRightInd/>
        <w:snapToGrid/>
        <w:spacing w:line="540" w:lineRule="exact"/>
        <w:ind w:left="0" w:right="0"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．违规违纪</w:t>
      </w:r>
    </w:p>
    <w:p w14:paraId="366C3C75">
      <w:pPr>
        <w:keepNext w:val="0"/>
        <w:keepLines w:val="0"/>
        <w:pageBreakBefore w:val="0"/>
        <w:widowControl w:val="0"/>
        <w:kinsoku/>
        <w:wordWrap/>
        <w:overflowPunct w:val="0"/>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2019年</w:t>
      </w:r>
      <w:r>
        <w:rPr>
          <w:rFonts w:hint="default" w:ascii="Times New Roman" w:hAnsi="Times New Roman" w:eastAsia="仿宋_GB2312" w:cs="Times New Roman"/>
          <w:color w:val="auto"/>
          <w:sz w:val="32"/>
          <w:szCs w:val="32"/>
          <w:highlight w:val="none"/>
        </w:rPr>
        <w:t>我县未出现违规违纪情况。</w:t>
      </w:r>
    </w:p>
    <w:p w14:paraId="78DE855A">
      <w:pPr>
        <w:keepNext w:val="0"/>
        <w:keepLines w:val="0"/>
        <w:pageBreakBefore w:val="0"/>
        <w:widowControl w:val="0"/>
        <w:kinsoku/>
        <w:wordWrap/>
        <w:overflowPunct w:val="0"/>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auto"/>
          <w:sz w:val="32"/>
          <w:szCs w:val="32"/>
          <w:highlight w:val="none"/>
        </w:rPr>
      </w:pPr>
    </w:p>
    <w:p w14:paraId="43A5AF09"/>
    <w:p w14:paraId="179FF47C">
      <w:pPr>
        <w:pStyle w:val="2"/>
      </w:pPr>
    </w:p>
    <w:p w14:paraId="32C10031"/>
    <w:p w14:paraId="60BF9B60">
      <w:pPr>
        <w:pStyle w:val="2"/>
      </w:pPr>
    </w:p>
    <w:p w14:paraId="1DF78B76"/>
    <w:p w14:paraId="2AA6EF23">
      <w:pPr>
        <w:pStyle w:val="2"/>
      </w:pPr>
    </w:p>
    <w:p w14:paraId="4505DBF2"/>
    <w:p w14:paraId="120E1F84">
      <w:pPr>
        <w:pStyle w:val="2"/>
      </w:pPr>
    </w:p>
    <w:p w14:paraId="6671D6E5"/>
    <w:p w14:paraId="6DEC8816">
      <w:pPr>
        <w:pStyle w:val="2"/>
      </w:pPr>
    </w:p>
    <w:p w14:paraId="0DF73608"/>
    <w:p w14:paraId="3C66D8AC">
      <w:pPr>
        <w:pStyle w:val="2"/>
      </w:pPr>
    </w:p>
    <w:p w14:paraId="14D8EB7F"/>
    <w:p w14:paraId="106F0100">
      <w:pPr>
        <w:pStyle w:val="2"/>
      </w:pPr>
    </w:p>
    <w:p w14:paraId="7F11C53F"/>
    <w:p w14:paraId="6D81C9D6">
      <w:pPr>
        <w:pStyle w:val="2"/>
      </w:pPr>
    </w:p>
    <w:p w14:paraId="64E4C6C2"/>
    <w:p w14:paraId="00DAE60F">
      <w:pPr>
        <w:pStyle w:val="2"/>
      </w:pPr>
    </w:p>
    <w:p w14:paraId="27A5B0AD">
      <w:pPr>
        <w:rPr>
          <w:rFonts w:hint="eastAsia"/>
          <w:sz w:val="30"/>
          <w:szCs w:val="30"/>
          <w:lang w:val="en-US" w:eastAsia="zh-CN"/>
        </w:rPr>
      </w:pPr>
      <w:r>
        <w:rPr>
          <w:rFonts w:hint="eastAsia"/>
          <w:sz w:val="30"/>
          <w:szCs w:val="30"/>
          <w:lang w:val="en-US" w:eastAsia="zh-CN"/>
        </w:rPr>
        <w:t>附件2：</w:t>
      </w:r>
    </w:p>
    <w:p w14:paraId="2B6CB6C1">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滑县财政局</w:t>
      </w:r>
      <w:r>
        <w:rPr>
          <w:rFonts w:hint="default" w:ascii="Times New Roman" w:hAnsi="Times New Roman" w:eastAsia="方正小标宋简体" w:cs="Times New Roman"/>
          <w:sz w:val="44"/>
          <w:szCs w:val="44"/>
          <w:lang w:val="en-US" w:eastAsia="zh-CN"/>
        </w:rPr>
        <w:t xml:space="preserve"> 中共滑县县委宣传部</w:t>
      </w:r>
    </w:p>
    <w:p w14:paraId="562A8750">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滑县文化广电体育旅游局 关于呈送2019年</w:t>
      </w:r>
    </w:p>
    <w:p w14:paraId="21239389">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中央补助地方公共文化服务体系建设</w:t>
      </w:r>
    </w:p>
    <w:p w14:paraId="160B55D8">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专项资金自评的报告</w:t>
      </w:r>
    </w:p>
    <w:p w14:paraId="625B102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lang w:val="en-US" w:eastAsia="zh-CN"/>
        </w:rPr>
      </w:pPr>
    </w:p>
    <w:p w14:paraId="053C610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省财政厅：</w:t>
      </w:r>
    </w:p>
    <w:p w14:paraId="5DC74A45">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根据《河南省财政厅关于做好2019年度中央补助地方公共文化服务体系建设专项资金预算执行情况绩效自评工作的通知》（豫财文函〔2020〕3号）要求，我局立即与</w:t>
      </w:r>
      <w:r>
        <w:rPr>
          <w:rFonts w:hint="default" w:ascii="Times New Roman" w:hAnsi="Times New Roman" w:eastAsia="仿宋_GB2312" w:cs="Times New Roman"/>
          <w:sz w:val="32"/>
          <w:szCs w:val="32"/>
          <w:lang w:val="en-US" w:eastAsia="zh-CN"/>
        </w:rPr>
        <w:t>滑县</w:t>
      </w:r>
      <w:r>
        <w:rPr>
          <w:rFonts w:hint="default" w:ascii="Times New Roman" w:hAnsi="Times New Roman" w:eastAsia="仿宋_GB2312" w:cs="Times New Roman"/>
          <w:sz w:val="32"/>
          <w:szCs w:val="32"/>
        </w:rPr>
        <w:t>文</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广</w:t>
      </w:r>
      <w:r>
        <w:rPr>
          <w:rFonts w:hint="default" w:ascii="Times New Roman" w:hAnsi="Times New Roman" w:eastAsia="仿宋_GB2312" w:cs="Times New Roman"/>
          <w:sz w:val="32"/>
          <w:szCs w:val="32"/>
          <w:lang w:val="en-US" w:eastAsia="zh-CN"/>
        </w:rPr>
        <w:t>电体育旅游</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val="en-US" w:eastAsia="zh-CN"/>
        </w:rPr>
        <w:t>中共</w:t>
      </w:r>
      <w:r>
        <w:rPr>
          <w:rFonts w:hint="default" w:ascii="Times New Roman" w:hAnsi="Times New Roman" w:eastAsia="仿宋_GB2312" w:cs="Times New Roman"/>
          <w:sz w:val="32"/>
          <w:szCs w:val="32"/>
        </w:rPr>
        <w:t>滑县县委宣传部共同开展2019年中央补助地方公共文化服务体系建设专项资金绩效自评工作，现将自评情况报告如下：</w:t>
      </w:r>
    </w:p>
    <w:p w14:paraId="6D98415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资金绩效目标分解下达情况</w:t>
      </w:r>
    </w:p>
    <w:p w14:paraId="4067A0D1">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局收到资金文件后及时告知相关部门，由相关部门依据《中央补助地方公共文化服务体系建设专项资金管理暂行办法》的通知（财教（2015）527号）资金使用范围，列出资金使用计划，拟定具体资金使用绩效目标，报县政府主管文化副县长审核同意后实施，财政局依据实施方案及时下达资金。2019年下达</w:t>
      </w:r>
      <w:r>
        <w:rPr>
          <w:rFonts w:hint="default" w:ascii="Times New Roman" w:hAnsi="Times New Roman" w:eastAsia="仿宋_GB2312" w:cs="Times New Roman"/>
          <w:sz w:val="32"/>
          <w:szCs w:val="32"/>
          <w:lang w:val="en-US" w:eastAsia="zh-CN"/>
        </w:rPr>
        <w:t>滑县</w:t>
      </w:r>
      <w:r>
        <w:rPr>
          <w:rFonts w:hint="default" w:ascii="Times New Roman" w:hAnsi="Times New Roman" w:eastAsia="仿宋_GB2312" w:cs="Times New Roman"/>
          <w:sz w:val="32"/>
          <w:szCs w:val="32"/>
        </w:rPr>
        <w:t>文化广电体育旅游局432万元，下达</w:t>
      </w:r>
      <w:r>
        <w:rPr>
          <w:rFonts w:hint="default" w:ascii="Times New Roman" w:hAnsi="Times New Roman" w:eastAsia="仿宋_GB2312" w:cs="Times New Roman"/>
          <w:sz w:val="32"/>
          <w:szCs w:val="32"/>
          <w:lang w:val="en-US" w:eastAsia="zh-CN"/>
        </w:rPr>
        <w:t>中共滑县</w:t>
      </w:r>
      <w:r>
        <w:rPr>
          <w:rFonts w:hint="default" w:ascii="Times New Roman" w:hAnsi="Times New Roman" w:eastAsia="仿宋_GB2312" w:cs="Times New Roman"/>
          <w:sz w:val="32"/>
          <w:szCs w:val="32"/>
        </w:rPr>
        <w:t>县委宣传部农村电影放映经费10万元。</w:t>
      </w:r>
    </w:p>
    <w:p w14:paraId="39F65F8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绩效目标完成情况分析</w:t>
      </w:r>
    </w:p>
    <w:p w14:paraId="6885E709">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（一）资金投入情况分析</w:t>
      </w:r>
    </w:p>
    <w:p w14:paraId="2852F2F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项目资金到位情况分析：2019年我县共收到中央补助地方公共文化服务体系建设专项资金442万元，其中豫财科（2018）191号文件141万元，豫财文（2019）4号文件301万元。提前下达资金141万元列入了2019年年初预算。</w:t>
      </w:r>
    </w:p>
    <w:p w14:paraId="6543D17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项目资金执行情况分析</w:t>
      </w:r>
    </w:p>
    <w:p w14:paraId="6A393D5B">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2019年累计投入中央资金442万元，当年预算安排数141万元，实际执行数442万元，预算执行率313.47%，至目前，已实际支付资金</w:t>
      </w:r>
      <w:r>
        <w:rPr>
          <w:rFonts w:hint="default" w:ascii="Times New Roman" w:hAnsi="Times New Roman" w:eastAsia="仿宋_GB2312" w:cs="Times New Roman"/>
          <w:sz w:val="32"/>
          <w:szCs w:val="32"/>
          <w:lang w:val="en-US" w:eastAsia="zh-CN"/>
        </w:rPr>
        <w:t>266.74</w:t>
      </w:r>
      <w:r>
        <w:rPr>
          <w:rFonts w:hint="default" w:ascii="Times New Roman" w:hAnsi="Times New Roman" w:eastAsia="仿宋_GB2312" w:cs="Times New Roman"/>
          <w:sz w:val="32"/>
          <w:szCs w:val="32"/>
        </w:rPr>
        <w:t>万元，项目资金支付率</w:t>
      </w:r>
      <w:r>
        <w:rPr>
          <w:rFonts w:hint="default" w:ascii="Times New Roman" w:hAnsi="Times New Roman" w:eastAsia="仿宋_GB2312" w:cs="Times New Roman"/>
          <w:sz w:val="32"/>
          <w:szCs w:val="32"/>
          <w:lang w:val="en-US" w:eastAsia="zh-CN"/>
        </w:rPr>
        <w:t>60.35</w:t>
      </w:r>
      <w:r>
        <w:rPr>
          <w:rFonts w:hint="default" w:ascii="Times New Roman" w:hAnsi="Times New Roman" w:eastAsia="仿宋_GB2312" w:cs="Times New Roman"/>
          <w:sz w:val="32"/>
          <w:szCs w:val="32"/>
        </w:rPr>
        <w:t>%。</w:t>
      </w:r>
    </w:p>
    <w:p w14:paraId="268B66CB">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资金支付比例较低的主要原因是：受疫情影响，一些项目暂时无法开展，报账资料不齐全无法拨付。</w:t>
      </w:r>
    </w:p>
    <w:p w14:paraId="1B58739E">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项目资金管理情况分析</w:t>
      </w:r>
    </w:p>
    <w:p w14:paraId="6CC48EFB">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我县严格按照《中央补助地方公共文化服务体系建设专项资金管理暂行办法》的通知（财教（2015）527号）资金使用范围使用资金，资下达项目单位后，由用款单位根据群众文化需求，结合财力状况，统筹考虑全县文化项目开展情况，合理安排项目，报经主管文化副县长审批后执行。财政对公共文化服务体系资金使行财政直接支付方式，确保专款专用，对符合政府采购的项目进行政府采购，对形成固定资产的支出要求加强固定资产管理，避免资产流失，充分发挥资金效益，在项目资金支出中注重实效，对项目开展和设备购置实行验收制度，未经验收合格，不予拨付资金。其中通过政府采购的资金</w:t>
      </w:r>
      <w:r>
        <w:rPr>
          <w:rFonts w:hint="default" w:ascii="Times New Roman" w:hAnsi="Times New Roman" w:eastAsia="仿宋_GB2312" w:cs="Times New Roman"/>
          <w:sz w:val="32"/>
          <w:szCs w:val="32"/>
          <w:lang w:val="en-US" w:eastAsia="zh-CN"/>
        </w:rPr>
        <w:t>80万</w:t>
      </w:r>
      <w:r>
        <w:rPr>
          <w:rFonts w:hint="default" w:ascii="Times New Roman" w:hAnsi="Times New Roman" w:eastAsia="仿宋_GB2312" w:cs="Times New Roman"/>
          <w:sz w:val="32"/>
          <w:szCs w:val="32"/>
        </w:rPr>
        <w:t>元，为资金总额的</w:t>
      </w:r>
      <w:r>
        <w:rPr>
          <w:rFonts w:hint="default" w:ascii="Times New Roman" w:hAnsi="Times New Roman" w:eastAsia="仿宋_GB2312" w:cs="Times New Roman"/>
          <w:sz w:val="32"/>
          <w:szCs w:val="32"/>
          <w:lang w:val="en-US" w:eastAsia="zh-CN"/>
        </w:rPr>
        <w:t>18.52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14:paraId="43FD836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总体绩效目标完成情况分析</w:t>
      </w:r>
    </w:p>
    <w:p w14:paraId="666109DB">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2019年计划绩效目</w:t>
      </w:r>
      <w:r>
        <w:rPr>
          <w:rFonts w:hint="default" w:ascii="Times New Roman" w:hAnsi="Times New Roman" w:eastAsia="仿宋_GB2312" w:cs="Times New Roman"/>
          <w:sz w:val="32"/>
          <w:szCs w:val="32"/>
          <w:lang w:val="en-US" w:eastAsia="zh-CN"/>
        </w:rPr>
        <w:t>标</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文体活动类为</w:t>
      </w:r>
      <w:r>
        <w:rPr>
          <w:rFonts w:hint="default" w:ascii="Times New Roman" w:hAnsi="Times New Roman" w:eastAsia="仿宋_GB2312" w:cs="Times New Roman"/>
          <w:sz w:val="32"/>
          <w:szCs w:val="32"/>
          <w:lang w:val="en-US" w:eastAsia="zh-CN"/>
        </w:rPr>
        <w:t>273</w:t>
      </w:r>
      <w:r>
        <w:rPr>
          <w:rFonts w:hint="default" w:ascii="Times New Roman" w:hAnsi="Times New Roman" w:eastAsia="仿宋_GB2312" w:cs="Times New Roman"/>
          <w:sz w:val="32"/>
          <w:szCs w:val="32"/>
        </w:rPr>
        <w:t>场次，资金安排为</w:t>
      </w:r>
      <w:r>
        <w:rPr>
          <w:rFonts w:hint="default" w:ascii="Times New Roman" w:hAnsi="Times New Roman" w:eastAsia="仿宋_GB2312" w:cs="Times New Roman"/>
          <w:sz w:val="32"/>
          <w:szCs w:val="32"/>
          <w:lang w:val="en-US" w:eastAsia="zh-CN"/>
        </w:rPr>
        <w:t>155.2</w:t>
      </w:r>
      <w:r>
        <w:rPr>
          <w:rFonts w:hint="default" w:ascii="Times New Roman" w:hAnsi="Times New Roman" w:eastAsia="仿宋_GB2312" w:cs="Times New Roman"/>
          <w:sz w:val="32"/>
          <w:szCs w:val="32"/>
        </w:rPr>
        <w:t>万元，至目前已完成</w:t>
      </w:r>
      <w:r>
        <w:rPr>
          <w:rFonts w:hint="default" w:ascii="Times New Roman" w:hAnsi="Times New Roman" w:eastAsia="仿宋_GB2312" w:cs="Times New Roman"/>
          <w:sz w:val="32"/>
          <w:szCs w:val="32"/>
          <w:lang w:val="en-US" w:eastAsia="zh-CN"/>
        </w:rPr>
        <w:t>221</w:t>
      </w:r>
      <w:r>
        <w:rPr>
          <w:rFonts w:hint="default" w:ascii="Times New Roman" w:hAnsi="Times New Roman" w:eastAsia="仿宋_GB2312" w:cs="Times New Roman"/>
          <w:sz w:val="32"/>
          <w:szCs w:val="32"/>
        </w:rPr>
        <w:t>场，支付资金</w:t>
      </w:r>
      <w:r>
        <w:rPr>
          <w:rFonts w:hint="default" w:ascii="Times New Roman" w:hAnsi="Times New Roman" w:eastAsia="仿宋_GB2312" w:cs="Times New Roman"/>
          <w:sz w:val="32"/>
          <w:szCs w:val="32"/>
          <w:lang w:val="en-US" w:eastAsia="zh-CN"/>
        </w:rPr>
        <w:t>133.15万</w:t>
      </w:r>
      <w:r>
        <w:rPr>
          <w:rFonts w:hint="default" w:ascii="Times New Roman" w:hAnsi="Times New Roman" w:eastAsia="仿宋_GB2312" w:cs="Times New Roman"/>
          <w:sz w:val="32"/>
          <w:szCs w:val="32"/>
        </w:rPr>
        <w:t>元，为计划的</w:t>
      </w:r>
      <w:r>
        <w:rPr>
          <w:rFonts w:hint="default" w:ascii="Times New Roman" w:hAnsi="Times New Roman" w:eastAsia="仿宋_GB2312" w:cs="Times New Roman"/>
          <w:sz w:val="32"/>
          <w:szCs w:val="32"/>
          <w:lang w:val="en-US" w:eastAsia="zh-CN"/>
        </w:rPr>
        <w:t>80.95</w:t>
      </w:r>
      <w:r>
        <w:rPr>
          <w:rFonts w:hint="default" w:ascii="Times New Roman" w:hAnsi="Times New Roman" w:eastAsia="仿宋_GB2312" w:cs="Times New Roman"/>
          <w:sz w:val="32"/>
          <w:szCs w:val="32"/>
        </w:rPr>
        <w:t>%，资金支付率</w:t>
      </w:r>
      <w:r>
        <w:rPr>
          <w:rFonts w:hint="default" w:ascii="Times New Roman" w:hAnsi="Times New Roman" w:eastAsia="仿宋_GB2312" w:cs="Times New Roman"/>
          <w:sz w:val="32"/>
          <w:szCs w:val="32"/>
          <w:lang w:val="en-US" w:eastAsia="zh-CN"/>
        </w:rPr>
        <w:t>85.79</w:t>
      </w:r>
      <w:r>
        <w:rPr>
          <w:rFonts w:hint="default" w:ascii="Times New Roman" w:hAnsi="Times New Roman" w:eastAsia="仿宋_GB2312" w:cs="Times New Roman"/>
          <w:sz w:val="32"/>
          <w:szCs w:val="32"/>
        </w:rPr>
        <w:t>%。设备购置建设类计划</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项，实际完成</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项，为计划的</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 xml:space="preserve"> %，资金支付率为</w:t>
      </w:r>
      <w:r>
        <w:rPr>
          <w:rFonts w:hint="default" w:ascii="Times New Roman" w:hAnsi="Times New Roman" w:eastAsia="仿宋_GB2312" w:cs="Times New Roman"/>
          <w:sz w:val="32"/>
          <w:szCs w:val="32"/>
          <w:lang w:val="en-US" w:eastAsia="zh-CN"/>
        </w:rPr>
        <w:t>44.73</w:t>
      </w:r>
      <w:r>
        <w:rPr>
          <w:rFonts w:hint="default" w:ascii="Times New Roman" w:hAnsi="Times New Roman" w:eastAsia="仿宋_GB2312" w:cs="Times New Roman"/>
          <w:sz w:val="32"/>
          <w:szCs w:val="32"/>
        </w:rPr>
        <w:t>%。</w:t>
      </w:r>
    </w:p>
    <w:p w14:paraId="6321793A">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绩效指标完成情况分析</w:t>
      </w:r>
    </w:p>
    <w:p w14:paraId="4AC6EB3F">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产出指标完成情况分析</w:t>
      </w:r>
    </w:p>
    <w:p w14:paraId="40C93E2F">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送戏下乡：计划送下乡152场，实际完成152场，由于工作安排及时，工作到位，与乡镇文化站、村两委、3个国有剧团共同努力，送戏下乡</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在2019年作已全部高质量完成，资金</w:t>
      </w:r>
      <w:r>
        <w:rPr>
          <w:rFonts w:hint="default" w:ascii="Times New Roman" w:hAnsi="Times New Roman" w:eastAsia="仿宋_GB2312" w:cs="Times New Roman"/>
          <w:sz w:val="32"/>
          <w:szCs w:val="32"/>
          <w:lang w:val="en-US" w:eastAsia="zh-CN"/>
        </w:rPr>
        <w:t>45.6万</w:t>
      </w:r>
      <w:r>
        <w:rPr>
          <w:rFonts w:hint="default" w:ascii="Times New Roman" w:hAnsi="Times New Roman" w:eastAsia="仿宋_GB2312" w:cs="Times New Roman"/>
          <w:sz w:val="32"/>
          <w:szCs w:val="32"/>
        </w:rPr>
        <w:t>元全部支付。受益</w:t>
      </w:r>
      <w:r>
        <w:rPr>
          <w:rFonts w:hint="default" w:ascii="Times New Roman" w:hAnsi="Times New Roman" w:eastAsia="仿宋_GB2312" w:cs="Times New Roman"/>
          <w:sz w:val="32"/>
          <w:szCs w:val="32"/>
          <w:lang w:val="en-US" w:eastAsia="zh-CN"/>
        </w:rPr>
        <w:t>22万</w:t>
      </w:r>
      <w:r>
        <w:rPr>
          <w:rFonts w:hint="default" w:ascii="Times New Roman" w:hAnsi="Times New Roman" w:eastAsia="仿宋_GB2312" w:cs="Times New Roman"/>
          <w:sz w:val="32"/>
          <w:szCs w:val="32"/>
        </w:rPr>
        <w:t>人，受到群众好评，让人民享受到传统戏剧艺术大餐。</w:t>
      </w:r>
    </w:p>
    <w:p w14:paraId="28D1C702">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读书活动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为庆祝中华人民共和国成立七十周年，我县图书馆在县广电局演播大厅举办了“庆祝新中国成立七十周年 经典名篇朗诵会”活动，受到群众的好评，项目圆满完成，资金15万元全部支付。</w:t>
      </w:r>
    </w:p>
    <w:p w14:paraId="68A1290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原创展演</w:t>
      </w:r>
      <w:r>
        <w:rPr>
          <w:rFonts w:hint="default" w:ascii="Times New Roman" w:hAnsi="Times New Roman" w:eastAsia="仿宋_GB2312" w:cs="Times New Roman"/>
          <w:sz w:val="32"/>
          <w:szCs w:val="32"/>
          <w:lang w:eastAsia="zh-CN"/>
        </w:rPr>
        <w:t>：计划展演</w:t>
      </w:r>
      <w:r>
        <w:rPr>
          <w:rFonts w:hint="default" w:ascii="Times New Roman" w:hAnsi="Times New Roman" w:eastAsia="仿宋_GB2312" w:cs="Times New Roman"/>
          <w:sz w:val="32"/>
          <w:szCs w:val="32"/>
          <w:lang w:val="en-US" w:eastAsia="zh-CN"/>
        </w:rPr>
        <w:t>57场，实际完成45场，资金支付13.5万元，受益6万余人，展示了我县豫剧良好形象，为群众送去健康、向上、优秀的精神食粮。受疫情影响，活动开展受限，剩余12场正待实施。</w:t>
      </w:r>
    </w:p>
    <w:p w14:paraId="795723DD">
      <w:pPr>
        <w:keepNext w:val="0"/>
        <w:keepLines w:val="0"/>
        <w:pageBreakBefore w:val="0"/>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图书购置：计划购置</w:t>
      </w:r>
      <w:r>
        <w:rPr>
          <w:rFonts w:hint="default" w:ascii="Times New Roman" w:hAnsi="Times New Roman" w:eastAsia="仿宋_GB2312" w:cs="Times New Roman"/>
          <w:sz w:val="32"/>
          <w:szCs w:val="32"/>
          <w:lang w:val="en-US" w:eastAsia="zh-CN"/>
        </w:rPr>
        <w:t>1000册，实际完成</w:t>
      </w:r>
      <w:r>
        <w:rPr>
          <w:rFonts w:hint="default" w:ascii="Times New Roman" w:hAnsi="Times New Roman" w:eastAsia="仿宋_GB2312" w:cs="Times New Roman"/>
          <w:b w:val="0"/>
          <w:bCs w:val="0"/>
          <w:sz w:val="32"/>
          <w:szCs w:val="32"/>
          <w:lang w:val="en-US" w:eastAsia="zh-CN"/>
        </w:rPr>
        <w:t>《印象滑县》</w:t>
      </w:r>
      <w:r>
        <w:rPr>
          <w:rFonts w:hint="default" w:ascii="Times New Roman" w:hAnsi="Times New Roman" w:eastAsia="仿宋_GB2312" w:cs="Times New Roman"/>
          <w:sz w:val="32"/>
          <w:szCs w:val="32"/>
          <w:lang w:val="en-US" w:eastAsia="zh-CN"/>
        </w:rPr>
        <w:t>1000册，资金19.8万元全部支付，</w:t>
      </w:r>
      <w:r>
        <w:rPr>
          <w:rFonts w:hint="default" w:ascii="Times New Roman" w:hAnsi="Times New Roman" w:eastAsia="仿宋_GB2312" w:cs="Times New Roman"/>
          <w:b w:val="0"/>
          <w:bCs w:val="0"/>
          <w:sz w:val="32"/>
          <w:szCs w:val="32"/>
          <w:lang w:val="en-US" w:eastAsia="zh-CN"/>
        </w:rPr>
        <w:t>丰富了我县乡镇、村文化活动室的地方文献资料，让群众了解了滑县人文历史，受到群众好评。</w:t>
      </w:r>
    </w:p>
    <w:p w14:paraId="388534A6">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群众性品牌文化活动：计划于9月22日举办“中国农民丰收节”，实际在我县八里营乡举办，节目内容丰富多彩，受群众喜欢，取得了较好的演出效果，资金支付18万元。</w:t>
      </w:r>
    </w:p>
    <w:p w14:paraId="5A6FCB36">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道口古镇展演：实际完成6场，资金支付1.95万元，营造了春节喜庆、美好的节日气氛，丰富群众精神文化生活，提高古镇知名度，节目形式多样，内容丰富，受到当地群众的高度赞赏。受疫情影响，活动开展受限，待疫情结束后再进行。</w:t>
      </w:r>
    </w:p>
    <w:p w14:paraId="30C9F8EF">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群众网络作品征集活动：在新冠疫情防控期间，为支持疫情防控工作，丰富全县群众居家防疫精神文化生活，凝聚抗击疫情的强大精神力量，在全县范围内开展以“众志成城 抗击疫情”为主题群众网络作品征集活动，受到群众踊跃参与，征集参赛作品55部，经过网络投票和专家评审综合评定，评出一等奖3名、二等奖10名、三等奖20名，在滑县电视台TV1、TV2、TV3、云上滑州手机端等媒体平台播出（推送），资金支付16.9万元，取得了较好的效果。</w:t>
      </w:r>
    </w:p>
    <w:p w14:paraId="770FC7DE">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文化馆免费开放服务设备购置：通过政府采购，中标价为49.89万元，购置免费开放服务设备舞台音响、培训桌椅、空调、相机、钢琴等，资金已支付49.89万元，采购安装完毕，经验收合格，已投入使用，使文化馆公共文化服务能力得到提升。</w:t>
      </w:r>
    </w:p>
    <w:p w14:paraId="49C4D95C">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数字文化视频制作</w:t>
      </w:r>
      <w:r>
        <w:rPr>
          <w:rFonts w:hint="default" w:ascii="Times New Roman" w:hAnsi="Times New Roman" w:eastAsia="仿宋_GB2312" w:cs="Times New Roman"/>
          <w:sz w:val="32"/>
          <w:szCs w:val="32"/>
          <w:lang w:eastAsia="zh-CN"/>
        </w:rPr>
        <w:t>：资金支付</w:t>
      </w:r>
      <w:r>
        <w:rPr>
          <w:rFonts w:hint="default" w:ascii="Times New Roman" w:hAnsi="Times New Roman" w:eastAsia="仿宋_GB2312" w:cs="Times New Roman"/>
          <w:sz w:val="32"/>
          <w:szCs w:val="32"/>
          <w:lang w:val="en-US" w:eastAsia="zh-CN"/>
        </w:rPr>
        <w:t>18.4万元，为繁荣我县以大运河、道口古镇为代表的优秀地域文化，在2020年春节期间举办“大运河文化月暨大型图片展”活动，为增加相关展示内容的深度厚度、提高展览的趣味性知识性，对所展图片使用识图技术匹配进行数字文化视频制作，该视频内容丰富详实与图片展相得益彰。</w:t>
      </w:r>
    </w:p>
    <w:p w14:paraId="447F8569">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城市书房建设：维修、</w:t>
      </w:r>
      <w:r>
        <w:rPr>
          <w:rFonts w:hint="default" w:ascii="Times New Roman" w:hAnsi="Times New Roman" w:eastAsia="仿宋_GB2312" w:cs="Times New Roman"/>
          <w:sz w:val="32"/>
          <w:szCs w:val="32"/>
        </w:rPr>
        <w:t>配置图书、阅读桌椅及自助借还、门禁等硬件设备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配合道口古镇民俗文化节的开展，为道口古镇增添更加浓厚的文化氛围，在</w:t>
      </w:r>
      <w:r>
        <w:rPr>
          <w:rFonts w:hint="default" w:ascii="Times New Roman" w:hAnsi="Times New Roman" w:eastAsia="仿宋_GB2312" w:cs="Times New Roman"/>
          <w:sz w:val="32"/>
          <w:szCs w:val="32"/>
          <w:lang w:val="en-US" w:eastAsia="zh-CN"/>
        </w:rPr>
        <w:t>道口</w:t>
      </w:r>
      <w:r>
        <w:rPr>
          <w:rFonts w:hint="default" w:ascii="Times New Roman" w:hAnsi="Times New Roman" w:eastAsia="仿宋_GB2312" w:cs="Times New Roman"/>
          <w:sz w:val="32"/>
          <w:szCs w:val="32"/>
        </w:rPr>
        <w:t>古镇</w:t>
      </w:r>
      <w:r>
        <w:rPr>
          <w:rFonts w:hint="default" w:ascii="Times New Roman" w:hAnsi="Times New Roman" w:eastAsia="仿宋_GB2312" w:cs="Times New Roman"/>
          <w:sz w:val="32"/>
          <w:szCs w:val="32"/>
          <w:lang w:val="en-US" w:eastAsia="zh-CN"/>
        </w:rPr>
        <w:t>改造</w:t>
      </w:r>
      <w:r>
        <w:rPr>
          <w:rFonts w:hint="default" w:ascii="Times New Roman" w:hAnsi="Times New Roman" w:eastAsia="仿宋_GB2312" w:cs="Times New Roman"/>
          <w:sz w:val="32"/>
          <w:szCs w:val="32"/>
        </w:rPr>
        <w:t>一座</w:t>
      </w:r>
      <w:r>
        <w:rPr>
          <w:rFonts w:hint="default" w:ascii="Times New Roman" w:hAnsi="Times New Roman" w:eastAsia="仿宋_GB2312" w:cs="Times New Roman"/>
          <w:sz w:val="32"/>
          <w:szCs w:val="32"/>
          <w:lang w:val="en-US" w:eastAsia="zh-CN"/>
        </w:rPr>
        <w:t>城市书房，</w:t>
      </w:r>
      <w:r>
        <w:rPr>
          <w:rFonts w:hint="default" w:ascii="Times New Roman" w:hAnsi="Times New Roman" w:eastAsia="仿宋_GB2312" w:cs="Times New Roman"/>
          <w:sz w:val="32"/>
          <w:szCs w:val="32"/>
          <w:lang w:eastAsia="zh-CN"/>
        </w:rPr>
        <w:t>资金</w:t>
      </w:r>
      <w:r>
        <w:rPr>
          <w:rFonts w:hint="default" w:ascii="Times New Roman" w:hAnsi="Times New Roman" w:eastAsia="仿宋_GB2312" w:cs="Times New Roman"/>
          <w:sz w:val="32"/>
          <w:szCs w:val="32"/>
          <w:lang w:val="en-US" w:eastAsia="zh-CN"/>
        </w:rPr>
        <w:t>35.5万元支付完成，丰富了群众的文化生活。</w:t>
      </w:r>
    </w:p>
    <w:p w14:paraId="17ABF5FF">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国扶贫日”活动：计划2019年10月举办3场，实际演出3场，资金支付15万元，发挥了文化扶贫在脱贫攻坚中的重要作用，宣传了国家的扶贫政策，帮群众树立“幸福是奋斗出来的”精神理念。为全面打赢脱贫攻坚战提供强大精神力量。</w:t>
      </w:r>
    </w:p>
    <w:p w14:paraId="6AF08F9E">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“快乐星期天”活动：计划演出32场，实际演出12场，资金支付7.2万元，深化了群众性精神文明创建活动，丰富群众文化生活，受到当地群众的好评。受疫情影响，活动开展受限，待疫情结束后再进行。</w:t>
      </w:r>
    </w:p>
    <w:p w14:paraId="07989AB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图书馆免费开放服务设备更新：</w:t>
      </w:r>
      <w:r>
        <w:rPr>
          <w:rFonts w:hint="default" w:ascii="Times New Roman" w:hAnsi="Times New Roman" w:eastAsia="仿宋_GB2312" w:cs="Times New Roman"/>
          <w:sz w:val="32"/>
          <w:szCs w:val="32"/>
        </w:rPr>
        <w:t>政府采购手续已完成，</w:t>
      </w:r>
      <w:r>
        <w:rPr>
          <w:rFonts w:hint="default" w:ascii="Times New Roman" w:hAnsi="Times New Roman" w:eastAsia="仿宋_GB2312" w:cs="Times New Roman"/>
          <w:sz w:val="32"/>
          <w:szCs w:val="32"/>
          <w:lang w:eastAsia="zh-CN"/>
        </w:rPr>
        <w:t>受疫情影响，未安装到位，项目未完成。</w:t>
      </w:r>
    </w:p>
    <w:p w14:paraId="1DAC9FE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民俗博物院免费开放服务设备购置11万元、涉滑文化知识普及推广33万元、基层综合性文化服务中心奖补79万，正在实施。</w:t>
      </w:r>
    </w:p>
    <w:p w14:paraId="6640BC2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送电影下乡项目：计划演出500场，实际于2019年9月25日—11月22日在农村放映公益电影500场，极大地丰富了人民群众的精神文化生活，使广大基层群众不出村，家门口就能看上电影，收到极好的社会效果。</w:t>
      </w:r>
    </w:p>
    <w:p w14:paraId="1D5E588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通过上述惠民、为民、乐民活动项目的开展，起到了良好的社会效益。为人民群众提供</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丰富、优质的文化食粮，为建设和谐社会起着重要作用，人民群众的获得感显著增强，干群关系明显融洽</w:t>
      </w:r>
      <w:r>
        <w:rPr>
          <w:rFonts w:hint="default" w:ascii="Times New Roman" w:hAnsi="Times New Roman" w:eastAsia="仿宋_GB2312" w:cs="Times New Roman"/>
          <w:sz w:val="32"/>
          <w:szCs w:val="32"/>
          <w:lang w:eastAsia="zh-CN"/>
        </w:rPr>
        <w:t>。</w:t>
      </w:r>
    </w:p>
    <w:p w14:paraId="74C4F98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满意度情况：</w:t>
      </w:r>
      <w:r>
        <w:rPr>
          <w:rFonts w:hint="default" w:ascii="Times New Roman" w:hAnsi="Times New Roman" w:eastAsia="仿宋_GB2312" w:cs="Times New Roman"/>
          <w:sz w:val="32"/>
          <w:szCs w:val="32"/>
          <w:lang w:val="en-US" w:eastAsia="zh-CN"/>
        </w:rPr>
        <w:t>公共文化服务</w:t>
      </w:r>
      <w:r>
        <w:rPr>
          <w:rFonts w:hint="default" w:ascii="Times New Roman" w:hAnsi="Times New Roman" w:eastAsia="仿宋_GB2312" w:cs="Times New Roman"/>
          <w:sz w:val="32"/>
          <w:szCs w:val="32"/>
        </w:rPr>
        <w:t>项目的开展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受到群众欢迎，但是和群众的需求还有差距，主要原因</w:t>
      </w:r>
      <w:r>
        <w:rPr>
          <w:rFonts w:hint="default"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财力有限，</w:t>
      </w:r>
      <w:r>
        <w:rPr>
          <w:rFonts w:hint="default" w:ascii="Times New Roman" w:hAnsi="Times New Roman" w:eastAsia="仿宋_GB2312" w:cs="Times New Roman"/>
          <w:sz w:val="32"/>
          <w:szCs w:val="32"/>
          <w:lang w:val="en-US" w:eastAsia="zh-CN"/>
        </w:rPr>
        <w:t>财政</w:t>
      </w:r>
      <w:r>
        <w:rPr>
          <w:rFonts w:hint="default" w:ascii="Times New Roman" w:hAnsi="Times New Roman" w:eastAsia="仿宋_GB2312" w:cs="Times New Roman"/>
          <w:sz w:val="32"/>
          <w:szCs w:val="32"/>
        </w:rPr>
        <w:t>投入与群众需求之间还有差距，群众的文化、欣赏水平逐步提高，对文化活动的要求水平较高，</w:t>
      </w:r>
      <w:r>
        <w:rPr>
          <w:rFonts w:hint="default" w:ascii="Times New Roman" w:hAnsi="Times New Roman" w:eastAsia="仿宋_GB2312" w:cs="Times New Roman"/>
          <w:sz w:val="32"/>
          <w:szCs w:val="32"/>
          <w:lang w:val="en-US" w:eastAsia="zh-CN"/>
        </w:rPr>
        <w:t>送文化下乡的相关演出团队技术水平不太高，</w:t>
      </w:r>
      <w:r>
        <w:rPr>
          <w:rFonts w:hint="default" w:ascii="Times New Roman" w:hAnsi="Times New Roman" w:eastAsia="仿宋_GB2312" w:cs="Times New Roman"/>
          <w:sz w:val="32"/>
          <w:szCs w:val="32"/>
        </w:rPr>
        <w:t>暂时还难以</w:t>
      </w:r>
      <w:r>
        <w:rPr>
          <w:rFonts w:hint="default" w:ascii="Times New Roman" w:hAnsi="Times New Roman" w:eastAsia="仿宋_GB2312" w:cs="Times New Roman"/>
          <w:sz w:val="32"/>
          <w:szCs w:val="32"/>
          <w:lang w:val="en-US" w:eastAsia="zh-CN"/>
        </w:rPr>
        <w:t>全面满足群众需求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文化基础设施还不齐全，数量少，标准低，与人民群众日益增长的文化需求之间还有差距，城市与农村，村与村之间的文化发展水平还不均衡。</w:t>
      </w:r>
    </w:p>
    <w:p w14:paraId="6BD55D4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偏离绩效目标的原因和下一步改进措施</w:t>
      </w:r>
      <w:r>
        <w:rPr>
          <w:rFonts w:hint="eastAsia" w:ascii="黑体" w:hAnsi="黑体" w:eastAsia="黑体" w:cs="黑体"/>
          <w:sz w:val="32"/>
          <w:szCs w:val="32"/>
          <w:lang w:val="en-US" w:eastAsia="zh-CN"/>
        </w:rPr>
        <w:t>:</w:t>
      </w:r>
    </w:p>
    <w:p w14:paraId="0F25D50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项目规划开展时间较晚，没有过早的谋划项目，工作开展晚，影响项目进度。</w:t>
      </w:r>
    </w:p>
    <w:p w14:paraId="38216EC2">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资金投入少，开展活动场次与群众需求有差距，财政保障能力低。</w:t>
      </w:r>
    </w:p>
    <w:p w14:paraId="3B3E6164">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文化活动开展的水平与群众需求之间还有差距</w:t>
      </w:r>
      <w:r>
        <w:rPr>
          <w:rFonts w:hint="default" w:ascii="Times New Roman" w:hAnsi="Times New Roman" w:eastAsia="仿宋_GB2312" w:cs="Times New Roman"/>
          <w:sz w:val="32"/>
          <w:szCs w:val="32"/>
          <w:lang w:eastAsia="zh-CN"/>
        </w:rPr>
        <w:t>。</w:t>
      </w:r>
    </w:p>
    <w:p w14:paraId="1969CA5F">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文化系统文化专业人员较少，指导和开展工作受限。</w:t>
      </w:r>
    </w:p>
    <w:p w14:paraId="1F0CC6F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受疫情影响，部分项目的开展受限，影响项目进展、支出缓慢。</w:t>
      </w:r>
    </w:p>
    <w:p w14:paraId="5E433C91">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下一步，我们提高政治站位，坚决执行“文化自信”相关思想，</w:t>
      </w:r>
      <w:r>
        <w:rPr>
          <w:rFonts w:hint="default" w:ascii="Times New Roman" w:hAnsi="Times New Roman" w:eastAsia="仿宋_GB2312" w:cs="Times New Roman"/>
          <w:sz w:val="32"/>
          <w:szCs w:val="32"/>
          <w:lang w:val="en-US" w:eastAsia="zh-CN"/>
        </w:rPr>
        <w:t>做好文化发展规划，</w:t>
      </w:r>
      <w:r>
        <w:rPr>
          <w:rFonts w:hint="default" w:ascii="Times New Roman" w:hAnsi="Times New Roman" w:eastAsia="仿宋_GB2312" w:cs="Times New Roman"/>
          <w:sz w:val="32"/>
          <w:szCs w:val="32"/>
        </w:rPr>
        <w:t>早谋划、早安排、早开展，</w:t>
      </w:r>
      <w:r>
        <w:rPr>
          <w:rFonts w:hint="default" w:ascii="Times New Roman" w:hAnsi="Times New Roman" w:eastAsia="仿宋_GB2312" w:cs="Times New Roman"/>
          <w:sz w:val="32"/>
          <w:szCs w:val="32"/>
          <w:lang w:val="en-US" w:eastAsia="zh-CN"/>
        </w:rPr>
        <w:t>公共文化工服务工作，</w:t>
      </w:r>
      <w:r>
        <w:rPr>
          <w:rFonts w:hint="default" w:ascii="Times New Roman" w:hAnsi="Times New Roman" w:eastAsia="仿宋_GB2312" w:cs="Times New Roman"/>
          <w:sz w:val="32"/>
          <w:szCs w:val="32"/>
        </w:rPr>
        <w:t>管好用好公共文化资金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待疫情影响过去后，立即开展相关活动，</w:t>
      </w:r>
      <w:r>
        <w:rPr>
          <w:rFonts w:hint="default" w:ascii="Times New Roman" w:hAnsi="Times New Roman" w:eastAsia="仿宋_GB2312" w:cs="Times New Roman"/>
          <w:sz w:val="32"/>
          <w:szCs w:val="32"/>
        </w:rPr>
        <w:t>充分发挥资金效益。</w:t>
      </w:r>
    </w:p>
    <w:p w14:paraId="65876A01">
      <w:pPr>
        <w:pStyle w:val="2"/>
        <w:rPr>
          <w:rFonts w:hint="default"/>
          <w:lang w:val="en-US" w:eastAsia="zh-CN"/>
        </w:rPr>
      </w:pPr>
    </w:p>
    <w:p w14:paraId="3A302002">
      <w:pPr>
        <w:rPr>
          <w:rFonts w:hint="default"/>
          <w:lang w:val="en-US" w:eastAsia="zh-CN"/>
        </w:rPr>
      </w:pPr>
    </w:p>
    <w:p w14:paraId="366CDBE9">
      <w:pPr>
        <w:pStyle w:val="2"/>
        <w:rPr>
          <w:rFonts w:hint="default"/>
          <w:lang w:val="en-US" w:eastAsia="zh-CN"/>
        </w:rPr>
      </w:pPr>
    </w:p>
    <w:p w14:paraId="08D680C6">
      <w:pPr>
        <w:rPr>
          <w:rFonts w:hint="default"/>
          <w:lang w:val="en-US" w:eastAsia="zh-CN"/>
        </w:rPr>
      </w:pPr>
    </w:p>
    <w:p w14:paraId="1CB84C65">
      <w:pPr>
        <w:pStyle w:val="2"/>
        <w:rPr>
          <w:rFonts w:hint="default"/>
          <w:lang w:val="en-US" w:eastAsia="zh-CN"/>
        </w:rPr>
      </w:pPr>
    </w:p>
    <w:p w14:paraId="45EDCF7A">
      <w:pPr>
        <w:rPr>
          <w:rFonts w:hint="default"/>
          <w:lang w:val="en-US" w:eastAsia="zh-CN"/>
        </w:rPr>
      </w:pPr>
    </w:p>
    <w:p w14:paraId="4CC8F456">
      <w:pPr>
        <w:pStyle w:val="2"/>
        <w:rPr>
          <w:rFonts w:hint="default"/>
          <w:lang w:val="en-US" w:eastAsia="zh-CN"/>
        </w:rPr>
      </w:pPr>
    </w:p>
    <w:p w14:paraId="29496F32">
      <w:pPr>
        <w:rPr>
          <w:rFonts w:hint="default"/>
          <w:lang w:val="en-US" w:eastAsia="zh-CN"/>
        </w:rPr>
      </w:pPr>
    </w:p>
    <w:p w14:paraId="5AC468D5">
      <w:pPr>
        <w:pStyle w:val="2"/>
        <w:rPr>
          <w:rFonts w:hint="default"/>
          <w:lang w:val="en-US" w:eastAsia="zh-CN"/>
        </w:rPr>
      </w:pPr>
    </w:p>
    <w:p w14:paraId="37F60454">
      <w:pPr>
        <w:rPr>
          <w:rFonts w:hint="default"/>
          <w:lang w:val="en-US" w:eastAsia="zh-CN"/>
        </w:rPr>
      </w:pPr>
    </w:p>
    <w:p w14:paraId="17AB39AB">
      <w:pPr>
        <w:pStyle w:val="2"/>
        <w:rPr>
          <w:rFonts w:hint="default"/>
          <w:lang w:val="en-US" w:eastAsia="zh-CN"/>
        </w:rPr>
      </w:pPr>
    </w:p>
    <w:p w14:paraId="0823FE75">
      <w:pPr>
        <w:rPr>
          <w:rFonts w:hint="default"/>
          <w:lang w:val="en-US" w:eastAsia="zh-CN"/>
        </w:rPr>
      </w:pPr>
    </w:p>
    <w:p w14:paraId="2ADB4523">
      <w:pPr>
        <w:pStyle w:val="2"/>
        <w:rPr>
          <w:rFonts w:hint="default"/>
          <w:lang w:val="en-US" w:eastAsia="zh-CN"/>
        </w:rPr>
      </w:pPr>
    </w:p>
    <w:p w14:paraId="5A4AB914">
      <w:pPr>
        <w:rPr>
          <w:rFonts w:hint="default"/>
          <w:lang w:val="en-US" w:eastAsia="zh-CN"/>
        </w:rPr>
      </w:pPr>
    </w:p>
    <w:p w14:paraId="519C7943">
      <w:pPr>
        <w:pStyle w:val="2"/>
        <w:rPr>
          <w:rFonts w:hint="default"/>
          <w:lang w:val="en-US" w:eastAsia="zh-CN"/>
        </w:rPr>
      </w:pPr>
    </w:p>
    <w:p w14:paraId="25ECCD78">
      <w:pPr>
        <w:rPr>
          <w:rFonts w:hint="default"/>
          <w:lang w:val="en-US" w:eastAsia="zh-CN"/>
        </w:rPr>
      </w:pPr>
    </w:p>
    <w:p w14:paraId="26834519">
      <w:pPr>
        <w:pStyle w:val="2"/>
        <w:rPr>
          <w:rFonts w:hint="eastAsia"/>
          <w:lang w:val="en-US" w:eastAsia="zh-CN"/>
        </w:rPr>
      </w:pPr>
    </w:p>
    <w:p w14:paraId="256C5009">
      <w:pPr>
        <w:pStyle w:val="2"/>
        <w:rPr>
          <w:rFonts w:hint="eastAsia"/>
          <w:lang w:val="en-US" w:eastAsia="zh-CN"/>
        </w:rPr>
      </w:pPr>
    </w:p>
    <w:p w14:paraId="370E4E98">
      <w:pPr>
        <w:pStyle w:val="2"/>
        <w:rPr>
          <w:rFonts w:hint="eastAsia"/>
          <w:lang w:val="en-US" w:eastAsia="zh-CN"/>
        </w:rPr>
      </w:pPr>
      <w:r>
        <w:rPr>
          <w:rFonts w:hint="eastAsia"/>
          <w:lang w:val="en-US" w:eastAsia="zh-CN"/>
        </w:rPr>
        <w:t>附件3：</w:t>
      </w:r>
    </w:p>
    <w:p w14:paraId="011B385B">
      <w:pPr>
        <w:spacing w:line="600" w:lineRule="exact"/>
        <w:jc w:val="center"/>
        <w:rPr>
          <w:rFonts w:hint="eastAsia" w:ascii="方正小标宋简体" w:hAnsi="方正小标宋简体" w:eastAsia="方正小标宋简体" w:cs="方正小标宋简体"/>
          <w:b w:val="0"/>
          <w:bCs/>
          <w:spacing w:val="0"/>
          <w:w w:val="100"/>
          <w:sz w:val="44"/>
          <w:szCs w:val="44"/>
          <w:highlight w:val="none"/>
          <w:lang w:eastAsia="zh-CN"/>
        </w:rPr>
      </w:pPr>
      <w:r>
        <w:rPr>
          <w:rFonts w:hint="eastAsia" w:ascii="方正小标宋简体" w:hAnsi="方正小标宋简体" w:eastAsia="方正小标宋简体" w:cs="方正小标宋简体"/>
          <w:b w:val="0"/>
          <w:bCs/>
          <w:spacing w:val="0"/>
          <w:w w:val="100"/>
          <w:sz w:val="44"/>
          <w:szCs w:val="44"/>
          <w:highlight w:val="none"/>
        </w:rPr>
        <w:t>滑县</w:t>
      </w:r>
      <w:r>
        <w:rPr>
          <w:rFonts w:hint="eastAsia" w:ascii="方正小标宋简体" w:hAnsi="方正小标宋简体" w:eastAsia="方正小标宋简体" w:cs="方正小标宋简体"/>
          <w:b w:val="0"/>
          <w:bCs/>
          <w:spacing w:val="0"/>
          <w:w w:val="100"/>
          <w:sz w:val="44"/>
          <w:szCs w:val="44"/>
          <w:highlight w:val="none"/>
          <w:lang w:eastAsia="zh-CN"/>
        </w:rPr>
        <w:t>财政局</w:t>
      </w:r>
    </w:p>
    <w:p w14:paraId="7D6047A3">
      <w:pPr>
        <w:spacing w:line="600" w:lineRule="exact"/>
        <w:jc w:val="center"/>
        <w:rPr>
          <w:rFonts w:hint="eastAsia" w:ascii="方正小标宋简体" w:hAnsi="方正小标宋简体" w:eastAsia="方正小标宋简体" w:cs="方正小标宋简体"/>
          <w:b w:val="0"/>
          <w:bCs/>
          <w:spacing w:val="0"/>
          <w:w w:val="100"/>
          <w:sz w:val="44"/>
          <w:szCs w:val="44"/>
          <w:highlight w:val="none"/>
        </w:rPr>
      </w:pPr>
      <w:r>
        <w:rPr>
          <w:rFonts w:hint="eastAsia" w:ascii="方正小标宋简体" w:hAnsi="方正小标宋简体" w:eastAsia="方正小标宋简体" w:cs="方正小标宋简体"/>
          <w:b w:val="0"/>
          <w:bCs/>
          <w:spacing w:val="0"/>
          <w:w w:val="100"/>
          <w:sz w:val="44"/>
          <w:szCs w:val="44"/>
          <w:highlight w:val="none"/>
        </w:rPr>
        <w:t>关于201</w:t>
      </w:r>
      <w:r>
        <w:rPr>
          <w:rFonts w:hint="eastAsia" w:ascii="方正小标宋简体" w:hAnsi="方正小标宋简体" w:eastAsia="方正小标宋简体" w:cs="方正小标宋简体"/>
          <w:b w:val="0"/>
          <w:bCs/>
          <w:spacing w:val="0"/>
          <w:w w:val="100"/>
          <w:sz w:val="44"/>
          <w:szCs w:val="44"/>
          <w:highlight w:val="none"/>
          <w:lang w:val="en-US" w:eastAsia="zh-CN"/>
        </w:rPr>
        <w:t>9</w:t>
      </w:r>
      <w:r>
        <w:rPr>
          <w:rFonts w:hint="eastAsia" w:ascii="方正小标宋简体" w:hAnsi="方正小标宋简体" w:eastAsia="方正小标宋简体" w:cs="方正小标宋简体"/>
          <w:b w:val="0"/>
          <w:bCs/>
          <w:spacing w:val="0"/>
          <w:w w:val="100"/>
          <w:sz w:val="44"/>
          <w:szCs w:val="44"/>
          <w:highlight w:val="none"/>
        </w:rPr>
        <w:t>年产粮大县奖励资金</w:t>
      </w:r>
    </w:p>
    <w:p w14:paraId="2E4122E8">
      <w:pPr>
        <w:spacing w:line="600" w:lineRule="exact"/>
        <w:jc w:val="center"/>
        <w:rPr>
          <w:rFonts w:hint="eastAsia" w:ascii="方正小标宋简体" w:hAnsi="方正小标宋简体" w:eastAsia="方正小标宋简体" w:cs="方正小标宋简体"/>
          <w:b w:val="0"/>
          <w:bCs/>
          <w:spacing w:val="0"/>
          <w:w w:val="100"/>
          <w:sz w:val="44"/>
          <w:szCs w:val="44"/>
          <w:highlight w:val="none"/>
        </w:rPr>
      </w:pPr>
      <w:r>
        <w:rPr>
          <w:rFonts w:hint="eastAsia" w:ascii="方正小标宋简体" w:hAnsi="方正小标宋简体" w:eastAsia="方正小标宋简体" w:cs="方正小标宋简体"/>
          <w:b w:val="0"/>
          <w:bCs/>
          <w:spacing w:val="0"/>
          <w:w w:val="100"/>
          <w:sz w:val="44"/>
          <w:szCs w:val="44"/>
          <w:highlight w:val="none"/>
        </w:rPr>
        <w:t>使用情况绩效自评报告</w:t>
      </w:r>
    </w:p>
    <w:p w14:paraId="0220695E">
      <w:pPr>
        <w:spacing w:line="600" w:lineRule="exact"/>
        <w:jc w:val="left"/>
        <w:rPr>
          <w:rFonts w:eastAsia="仿宋_GB2312"/>
          <w:spacing w:val="0"/>
          <w:w w:val="100"/>
          <w:sz w:val="32"/>
          <w:szCs w:val="32"/>
        </w:rPr>
      </w:pPr>
    </w:p>
    <w:p w14:paraId="65A46E11">
      <w:pPr>
        <w:keepNext w:val="0"/>
        <w:keepLines w:val="0"/>
        <w:pageBreakBefore w:val="0"/>
        <w:widowControl w:val="0"/>
        <w:kinsoku/>
        <w:wordWrap/>
        <w:topLinePunct w:val="0"/>
        <w:autoSpaceDE/>
        <w:autoSpaceDN/>
        <w:bidi w:val="0"/>
        <w:adjustRightInd/>
        <w:snapToGrid/>
        <w:spacing w:line="580" w:lineRule="exact"/>
        <w:jc w:val="left"/>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省财政厅：</w:t>
      </w:r>
    </w:p>
    <w:p w14:paraId="293A613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根据《河南省财政厅关于</w:t>
      </w:r>
      <w:r>
        <w:rPr>
          <w:rFonts w:hint="default" w:ascii="Times New Roman" w:hAnsi="Times New Roman" w:eastAsia="仿宋_GB2312" w:cs="Times New Roman"/>
          <w:spacing w:val="0"/>
          <w:w w:val="100"/>
          <w:sz w:val="32"/>
          <w:szCs w:val="32"/>
          <w:lang w:eastAsia="zh-CN"/>
        </w:rPr>
        <w:t>转发〈财政部关于印发</w:t>
      </w:r>
      <w:r>
        <w:rPr>
          <w:rFonts w:hint="default" w:ascii="Times New Roman" w:hAnsi="Times New Roman" w:eastAsia="仿宋_GB2312" w:cs="Times New Roman"/>
          <w:spacing w:val="0"/>
          <w:w w:val="100"/>
          <w:sz w:val="32"/>
          <w:szCs w:val="32"/>
        </w:rPr>
        <w:t>产粮（油）大县奖励</w:t>
      </w:r>
      <w:r>
        <w:rPr>
          <w:rFonts w:hint="default" w:ascii="Times New Roman" w:hAnsi="Times New Roman" w:eastAsia="仿宋_GB2312" w:cs="Times New Roman"/>
          <w:spacing w:val="0"/>
          <w:w w:val="100"/>
          <w:sz w:val="32"/>
          <w:szCs w:val="32"/>
          <w:lang w:eastAsia="zh-CN"/>
        </w:rPr>
        <w:t>奖励资金管理暂行</w:t>
      </w:r>
      <w:r>
        <w:rPr>
          <w:rFonts w:hint="default" w:ascii="Times New Roman" w:hAnsi="Times New Roman" w:eastAsia="仿宋_GB2312" w:cs="Times New Roman"/>
          <w:spacing w:val="0"/>
          <w:w w:val="100"/>
          <w:sz w:val="32"/>
          <w:szCs w:val="32"/>
        </w:rPr>
        <w:t>办法的通知〉</w:t>
      </w:r>
      <w:r>
        <w:rPr>
          <w:rFonts w:hint="default" w:ascii="Times New Roman" w:hAnsi="Times New Roman" w:eastAsia="仿宋_GB2312" w:cs="Times New Roman"/>
          <w:spacing w:val="0"/>
          <w:w w:val="100"/>
          <w:sz w:val="32"/>
          <w:szCs w:val="32"/>
          <w:lang w:eastAsia="zh-CN"/>
        </w:rPr>
        <w:t>的通知</w:t>
      </w:r>
      <w:r>
        <w:rPr>
          <w:rFonts w:hint="default" w:ascii="Times New Roman" w:hAnsi="Times New Roman" w:eastAsia="仿宋_GB2312" w:cs="Times New Roman"/>
          <w:spacing w:val="0"/>
          <w:w w:val="100"/>
          <w:sz w:val="32"/>
          <w:szCs w:val="32"/>
        </w:rPr>
        <w:t>》（豫财贸〔201</w:t>
      </w:r>
      <w:r>
        <w:rPr>
          <w:rFonts w:hint="default" w:ascii="Times New Roman" w:hAnsi="Times New Roman" w:eastAsia="仿宋_GB2312" w:cs="Times New Roman"/>
          <w:spacing w:val="0"/>
          <w:w w:val="100"/>
          <w:sz w:val="32"/>
          <w:szCs w:val="32"/>
          <w:lang w:val="en-US" w:eastAsia="zh-CN"/>
        </w:rPr>
        <w:t>8</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111</w:t>
      </w:r>
      <w:r>
        <w:rPr>
          <w:rFonts w:hint="default" w:ascii="Times New Roman" w:hAnsi="Times New Roman" w:eastAsia="仿宋_GB2312" w:cs="Times New Roman"/>
          <w:spacing w:val="0"/>
          <w:w w:val="100"/>
          <w:sz w:val="32"/>
          <w:szCs w:val="32"/>
        </w:rPr>
        <w:t>号）和《河南省财政厅关于</w:t>
      </w:r>
      <w:r>
        <w:rPr>
          <w:rFonts w:hint="default" w:ascii="Times New Roman" w:hAnsi="Times New Roman" w:eastAsia="仿宋_GB2312" w:cs="Times New Roman"/>
          <w:spacing w:val="0"/>
          <w:w w:val="100"/>
          <w:sz w:val="32"/>
          <w:szCs w:val="32"/>
          <w:lang w:eastAsia="zh-CN"/>
        </w:rPr>
        <w:t>对</w:t>
      </w:r>
      <w:r>
        <w:rPr>
          <w:rFonts w:hint="default" w:ascii="Times New Roman" w:hAnsi="Times New Roman" w:eastAsia="仿宋_GB2312" w:cs="Times New Roman"/>
          <w:spacing w:val="0"/>
          <w:w w:val="100"/>
          <w:sz w:val="32"/>
          <w:szCs w:val="32"/>
        </w:rPr>
        <w:t>产粮大县奖励资金绩效评价的通知》（豫财贸〔201</w:t>
      </w:r>
      <w:r>
        <w:rPr>
          <w:rFonts w:hint="default" w:ascii="Times New Roman" w:hAnsi="Times New Roman" w:eastAsia="仿宋_GB2312" w:cs="Times New Roman"/>
          <w:spacing w:val="0"/>
          <w:w w:val="100"/>
          <w:sz w:val="32"/>
          <w:szCs w:val="32"/>
          <w:lang w:val="en-US" w:eastAsia="zh-CN"/>
        </w:rPr>
        <w:t>3</w:t>
      </w:r>
      <w:r>
        <w:rPr>
          <w:rFonts w:hint="default" w:ascii="Times New Roman" w:hAnsi="Times New Roman" w:eastAsia="仿宋_GB2312" w:cs="Times New Roman"/>
          <w:spacing w:val="0"/>
          <w:w w:val="100"/>
          <w:sz w:val="32"/>
          <w:szCs w:val="32"/>
        </w:rPr>
        <w:t>〕1</w:t>
      </w:r>
      <w:r>
        <w:rPr>
          <w:rFonts w:hint="default" w:ascii="Times New Roman" w:hAnsi="Times New Roman" w:eastAsia="仿宋_GB2312" w:cs="Times New Roman"/>
          <w:spacing w:val="0"/>
          <w:w w:val="100"/>
          <w:sz w:val="32"/>
          <w:szCs w:val="32"/>
          <w:lang w:val="en-US" w:eastAsia="zh-CN"/>
        </w:rPr>
        <w:t>25</w:t>
      </w:r>
      <w:r>
        <w:rPr>
          <w:rFonts w:hint="default" w:ascii="Times New Roman" w:hAnsi="Times New Roman" w:eastAsia="仿宋_GB2312" w:cs="Times New Roman"/>
          <w:spacing w:val="0"/>
          <w:w w:val="100"/>
          <w:sz w:val="32"/>
          <w:szCs w:val="32"/>
        </w:rPr>
        <w:t>号）等有关文件</w:t>
      </w:r>
      <w:r>
        <w:rPr>
          <w:rFonts w:hint="default" w:ascii="Times New Roman" w:hAnsi="Times New Roman" w:eastAsia="仿宋_GB2312" w:cs="Times New Roman"/>
          <w:spacing w:val="0"/>
          <w:w w:val="100"/>
          <w:sz w:val="32"/>
          <w:szCs w:val="32"/>
          <w:lang w:eastAsia="zh-CN"/>
        </w:rPr>
        <w:t>精神</w:t>
      </w:r>
      <w:r>
        <w:rPr>
          <w:rFonts w:hint="default" w:ascii="Times New Roman" w:hAnsi="Times New Roman" w:eastAsia="仿宋_GB2312" w:cs="Times New Roman"/>
          <w:spacing w:val="0"/>
          <w:w w:val="100"/>
          <w:sz w:val="32"/>
          <w:szCs w:val="32"/>
        </w:rPr>
        <w:t>，结合我县实际，对我县201</w:t>
      </w:r>
      <w:r>
        <w:rPr>
          <w:rFonts w:hint="default" w:ascii="Times New Roman" w:hAnsi="Times New Roman" w:eastAsia="仿宋_GB2312" w:cs="Times New Roman"/>
          <w:spacing w:val="0"/>
          <w:w w:val="100"/>
          <w:sz w:val="32"/>
          <w:szCs w:val="32"/>
          <w:lang w:val="en-US" w:eastAsia="zh-CN"/>
        </w:rPr>
        <w:t>9</w:t>
      </w:r>
      <w:r>
        <w:rPr>
          <w:rFonts w:hint="default" w:ascii="Times New Roman" w:hAnsi="Times New Roman" w:eastAsia="仿宋_GB2312" w:cs="Times New Roman"/>
          <w:spacing w:val="0"/>
          <w:w w:val="100"/>
          <w:sz w:val="32"/>
          <w:szCs w:val="32"/>
        </w:rPr>
        <w:t>年产粮大县奖励资金使用情况进行自评，现就自评情况报告如下：</w:t>
      </w:r>
    </w:p>
    <w:p w14:paraId="3AAA498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spacing w:val="0"/>
          <w:w w:val="100"/>
          <w:sz w:val="32"/>
          <w:szCs w:val="32"/>
        </w:rPr>
      </w:pPr>
      <w:r>
        <w:rPr>
          <w:rFonts w:hint="eastAsia" w:ascii="黑体" w:hAnsi="黑体" w:eastAsia="黑体" w:cs="黑体"/>
          <w:b w:val="0"/>
          <w:bCs/>
          <w:spacing w:val="0"/>
          <w:w w:val="100"/>
          <w:sz w:val="32"/>
          <w:szCs w:val="32"/>
        </w:rPr>
        <w:t>一、奖励资金情况</w:t>
      </w:r>
    </w:p>
    <w:p w14:paraId="1D29A0A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pacing w:val="0"/>
          <w:w w:val="100"/>
          <w:sz w:val="32"/>
          <w:szCs w:val="32"/>
          <w:highlight w:val="none"/>
        </w:rPr>
      </w:pPr>
      <w:r>
        <w:rPr>
          <w:rFonts w:hint="default" w:ascii="Times New Roman" w:hAnsi="Times New Roman" w:eastAsia="仿宋_GB2312" w:cs="Times New Roman"/>
          <w:spacing w:val="0"/>
          <w:w w:val="100"/>
          <w:sz w:val="32"/>
          <w:szCs w:val="32"/>
        </w:rPr>
        <w:t>根据《河南省财政厅关于</w:t>
      </w:r>
      <w:r>
        <w:rPr>
          <w:rFonts w:hint="default" w:ascii="Times New Roman" w:hAnsi="Times New Roman" w:eastAsia="仿宋_GB2312" w:cs="Times New Roman"/>
          <w:spacing w:val="0"/>
          <w:w w:val="100"/>
          <w:sz w:val="32"/>
          <w:szCs w:val="32"/>
          <w:lang w:eastAsia="zh-CN"/>
        </w:rPr>
        <w:t>提前下达</w:t>
      </w:r>
      <w:r>
        <w:rPr>
          <w:rFonts w:hint="default" w:ascii="Times New Roman" w:hAnsi="Times New Roman" w:eastAsia="仿宋_GB2312" w:cs="Times New Roman"/>
          <w:spacing w:val="0"/>
          <w:w w:val="100"/>
          <w:sz w:val="32"/>
          <w:szCs w:val="32"/>
        </w:rPr>
        <w:t>201</w:t>
      </w:r>
      <w:r>
        <w:rPr>
          <w:rFonts w:hint="default" w:ascii="Times New Roman" w:hAnsi="Times New Roman" w:eastAsia="仿宋_GB2312" w:cs="Times New Roman"/>
          <w:spacing w:val="0"/>
          <w:w w:val="100"/>
          <w:sz w:val="32"/>
          <w:szCs w:val="32"/>
          <w:lang w:val="en-US" w:eastAsia="zh-CN"/>
        </w:rPr>
        <w:t>9</w:t>
      </w:r>
      <w:r>
        <w:rPr>
          <w:rFonts w:hint="default" w:ascii="Times New Roman" w:hAnsi="Times New Roman" w:eastAsia="仿宋_GB2312" w:cs="Times New Roman"/>
          <w:spacing w:val="0"/>
          <w:w w:val="100"/>
          <w:sz w:val="32"/>
          <w:szCs w:val="32"/>
        </w:rPr>
        <w:t>年产粮大县奖励资金</w:t>
      </w:r>
      <w:r>
        <w:rPr>
          <w:rFonts w:hint="default" w:ascii="Times New Roman" w:hAnsi="Times New Roman" w:eastAsia="仿宋_GB2312" w:cs="Times New Roman"/>
          <w:spacing w:val="0"/>
          <w:w w:val="100"/>
          <w:sz w:val="32"/>
          <w:szCs w:val="32"/>
          <w:lang w:val="en-US" w:eastAsia="zh-CN"/>
        </w:rPr>
        <w:t>预算</w:t>
      </w:r>
      <w:r>
        <w:rPr>
          <w:rFonts w:hint="default" w:ascii="Times New Roman" w:hAnsi="Times New Roman" w:eastAsia="仿宋_GB2312" w:cs="Times New Roman"/>
          <w:spacing w:val="0"/>
          <w:w w:val="100"/>
          <w:sz w:val="32"/>
          <w:szCs w:val="32"/>
        </w:rPr>
        <w:t>的通知》（豫</w:t>
      </w:r>
      <w:r>
        <w:rPr>
          <w:rFonts w:hint="default" w:ascii="Times New Roman" w:hAnsi="Times New Roman" w:eastAsia="仿宋_GB2312" w:cs="Times New Roman"/>
          <w:spacing w:val="0"/>
          <w:w w:val="100"/>
          <w:sz w:val="32"/>
          <w:szCs w:val="32"/>
          <w:lang w:eastAsia="zh-CN"/>
        </w:rPr>
        <w:t>财</w:t>
      </w:r>
      <w:r>
        <w:rPr>
          <w:rFonts w:hint="default" w:ascii="Times New Roman" w:hAnsi="Times New Roman" w:eastAsia="仿宋_GB2312" w:cs="Times New Roman"/>
          <w:spacing w:val="0"/>
          <w:w w:val="100"/>
          <w:sz w:val="32"/>
          <w:szCs w:val="32"/>
        </w:rPr>
        <w:t>贸〔201</w:t>
      </w:r>
      <w:r>
        <w:rPr>
          <w:rFonts w:hint="default" w:ascii="Times New Roman" w:hAnsi="Times New Roman" w:eastAsia="仿宋_GB2312" w:cs="Times New Roman"/>
          <w:spacing w:val="0"/>
          <w:w w:val="100"/>
          <w:sz w:val="32"/>
          <w:szCs w:val="32"/>
          <w:lang w:val="en-US" w:eastAsia="zh-CN"/>
        </w:rPr>
        <w:t>8</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115</w:t>
      </w:r>
      <w:r>
        <w:rPr>
          <w:rFonts w:hint="default" w:ascii="Times New Roman" w:hAnsi="Times New Roman" w:eastAsia="仿宋_GB2312" w:cs="Times New Roman"/>
          <w:spacing w:val="0"/>
          <w:w w:val="100"/>
          <w:sz w:val="32"/>
          <w:szCs w:val="32"/>
        </w:rPr>
        <w:t>号）</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《河南省财政厅关于拨付201</w:t>
      </w:r>
      <w:r>
        <w:rPr>
          <w:rFonts w:hint="default" w:ascii="Times New Roman" w:hAnsi="Times New Roman" w:eastAsia="仿宋_GB2312" w:cs="Times New Roman"/>
          <w:spacing w:val="0"/>
          <w:w w:val="100"/>
          <w:sz w:val="32"/>
          <w:szCs w:val="32"/>
          <w:lang w:val="en-US" w:eastAsia="zh-CN"/>
        </w:rPr>
        <w:t>9</w:t>
      </w:r>
      <w:r>
        <w:rPr>
          <w:rFonts w:hint="default" w:ascii="Times New Roman" w:hAnsi="Times New Roman" w:eastAsia="仿宋_GB2312" w:cs="Times New Roman"/>
          <w:spacing w:val="0"/>
          <w:w w:val="100"/>
          <w:sz w:val="32"/>
          <w:szCs w:val="32"/>
        </w:rPr>
        <w:t>年产粮大县奖励资金的通知》（豫</w:t>
      </w:r>
      <w:r>
        <w:rPr>
          <w:rFonts w:hint="default" w:ascii="Times New Roman" w:hAnsi="Times New Roman" w:eastAsia="仿宋_GB2312" w:cs="Times New Roman"/>
          <w:spacing w:val="0"/>
          <w:w w:val="100"/>
          <w:sz w:val="32"/>
          <w:szCs w:val="32"/>
          <w:lang w:eastAsia="zh-CN"/>
        </w:rPr>
        <w:t>财</w:t>
      </w:r>
      <w:r>
        <w:rPr>
          <w:rFonts w:hint="default" w:ascii="Times New Roman" w:hAnsi="Times New Roman" w:eastAsia="仿宋_GB2312" w:cs="Times New Roman"/>
          <w:spacing w:val="0"/>
          <w:w w:val="100"/>
          <w:sz w:val="32"/>
          <w:szCs w:val="32"/>
        </w:rPr>
        <w:t>贸〔201</w:t>
      </w:r>
      <w:r>
        <w:rPr>
          <w:rFonts w:hint="default" w:ascii="Times New Roman" w:hAnsi="Times New Roman" w:eastAsia="仿宋_GB2312" w:cs="Times New Roman"/>
          <w:spacing w:val="0"/>
          <w:w w:val="100"/>
          <w:sz w:val="32"/>
          <w:szCs w:val="32"/>
          <w:lang w:val="en-US" w:eastAsia="zh-CN"/>
        </w:rPr>
        <w:t>9</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22</w:t>
      </w:r>
      <w:r>
        <w:rPr>
          <w:rFonts w:hint="default" w:ascii="Times New Roman" w:hAnsi="Times New Roman" w:eastAsia="仿宋_GB2312" w:cs="Times New Roman"/>
          <w:spacing w:val="0"/>
          <w:w w:val="100"/>
          <w:sz w:val="32"/>
          <w:szCs w:val="32"/>
        </w:rPr>
        <w:t>号）文件，</w:t>
      </w:r>
      <w:r>
        <w:rPr>
          <w:rFonts w:hint="default" w:ascii="Times New Roman" w:hAnsi="Times New Roman" w:eastAsia="仿宋_GB2312" w:cs="Times New Roman"/>
          <w:spacing w:val="0"/>
          <w:w w:val="100"/>
          <w:sz w:val="32"/>
          <w:szCs w:val="32"/>
          <w:u w:val="none" w:color="auto"/>
        </w:rPr>
        <w:t>拨付我县奖励资金</w:t>
      </w:r>
      <w:r>
        <w:rPr>
          <w:rFonts w:hint="default" w:ascii="Times New Roman" w:hAnsi="Times New Roman" w:eastAsia="仿宋_GB2312" w:cs="Times New Roman"/>
          <w:spacing w:val="0"/>
          <w:w w:val="100"/>
          <w:sz w:val="32"/>
          <w:szCs w:val="32"/>
          <w:u w:val="none" w:color="auto"/>
          <w:lang w:val="en-US" w:eastAsia="zh-CN"/>
        </w:rPr>
        <w:t>11166</w:t>
      </w:r>
      <w:r>
        <w:rPr>
          <w:rFonts w:hint="default" w:ascii="Times New Roman" w:hAnsi="Times New Roman" w:eastAsia="仿宋_GB2312" w:cs="Times New Roman"/>
          <w:spacing w:val="0"/>
          <w:w w:val="100"/>
          <w:sz w:val="32"/>
          <w:szCs w:val="32"/>
          <w:u w:val="none" w:color="auto"/>
        </w:rPr>
        <w:t>万元，其中</w:t>
      </w:r>
      <w:r>
        <w:rPr>
          <w:rFonts w:hint="default" w:ascii="Times New Roman" w:hAnsi="Times New Roman" w:eastAsia="仿宋_GB2312" w:cs="Times New Roman"/>
          <w:spacing w:val="0"/>
          <w:w w:val="100"/>
          <w:sz w:val="32"/>
          <w:szCs w:val="32"/>
          <w:u w:val="none" w:color="auto"/>
          <w:lang w:eastAsia="zh-CN"/>
        </w:rPr>
        <w:t>：</w:t>
      </w:r>
      <w:r>
        <w:rPr>
          <w:rFonts w:hint="default" w:ascii="Times New Roman" w:hAnsi="Times New Roman" w:eastAsia="仿宋_GB2312" w:cs="Times New Roman"/>
          <w:spacing w:val="0"/>
          <w:w w:val="100"/>
          <w:sz w:val="32"/>
          <w:szCs w:val="32"/>
          <w:u w:val="none" w:color="auto"/>
        </w:rPr>
        <w:t>常规产粮大县奖励资金</w:t>
      </w:r>
      <w:r>
        <w:rPr>
          <w:rFonts w:hint="default" w:ascii="Times New Roman" w:hAnsi="Times New Roman" w:eastAsia="仿宋_GB2312" w:cs="Times New Roman"/>
          <w:spacing w:val="0"/>
          <w:w w:val="100"/>
          <w:sz w:val="32"/>
          <w:szCs w:val="32"/>
          <w:u w:val="none" w:color="auto"/>
          <w:lang w:val="en-US" w:eastAsia="zh-CN"/>
        </w:rPr>
        <w:t>9000</w:t>
      </w:r>
      <w:r>
        <w:rPr>
          <w:rFonts w:hint="default" w:ascii="Times New Roman" w:hAnsi="Times New Roman" w:eastAsia="仿宋_GB2312" w:cs="Times New Roman"/>
          <w:spacing w:val="0"/>
          <w:w w:val="100"/>
          <w:sz w:val="32"/>
          <w:szCs w:val="32"/>
          <w:u w:val="none" w:color="auto"/>
        </w:rPr>
        <w:t>万元，</w:t>
      </w:r>
      <w:r>
        <w:rPr>
          <w:rFonts w:hint="default" w:ascii="Times New Roman" w:hAnsi="Times New Roman" w:eastAsia="仿宋_GB2312" w:cs="Times New Roman"/>
          <w:spacing w:val="0"/>
          <w:w w:val="100"/>
          <w:sz w:val="32"/>
          <w:szCs w:val="32"/>
          <w:highlight w:val="none"/>
        </w:rPr>
        <w:t>超级产粮大县奖励资金</w:t>
      </w:r>
      <w:r>
        <w:rPr>
          <w:rFonts w:hint="default" w:ascii="Times New Roman" w:hAnsi="Times New Roman" w:eastAsia="仿宋_GB2312" w:cs="Times New Roman"/>
          <w:spacing w:val="0"/>
          <w:w w:val="100"/>
          <w:sz w:val="32"/>
          <w:szCs w:val="32"/>
          <w:highlight w:val="none"/>
          <w:lang w:val="en-US" w:eastAsia="zh-CN"/>
        </w:rPr>
        <w:t>2166</w:t>
      </w:r>
      <w:r>
        <w:rPr>
          <w:rFonts w:hint="default" w:ascii="Times New Roman" w:hAnsi="Times New Roman" w:eastAsia="仿宋_GB2312" w:cs="Times New Roman"/>
          <w:spacing w:val="0"/>
          <w:w w:val="100"/>
          <w:sz w:val="32"/>
          <w:szCs w:val="32"/>
          <w:highlight w:val="none"/>
        </w:rPr>
        <w:t>万元。</w:t>
      </w:r>
    </w:p>
    <w:p w14:paraId="3B954C5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spacing w:val="0"/>
          <w:w w:val="100"/>
          <w:sz w:val="32"/>
          <w:szCs w:val="32"/>
        </w:rPr>
      </w:pPr>
      <w:r>
        <w:rPr>
          <w:rFonts w:hint="eastAsia" w:ascii="黑体" w:hAnsi="黑体" w:eastAsia="黑体" w:cs="黑体"/>
          <w:b w:val="0"/>
          <w:bCs/>
          <w:spacing w:val="0"/>
          <w:w w:val="100"/>
          <w:sz w:val="32"/>
          <w:szCs w:val="32"/>
        </w:rPr>
        <w:t>二、粮食方面支出及耕地保护情况</w:t>
      </w:r>
    </w:p>
    <w:p w14:paraId="6BE93F8E">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b/>
          <w:color w:val="auto"/>
          <w:spacing w:val="0"/>
          <w:w w:val="100"/>
          <w:sz w:val="32"/>
          <w:szCs w:val="32"/>
        </w:rPr>
        <w:t>（1）</w:t>
      </w:r>
      <w:r>
        <w:rPr>
          <w:rFonts w:hint="default" w:ascii="Times New Roman" w:hAnsi="Times New Roman" w:eastAsia="仿宋_GB2312" w:cs="Times New Roman"/>
          <w:color w:val="auto"/>
          <w:spacing w:val="0"/>
          <w:w w:val="100"/>
          <w:sz w:val="32"/>
          <w:szCs w:val="32"/>
          <w:u w:val="none" w:color="auto"/>
        </w:rPr>
        <w:t>201</w:t>
      </w:r>
      <w:r>
        <w:rPr>
          <w:rFonts w:hint="default" w:ascii="Times New Roman" w:hAnsi="Times New Roman" w:eastAsia="仿宋_GB2312" w:cs="Times New Roman"/>
          <w:color w:val="auto"/>
          <w:spacing w:val="0"/>
          <w:w w:val="100"/>
          <w:sz w:val="32"/>
          <w:szCs w:val="32"/>
          <w:u w:val="none" w:color="auto"/>
          <w:lang w:val="en-US" w:eastAsia="zh-CN"/>
        </w:rPr>
        <w:t>8</w:t>
      </w:r>
      <w:r>
        <w:rPr>
          <w:rFonts w:hint="default" w:ascii="Times New Roman" w:hAnsi="Times New Roman" w:eastAsia="仿宋_GB2312" w:cs="Times New Roman"/>
          <w:color w:val="auto"/>
          <w:spacing w:val="0"/>
          <w:w w:val="100"/>
          <w:sz w:val="32"/>
          <w:szCs w:val="32"/>
          <w:u w:val="none" w:color="auto"/>
        </w:rPr>
        <w:t>年用于支持粮食生产和流通方面支出</w:t>
      </w:r>
      <w:r>
        <w:rPr>
          <w:rFonts w:hint="default" w:ascii="Times New Roman" w:hAnsi="Times New Roman" w:eastAsia="仿宋_GB2312" w:cs="Times New Roman"/>
          <w:b w:val="0"/>
          <w:bCs/>
          <w:color w:val="auto"/>
          <w:spacing w:val="0"/>
          <w:w w:val="100"/>
          <w:sz w:val="32"/>
          <w:szCs w:val="32"/>
          <w:lang w:val="en-US" w:eastAsia="zh-CN"/>
        </w:rPr>
        <w:t>129948</w:t>
      </w:r>
      <w:r>
        <w:rPr>
          <w:rFonts w:hint="default" w:ascii="Times New Roman" w:hAnsi="Times New Roman" w:eastAsia="仿宋_GB2312" w:cs="Times New Roman"/>
          <w:color w:val="auto"/>
          <w:spacing w:val="0"/>
          <w:w w:val="100"/>
          <w:sz w:val="32"/>
          <w:szCs w:val="32"/>
          <w:u w:val="none" w:color="auto"/>
        </w:rPr>
        <w:t>万元，县级财政总支出</w:t>
      </w:r>
      <w:r>
        <w:rPr>
          <w:rFonts w:hint="default" w:ascii="Times New Roman" w:hAnsi="Times New Roman" w:eastAsia="仿宋_GB2312" w:cs="Times New Roman"/>
          <w:color w:val="auto"/>
          <w:spacing w:val="0"/>
          <w:w w:val="100"/>
          <w:sz w:val="32"/>
          <w:szCs w:val="32"/>
          <w:lang w:val="en-US" w:eastAsia="zh-CN"/>
        </w:rPr>
        <w:t>656708</w:t>
      </w:r>
      <w:r>
        <w:rPr>
          <w:rFonts w:hint="default" w:ascii="Times New Roman" w:hAnsi="Times New Roman" w:eastAsia="仿宋_GB2312" w:cs="Times New Roman"/>
          <w:color w:val="auto"/>
          <w:spacing w:val="0"/>
          <w:w w:val="100"/>
          <w:sz w:val="32"/>
          <w:szCs w:val="32"/>
          <w:u w:val="none" w:color="auto"/>
        </w:rPr>
        <w:t>万元，</w:t>
      </w:r>
      <w:r>
        <w:rPr>
          <w:rFonts w:hint="default" w:ascii="Times New Roman" w:hAnsi="Times New Roman" w:eastAsia="仿宋_GB2312" w:cs="Times New Roman"/>
          <w:color w:val="auto"/>
          <w:spacing w:val="0"/>
          <w:w w:val="100"/>
          <w:sz w:val="32"/>
          <w:szCs w:val="32"/>
        </w:rPr>
        <w:t>用于支持粮食生产和流通方面的支出占县级财政总支出</w:t>
      </w:r>
      <w:r>
        <w:rPr>
          <w:rFonts w:hint="default" w:ascii="Times New Roman" w:hAnsi="Times New Roman" w:eastAsia="仿宋_GB2312" w:cs="Times New Roman"/>
          <w:color w:val="auto"/>
          <w:spacing w:val="0"/>
          <w:w w:val="100"/>
          <w:sz w:val="32"/>
          <w:szCs w:val="32"/>
          <w:lang w:val="en-US" w:eastAsia="zh-CN"/>
        </w:rPr>
        <w:t>19.8</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b w:val="0"/>
          <w:bCs/>
          <w:color w:val="auto"/>
          <w:spacing w:val="0"/>
          <w:w w:val="100"/>
          <w:sz w:val="32"/>
          <w:szCs w:val="32"/>
        </w:rPr>
        <w:t>201</w:t>
      </w:r>
      <w:r>
        <w:rPr>
          <w:rFonts w:hint="default" w:ascii="Times New Roman" w:hAnsi="Times New Roman" w:eastAsia="仿宋_GB2312" w:cs="Times New Roman"/>
          <w:b w:val="0"/>
          <w:bCs/>
          <w:color w:val="auto"/>
          <w:spacing w:val="0"/>
          <w:w w:val="100"/>
          <w:sz w:val="32"/>
          <w:szCs w:val="32"/>
          <w:lang w:val="en-US" w:eastAsia="zh-CN"/>
        </w:rPr>
        <w:t>9</w:t>
      </w:r>
      <w:r>
        <w:rPr>
          <w:rFonts w:hint="default" w:ascii="Times New Roman" w:hAnsi="Times New Roman" w:eastAsia="仿宋_GB2312" w:cs="Times New Roman"/>
          <w:b w:val="0"/>
          <w:bCs/>
          <w:color w:val="auto"/>
          <w:spacing w:val="0"/>
          <w:w w:val="100"/>
          <w:sz w:val="32"/>
          <w:szCs w:val="32"/>
        </w:rPr>
        <w:t>年用于支持粮食生产和流通方面支出</w:t>
      </w:r>
      <w:r>
        <w:rPr>
          <w:rFonts w:hint="default" w:ascii="Times New Roman" w:hAnsi="Times New Roman" w:eastAsia="仿宋_GB2312" w:cs="Times New Roman"/>
          <w:b w:val="0"/>
          <w:bCs/>
          <w:color w:val="auto"/>
          <w:spacing w:val="0"/>
          <w:w w:val="100"/>
          <w:sz w:val="32"/>
          <w:szCs w:val="32"/>
          <w:lang w:val="en-US" w:eastAsia="zh-CN"/>
        </w:rPr>
        <w:t>125458</w:t>
      </w:r>
      <w:r>
        <w:rPr>
          <w:rFonts w:hint="default" w:ascii="Times New Roman" w:hAnsi="Times New Roman" w:eastAsia="仿宋_GB2312" w:cs="Times New Roman"/>
          <w:color w:val="auto"/>
          <w:spacing w:val="0"/>
          <w:w w:val="100"/>
          <w:sz w:val="32"/>
          <w:szCs w:val="32"/>
        </w:rPr>
        <w:t>万元，县级财政总支出</w:t>
      </w:r>
      <w:r>
        <w:rPr>
          <w:rFonts w:hint="default" w:ascii="Times New Roman" w:hAnsi="Times New Roman" w:eastAsia="仿宋_GB2312" w:cs="Times New Roman"/>
          <w:color w:val="auto"/>
          <w:spacing w:val="0"/>
          <w:w w:val="100"/>
          <w:sz w:val="32"/>
          <w:szCs w:val="32"/>
          <w:lang w:val="en-US" w:eastAsia="zh-CN"/>
        </w:rPr>
        <w:t>712829</w:t>
      </w:r>
      <w:r>
        <w:rPr>
          <w:rFonts w:hint="default" w:ascii="Times New Roman" w:hAnsi="Times New Roman" w:eastAsia="仿宋_GB2312" w:cs="Times New Roman"/>
          <w:color w:val="auto"/>
          <w:spacing w:val="0"/>
          <w:w w:val="100"/>
          <w:sz w:val="32"/>
          <w:szCs w:val="32"/>
        </w:rPr>
        <w:t>万元，用于支持粮食生产和流通方面的支出占县级财政总支出</w:t>
      </w:r>
      <w:r>
        <w:rPr>
          <w:rFonts w:hint="default" w:ascii="Times New Roman" w:hAnsi="Times New Roman" w:eastAsia="仿宋_GB2312" w:cs="Times New Roman"/>
          <w:color w:val="auto"/>
          <w:spacing w:val="0"/>
          <w:w w:val="100"/>
          <w:sz w:val="32"/>
          <w:szCs w:val="32"/>
          <w:lang w:val="en-US" w:eastAsia="zh-CN"/>
        </w:rPr>
        <w:t>17.6</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eastAsia="zh-CN"/>
        </w:rPr>
        <w:t>。</w:t>
      </w:r>
    </w:p>
    <w:p w14:paraId="0EC7738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pacing w:val="0"/>
          <w:w w:val="100"/>
          <w:sz w:val="32"/>
          <w:szCs w:val="32"/>
          <w:highlight w:val="none"/>
        </w:rPr>
      </w:pPr>
      <w:r>
        <w:rPr>
          <w:rFonts w:hint="default" w:ascii="Times New Roman" w:hAnsi="Times New Roman" w:eastAsia="仿宋_GB2312" w:cs="Times New Roman"/>
          <w:color w:val="auto"/>
          <w:spacing w:val="0"/>
          <w:w w:val="100"/>
          <w:sz w:val="32"/>
          <w:szCs w:val="32"/>
          <w:highlight w:val="none"/>
        </w:rPr>
        <w:t>（2）201</w:t>
      </w:r>
      <w:r>
        <w:rPr>
          <w:rFonts w:hint="default" w:ascii="Times New Roman" w:hAnsi="Times New Roman" w:eastAsia="仿宋_GB2312" w:cs="Times New Roman"/>
          <w:color w:val="auto"/>
          <w:spacing w:val="0"/>
          <w:w w:val="100"/>
          <w:sz w:val="32"/>
          <w:szCs w:val="32"/>
          <w:highlight w:val="none"/>
          <w:lang w:val="en-US" w:eastAsia="zh-CN"/>
        </w:rPr>
        <w:t>8</w:t>
      </w:r>
      <w:r>
        <w:rPr>
          <w:rFonts w:hint="default" w:ascii="Times New Roman" w:hAnsi="Times New Roman" w:eastAsia="仿宋_GB2312" w:cs="Times New Roman"/>
          <w:color w:val="auto"/>
          <w:spacing w:val="0"/>
          <w:w w:val="100"/>
          <w:sz w:val="32"/>
          <w:szCs w:val="32"/>
          <w:highlight w:val="none"/>
        </w:rPr>
        <w:t>年耕地面积195.21万亩，201</w:t>
      </w:r>
      <w:r>
        <w:rPr>
          <w:rFonts w:hint="default" w:ascii="Times New Roman" w:hAnsi="Times New Roman" w:eastAsia="仿宋_GB2312" w:cs="Times New Roman"/>
          <w:color w:val="auto"/>
          <w:spacing w:val="0"/>
          <w:w w:val="100"/>
          <w:sz w:val="32"/>
          <w:szCs w:val="32"/>
          <w:highlight w:val="none"/>
          <w:lang w:val="en-US" w:eastAsia="zh-CN"/>
        </w:rPr>
        <w:t>9</w:t>
      </w:r>
      <w:r>
        <w:rPr>
          <w:rFonts w:hint="default" w:ascii="Times New Roman" w:hAnsi="Times New Roman" w:eastAsia="仿宋_GB2312" w:cs="Times New Roman"/>
          <w:color w:val="auto"/>
          <w:spacing w:val="0"/>
          <w:w w:val="100"/>
          <w:sz w:val="32"/>
          <w:szCs w:val="32"/>
          <w:highlight w:val="none"/>
        </w:rPr>
        <w:t>年耕地面积1</w:t>
      </w:r>
      <w:r>
        <w:rPr>
          <w:rFonts w:hint="default" w:ascii="Times New Roman" w:hAnsi="Times New Roman" w:eastAsia="仿宋_GB2312" w:cs="Times New Roman"/>
          <w:color w:val="auto"/>
          <w:spacing w:val="0"/>
          <w:w w:val="100"/>
          <w:sz w:val="32"/>
          <w:szCs w:val="32"/>
          <w:highlight w:val="none"/>
          <w:lang w:val="en-US" w:eastAsia="zh-CN"/>
        </w:rPr>
        <w:t>95.21</w:t>
      </w:r>
      <w:r>
        <w:rPr>
          <w:rFonts w:hint="default" w:ascii="Times New Roman" w:hAnsi="Times New Roman" w:eastAsia="仿宋_GB2312" w:cs="Times New Roman"/>
          <w:color w:val="auto"/>
          <w:spacing w:val="0"/>
          <w:w w:val="100"/>
          <w:sz w:val="32"/>
          <w:szCs w:val="32"/>
          <w:highlight w:val="none"/>
        </w:rPr>
        <w:t>万亩，</w:t>
      </w:r>
      <w:r>
        <w:rPr>
          <w:rFonts w:hint="default" w:ascii="Times New Roman" w:hAnsi="Times New Roman" w:eastAsia="仿宋_GB2312" w:cs="Times New Roman"/>
          <w:color w:val="auto"/>
          <w:spacing w:val="0"/>
          <w:w w:val="100"/>
          <w:sz w:val="32"/>
          <w:szCs w:val="32"/>
          <w:highlight w:val="none"/>
          <w:lang w:eastAsia="zh-CN"/>
        </w:rPr>
        <w:t>与</w:t>
      </w:r>
      <w:r>
        <w:rPr>
          <w:rFonts w:hint="default" w:ascii="Times New Roman" w:hAnsi="Times New Roman" w:eastAsia="仿宋_GB2312" w:cs="Times New Roman"/>
          <w:color w:val="auto"/>
          <w:spacing w:val="0"/>
          <w:w w:val="100"/>
          <w:sz w:val="32"/>
          <w:szCs w:val="32"/>
          <w:highlight w:val="none"/>
        </w:rPr>
        <w:t>上年同期耕地面积持平。</w:t>
      </w:r>
    </w:p>
    <w:p w14:paraId="0D22949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spacing w:val="0"/>
          <w:w w:val="100"/>
          <w:sz w:val="32"/>
          <w:szCs w:val="32"/>
        </w:rPr>
      </w:pPr>
      <w:r>
        <w:rPr>
          <w:rFonts w:hint="eastAsia" w:ascii="黑体" w:hAnsi="黑体" w:eastAsia="黑体" w:cs="黑体"/>
          <w:b w:val="0"/>
          <w:bCs/>
          <w:spacing w:val="0"/>
          <w:w w:val="100"/>
          <w:sz w:val="32"/>
          <w:szCs w:val="32"/>
        </w:rPr>
        <w:t>三、资金使用及管理情况</w:t>
      </w:r>
    </w:p>
    <w:p w14:paraId="65810A2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spacing w:val="0"/>
          <w:w w:val="100"/>
          <w:sz w:val="32"/>
          <w:szCs w:val="32"/>
        </w:rPr>
      </w:pPr>
      <w:r>
        <w:rPr>
          <w:rFonts w:hint="eastAsia" w:ascii="楷体_GB2312" w:hAnsi="楷体_GB2312" w:eastAsia="楷体_GB2312" w:cs="楷体_GB2312"/>
          <w:b w:val="0"/>
          <w:bCs/>
          <w:spacing w:val="0"/>
          <w:w w:val="100"/>
          <w:sz w:val="32"/>
          <w:szCs w:val="32"/>
        </w:rPr>
        <w:t>（一）常规产粮大县奖励资金使用情况</w:t>
      </w:r>
    </w:p>
    <w:p w14:paraId="7E4CAA2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FF0000"/>
          <w:spacing w:val="0"/>
          <w:w w:val="100"/>
          <w:sz w:val="32"/>
          <w:szCs w:val="32"/>
        </w:rPr>
      </w:pPr>
      <w:r>
        <w:rPr>
          <w:rFonts w:hint="default" w:ascii="Times New Roman" w:hAnsi="Times New Roman" w:eastAsia="仿宋_GB2312" w:cs="Times New Roman"/>
          <w:color w:val="auto"/>
          <w:spacing w:val="0"/>
          <w:w w:val="100"/>
          <w:sz w:val="32"/>
          <w:szCs w:val="32"/>
        </w:rPr>
        <w:t>根据豫</w:t>
      </w:r>
      <w:r>
        <w:rPr>
          <w:rFonts w:hint="default" w:ascii="Times New Roman" w:hAnsi="Times New Roman" w:eastAsia="仿宋_GB2312" w:cs="Times New Roman"/>
          <w:color w:val="auto"/>
          <w:spacing w:val="0"/>
          <w:w w:val="100"/>
          <w:sz w:val="32"/>
          <w:szCs w:val="32"/>
          <w:lang w:eastAsia="zh-CN"/>
        </w:rPr>
        <w:t>财</w:t>
      </w:r>
      <w:r>
        <w:rPr>
          <w:rFonts w:hint="default" w:ascii="Times New Roman" w:hAnsi="Times New Roman" w:eastAsia="仿宋_GB2312" w:cs="Times New Roman"/>
          <w:color w:val="auto"/>
          <w:spacing w:val="0"/>
          <w:w w:val="100"/>
          <w:sz w:val="32"/>
          <w:szCs w:val="32"/>
        </w:rPr>
        <w:t>贸〔201</w:t>
      </w:r>
      <w:r>
        <w:rPr>
          <w:rFonts w:hint="default" w:ascii="Times New Roman" w:hAnsi="Times New Roman" w:eastAsia="仿宋_GB2312" w:cs="Times New Roman"/>
          <w:color w:val="auto"/>
          <w:spacing w:val="0"/>
          <w:w w:val="100"/>
          <w:sz w:val="32"/>
          <w:szCs w:val="32"/>
          <w:lang w:val="en-US" w:eastAsia="zh-CN"/>
        </w:rPr>
        <w:t>8</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val="en-US" w:eastAsia="zh-CN"/>
        </w:rPr>
        <w:t>115</w:t>
      </w:r>
      <w:r>
        <w:rPr>
          <w:rFonts w:hint="default" w:ascii="Times New Roman" w:hAnsi="Times New Roman" w:eastAsia="仿宋_GB2312" w:cs="Times New Roman"/>
          <w:color w:val="auto"/>
          <w:spacing w:val="0"/>
          <w:w w:val="100"/>
          <w:sz w:val="32"/>
          <w:szCs w:val="32"/>
        </w:rPr>
        <w:t>号和豫</w:t>
      </w:r>
      <w:r>
        <w:rPr>
          <w:rFonts w:hint="default" w:ascii="Times New Roman" w:hAnsi="Times New Roman" w:eastAsia="仿宋_GB2312" w:cs="Times New Roman"/>
          <w:color w:val="auto"/>
          <w:spacing w:val="0"/>
          <w:w w:val="100"/>
          <w:sz w:val="32"/>
          <w:szCs w:val="32"/>
          <w:lang w:eastAsia="zh-CN"/>
        </w:rPr>
        <w:t>财</w:t>
      </w:r>
      <w:r>
        <w:rPr>
          <w:rFonts w:hint="default" w:ascii="Times New Roman" w:hAnsi="Times New Roman" w:eastAsia="仿宋_GB2312" w:cs="Times New Roman"/>
          <w:color w:val="auto"/>
          <w:spacing w:val="0"/>
          <w:w w:val="100"/>
          <w:sz w:val="32"/>
          <w:szCs w:val="32"/>
        </w:rPr>
        <w:t>贸〔201</w:t>
      </w:r>
      <w:r>
        <w:rPr>
          <w:rFonts w:hint="default" w:ascii="Times New Roman" w:hAnsi="Times New Roman" w:eastAsia="仿宋_GB2312" w:cs="Times New Roman"/>
          <w:color w:val="auto"/>
          <w:spacing w:val="0"/>
          <w:w w:val="100"/>
          <w:sz w:val="32"/>
          <w:szCs w:val="32"/>
          <w:lang w:val="en-US" w:eastAsia="zh-CN"/>
        </w:rPr>
        <w:t>9</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val="en-US" w:eastAsia="zh-CN"/>
        </w:rPr>
        <w:t>22</w:t>
      </w:r>
      <w:r>
        <w:rPr>
          <w:rFonts w:hint="default" w:ascii="Times New Roman" w:hAnsi="Times New Roman" w:eastAsia="仿宋_GB2312" w:cs="Times New Roman"/>
          <w:color w:val="auto"/>
          <w:spacing w:val="0"/>
          <w:w w:val="100"/>
          <w:sz w:val="32"/>
          <w:szCs w:val="32"/>
        </w:rPr>
        <w:t>号文件要求，常规产粮大县奖励资金</w:t>
      </w:r>
      <w:r>
        <w:rPr>
          <w:rFonts w:hint="default" w:ascii="Times New Roman" w:hAnsi="Times New Roman" w:eastAsia="仿宋_GB2312" w:cs="Times New Roman"/>
          <w:color w:val="auto"/>
          <w:spacing w:val="0"/>
          <w:w w:val="100"/>
          <w:sz w:val="32"/>
          <w:szCs w:val="32"/>
          <w:lang w:val="en-US" w:eastAsia="zh-CN"/>
        </w:rPr>
        <w:t>9000</w:t>
      </w:r>
      <w:r>
        <w:rPr>
          <w:rFonts w:hint="default" w:ascii="Times New Roman" w:hAnsi="Times New Roman" w:eastAsia="仿宋_GB2312" w:cs="Times New Roman"/>
          <w:color w:val="auto"/>
          <w:spacing w:val="0"/>
          <w:w w:val="100"/>
          <w:sz w:val="32"/>
          <w:szCs w:val="32"/>
        </w:rPr>
        <w:t>万元</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val="en-US" w:eastAsia="zh-CN"/>
        </w:rPr>
        <w:t>其中：作为财力性转移支付6470</w:t>
      </w:r>
      <w:r>
        <w:rPr>
          <w:rFonts w:hint="default" w:ascii="Times New Roman" w:hAnsi="Times New Roman" w:eastAsia="仿宋_GB2312" w:cs="Times New Roman"/>
          <w:color w:val="auto"/>
          <w:spacing w:val="0"/>
          <w:w w:val="100"/>
          <w:sz w:val="32"/>
          <w:szCs w:val="32"/>
        </w:rPr>
        <w:t>万元</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由县财政统筹安排，着力解决我县财政困难，用于保障全县干部职工</w:t>
      </w:r>
      <w:r>
        <w:rPr>
          <w:rFonts w:hint="default" w:ascii="Times New Roman" w:hAnsi="Times New Roman" w:eastAsia="仿宋_GB2312" w:cs="Times New Roman"/>
          <w:color w:val="auto"/>
          <w:spacing w:val="0"/>
          <w:w w:val="100"/>
          <w:sz w:val="32"/>
          <w:szCs w:val="32"/>
          <w:lang w:eastAsia="zh-CN"/>
        </w:rPr>
        <w:t>工资的</w:t>
      </w:r>
      <w:r>
        <w:rPr>
          <w:rFonts w:hint="default" w:ascii="Times New Roman" w:hAnsi="Times New Roman" w:eastAsia="仿宋_GB2312" w:cs="Times New Roman"/>
          <w:color w:val="auto"/>
          <w:spacing w:val="0"/>
          <w:w w:val="100"/>
          <w:sz w:val="32"/>
          <w:szCs w:val="32"/>
        </w:rPr>
        <w:t>正常发放，维护社会稳定</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val="en-US" w:eastAsia="zh-CN"/>
        </w:rPr>
        <w:t>在县财政极度困难没有缓解情况下，用于支持粮食生产和产业发展方面支2530万元。</w:t>
      </w:r>
    </w:p>
    <w:p w14:paraId="1E91C5D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b w:val="0"/>
          <w:bCs/>
          <w:spacing w:val="0"/>
          <w:w w:val="100"/>
          <w:sz w:val="32"/>
          <w:szCs w:val="32"/>
        </w:rPr>
      </w:pPr>
      <w:r>
        <w:rPr>
          <w:rFonts w:hint="eastAsia" w:ascii="楷体_GB2312" w:hAnsi="楷体_GB2312" w:eastAsia="楷体_GB2312" w:cs="楷体_GB2312"/>
          <w:b w:val="0"/>
          <w:bCs/>
          <w:spacing w:val="0"/>
          <w:w w:val="100"/>
          <w:sz w:val="32"/>
          <w:szCs w:val="32"/>
        </w:rPr>
        <w:t>（二）超级产粮大县奖励资金使用情况</w:t>
      </w:r>
    </w:p>
    <w:p w14:paraId="2F1B7E7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仿宋_GB2312" w:cs="Times New Roman"/>
          <w:spacing w:val="0"/>
          <w:w w:val="100"/>
          <w:sz w:val="32"/>
          <w:lang w:eastAsia="zh-CN"/>
        </w:rPr>
      </w:pPr>
      <w:r>
        <w:rPr>
          <w:rFonts w:hint="default" w:ascii="Times New Roman" w:hAnsi="Times New Roman" w:eastAsia="仿宋_GB2312" w:cs="Times New Roman"/>
          <w:spacing w:val="0"/>
          <w:w w:val="100"/>
          <w:sz w:val="32"/>
          <w:szCs w:val="32"/>
          <w:highlight w:val="none"/>
          <w:lang w:val="en-US" w:eastAsia="zh-CN"/>
        </w:rPr>
        <w:t>2019年上级共下达我县</w:t>
      </w:r>
      <w:r>
        <w:rPr>
          <w:rFonts w:hint="default" w:ascii="Times New Roman" w:hAnsi="Times New Roman" w:eastAsia="仿宋_GB2312" w:cs="Times New Roman"/>
          <w:spacing w:val="0"/>
          <w:w w:val="100"/>
          <w:sz w:val="32"/>
          <w:szCs w:val="32"/>
          <w:highlight w:val="none"/>
        </w:rPr>
        <w:t>超级产粮大县奖励资金</w:t>
      </w:r>
      <w:r>
        <w:rPr>
          <w:rFonts w:hint="default" w:ascii="Times New Roman" w:hAnsi="Times New Roman" w:eastAsia="仿宋_GB2312" w:cs="Times New Roman"/>
          <w:spacing w:val="0"/>
          <w:w w:val="100"/>
          <w:sz w:val="32"/>
          <w:szCs w:val="32"/>
          <w:highlight w:val="none"/>
          <w:lang w:val="en-US" w:eastAsia="zh-CN"/>
        </w:rPr>
        <w:t>2166</w:t>
      </w:r>
      <w:r>
        <w:rPr>
          <w:rFonts w:hint="default" w:ascii="Times New Roman" w:hAnsi="Times New Roman" w:eastAsia="仿宋_GB2312" w:cs="Times New Roman"/>
          <w:spacing w:val="0"/>
          <w:w w:val="100"/>
          <w:sz w:val="32"/>
          <w:szCs w:val="32"/>
          <w:highlight w:val="none"/>
        </w:rPr>
        <w:t>万元</w:t>
      </w:r>
      <w:r>
        <w:rPr>
          <w:rFonts w:hint="default" w:ascii="Times New Roman" w:hAnsi="Times New Roman" w:eastAsia="仿宋_GB2312" w:cs="Times New Roman"/>
          <w:spacing w:val="0"/>
          <w:w w:val="100"/>
          <w:sz w:val="32"/>
          <w:szCs w:val="32"/>
          <w:highlight w:val="none"/>
          <w:lang w:eastAsia="zh-CN"/>
        </w:rPr>
        <w:t>，</w:t>
      </w:r>
      <w:r>
        <w:rPr>
          <w:rFonts w:hint="default" w:ascii="Times New Roman" w:hAnsi="Times New Roman" w:eastAsia="仿宋_GB2312" w:cs="Times New Roman"/>
          <w:spacing w:val="0"/>
          <w:w w:val="100"/>
          <w:sz w:val="32"/>
          <w:szCs w:val="32"/>
          <w:highlight w:val="none"/>
          <w:lang w:val="en-US" w:eastAsia="zh-CN"/>
        </w:rPr>
        <w:t>用于</w:t>
      </w:r>
      <w:r>
        <w:rPr>
          <w:rFonts w:hint="default" w:ascii="Times New Roman" w:hAnsi="Times New Roman" w:eastAsia="仿宋_GB2312" w:cs="Times New Roman"/>
          <w:b w:val="0"/>
          <w:bCs/>
          <w:color w:val="000000"/>
          <w:spacing w:val="0"/>
          <w:w w:val="100"/>
          <w:sz w:val="32"/>
          <w:szCs w:val="32"/>
          <w:lang w:val="en-US" w:eastAsia="zh-CN"/>
        </w:rPr>
        <w:t>新增省道306线滑县境老爷庙至新乡交界段改建项目。</w:t>
      </w:r>
      <w:r>
        <w:rPr>
          <w:rFonts w:hint="default" w:ascii="Times New Roman" w:hAnsi="Times New Roman" w:eastAsia="仿宋_GB2312" w:cs="Times New Roman"/>
          <w:spacing w:val="0"/>
          <w:w w:val="100"/>
          <w:sz w:val="32"/>
          <w:lang w:eastAsia="zh-CN"/>
        </w:rPr>
        <w:t>项目</w:t>
      </w:r>
      <w:r>
        <w:rPr>
          <w:rFonts w:hint="default" w:ascii="Times New Roman" w:hAnsi="Times New Roman" w:eastAsia="仿宋_GB2312" w:cs="Times New Roman"/>
          <w:b w:val="0"/>
          <w:bCs/>
          <w:color w:val="000000"/>
          <w:spacing w:val="0"/>
          <w:w w:val="100"/>
          <w:sz w:val="32"/>
          <w:szCs w:val="32"/>
          <w:lang w:val="en-US" w:eastAsia="zh-CN"/>
        </w:rPr>
        <w:t>总投资42060</w:t>
      </w:r>
      <w:r>
        <w:rPr>
          <w:rFonts w:hint="default" w:ascii="Times New Roman" w:hAnsi="Times New Roman" w:eastAsia="仿宋_GB2312" w:cs="Times New Roman"/>
          <w:spacing w:val="0"/>
          <w:w w:val="100"/>
          <w:sz w:val="32"/>
          <w:lang w:val="en-US" w:eastAsia="zh-CN"/>
        </w:rPr>
        <w:t>万元，其中使用超级产粮大县奖励资金2166元，</w:t>
      </w:r>
      <w:r>
        <w:rPr>
          <w:rFonts w:hint="default" w:ascii="Times New Roman" w:hAnsi="Times New Roman" w:eastAsia="仿宋_GB2312" w:cs="Times New Roman"/>
          <w:b w:val="0"/>
          <w:bCs/>
          <w:color w:val="000000"/>
          <w:spacing w:val="0"/>
          <w:w w:val="100"/>
          <w:sz w:val="32"/>
          <w:szCs w:val="32"/>
          <w:lang w:val="en-US" w:eastAsia="zh-CN"/>
        </w:rPr>
        <w:t>工程起点位于滑县老爷乡黄庄河桥西侧200米处，止于滑县与新乡延津交界，沿线途径老爷庙乡、万古镇、上官镇、老店镇、王庄镇等五个乡镇，全长37.96公里。设计为沥青混凝土路面，时速80公里/小时，路基宽度18米，路面宽16.5米。</w:t>
      </w:r>
    </w:p>
    <w:p w14:paraId="4AF387A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b w:val="0"/>
          <w:bCs w:val="0"/>
          <w:spacing w:val="0"/>
          <w:w w:val="100"/>
          <w:sz w:val="32"/>
          <w:szCs w:val="32"/>
          <w:lang w:val="en-US" w:eastAsia="zh-CN"/>
        </w:rPr>
        <w:t>滑县是产粮大县，产粮总量在全国取得了十三连冠，新增省道306线贯穿县域中腹部地区，沿途各乡镇均是粮食主产区。该工程不仅是我省干线公路网的重要组成部分，也是豫北地区东西向的主干线，更是滑县粮食及其他农产品外运的大动脉和重要通道。工程的建设不仅极大的便利了我县粮食生产、加工和贸易，带动了县域农业经济更好更快的发展，也为促进豫北区域经济发展和产业规划有着十分重要的意义。</w:t>
      </w:r>
    </w:p>
    <w:p w14:paraId="09515E4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四、产粮大县奖励资金使用绩效总体评价</w:t>
      </w:r>
    </w:p>
    <w:p w14:paraId="2838BC3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根据产粮大县奖励资金绩效评价指标及评分标准，我们进行了绩效自评打分</w:t>
      </w:r>
      <w:r>
        <w:rPr>
          <w:rFonts w:hint="default" w:ascii="Times New Roman" w:hAnsi="Times New Roman" w:eastAsia="仿宋_GB2312" w:cs="Times New Roman"/>
          <w:spacing w:val="0"/>
          <w:w w:val="100"/>
          <w:sz w:val="32"/>
          <w:szCs w:val="32"/>
          <w:lang w:eastAsia="zh-CN"/>
        </w:rPr>
        <w:t>。</w:t>
      </w:r>
    </w:p>
    <w:p w14:paraId="5B65B8F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pacing w:val="0"/>
          <w:w w:val="100"/>
          <w:sz w:val="32"/>
          <w:szCs w:val="32"/>
        </w:rPr>
      </w:pPr>
      <w:r>
        <w:rPr>
          <w:rFonts w:hint="default" w:ascii="Times New Roman" w:hAnsi="Times New Roman" w:eastAsia="仿宋_GB2312" w:cs="Times New Roman"/>
          <w:color w:val="auto"/>
          <w:spacing w:val="0"/>
          <w:w w:val="100"/>
          <w:sz w:val="32"/>
          <w:szCs w:val="32"/>
          <w:lang w:eastAsia="zh-CN"/>
        </w:rPr>
        <w:t>常规产粮大县奖励资金自评打分：按照</w:t>
      </w:r>
      <w:r>
        <w:rPr>
          <w:rFonts w:hint="default" w:ascii="Times New Roman" w:hAnsi="Times New Roman" w:eastAsia="仿宋_GB2312" w:cs="Times New Roman"/>
          <w:color w:val="auto"/>
          <w:spacing w:val="0"/>
          <w:w w:val="100"/>
          <w:sz w:val="32"/>
          <w:szCs w:val="32"/>
        </w:rPr>
        <w:t>资金</w:t>
      </w:r>
      <w:r>
        <w:rPr>
          <w:rFonts w:hint="default" w:ascii="Times New Roman" w:hAnsi="Times New Roman" w:eastAsia="仿宋_GB2312" w:cs="Times New Roman"/>
          <w:color w:val="auto"/>
          <w:spacing w:val="0"/>
          <w:w w:val="100"/>
          <w:sz w:val="32"/>
          <w:szCs w:val="32"/>
          <w:lang w:eastAsia="zh-CN"/>
        </w:rPr>
        <w:t>在</w:t>
      </w:r>
      <w:r>
        <w:rPr>
          <w:rFonts w:hint="default" w:ascii="Times New Roman" w:hAnsi="Times New Roman" w:eastAsia="仿宋_GB2312" w:cs="Times New Roman"/>
          <w:color w:val="auto"/>
          <w:spacing w:val="0"/>
          <w:w w:val="100"/>
          <w:sz w:val="32"/>
          <w:szCs w:val="32"/>
        </w:rPr>
        <w:t>管理</w:t>
      </w:r>
      <w:r>
        <w:rPr>
          <w:rFonts w:hint="default" w:ascii="Times New Roman" w:hAnsi="Times New Roman" w:eastAsia="仿宋_GB2312" w:cs="Times New Roman"/>
          <w:color w:val="auto"/>
          <w:spacing w:val="0"/>
          <w:w w:val="100"/>
          <w:sz w:val="32"/>
          <w:szCs w:val="32"/>
          <w:lang w:eastAsia="zh-CN"/>
        </w:rPr>
        <w:t>、使用和绩效评价标准</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val="en-US" w:eastAsia="zh-CN"/>
        </w:rPr>
        <w:t>作为全省第一产粮大县，</w:t>
      </w:r>
      <w:r>
        <w:rPr>
          <w:rFonts w:hint="default" w:ascii="Times New Roman" w:hAnsi="Times New Roman" w:eastAsia="仿宋_GB2312" w:cs="Times New Roman"/>
          <w:color w:val="auto"/>
          <w:spacing w:val="0"/>
          <w:w w:val="100"/>
          <w:sz w:val="32"/>
          <w:szCs w:val="32"/>
          <w:lang w:eastAsia="zh-CN"/>
        </w:rPr>
        <w:t>全县常规产粮大县奖励资金</w:t>
      </w:r>
      <w:r>
        <w:rPr>
          <w:rFonts w:hint="default" w:ascii="Times New Roman" w:hAnsi="Times New Roman" w:eastAsia="仿宋_GB2312" w:cs="Times New Roman"/>
          <w:color w:val="auto"/>
          <w:spacing w:val="0"/>
          <w:w w:val="100"/>
          <w:sz w:val="32"/>
          <w:szCs w:val="32"/>
          <w:lang w:val="en-US" w:eastAsia="zh-CN"/>
        </w:rPr>
        <w:t>9000万元，在县财政极度困难没有缓解情况下，用于支持粮食生产和产业发展方面支出2530万元，自评得分20分；资金管理和资金绩效两项自评均为满分，通过投入农业生产和产业发展，全县增产粮食2.55万吨，提升了粮食综合生产能力，</w:t>
      </w:r>
      <w:r>
        <w:rPr>
          <w:rFonts w:hint="default" w:ascii="Times New Roman" w:hAnsi="Times New Roman" w:eastAsia="仿宋_GB2312" w:cs="Times New Roman"/>
          <w:color w:val="auto"/>
          <w:spacing w:val="0"/>
          <w:w w:val="100"/>
          <w:sz w:val="32"/>
          <w:szCs w:val="32"/>
        </w:rPr>
        <w:t>绩效自评总得分</w:t>
      </w:r>
      <w:r>
        <w:rPr>
          <w:rFonts w:hint="default" w:ascii="Times New Roman" w:hAnsi="Times New Roman" w:eastAsia="仿宋_GB2312" w:cs="Times New Roman"/>
          <w:color w:val="auto"/>
          <w:spacing w:val="0"/>
          <w:w w:val="100"/>
          <w:sz w:val="32"/>
          <w:szCs w:val="32"/>
          <w:lang w:val="en-US" w:eastAsia="zh-CN"/>
        </w:rPr>
        <w:t>100</w:t>
      </w:r>
      <w:r>
        <w:rPr>
          <w:rFonts w:hint="default" w:ascii="Times New Roman" w:hAnsi="Times New Roman" w:eastAsia="仿宋_GB2312" w:cs="Times New Roman"/>
          <w:color w:val="auto"/>
          <w:spacing w:val="0"/>
          <w:w w:val="100"/>
          <w:sz w:val="32"/>
          <w:szCs w:val="32"/>
        </w:rPr>
        <w:t>分</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自评结果为</w:t>
      </w:r>
      <w:r>
        <w:rPr>
          <w:rFonts w:hint="default" w:ascii="Times New Roman" w:hAnsi="Times New Roman" w:eastAsia="仿宋_GB2312" w:cs="Times New Roman"/>
          <w:color w:val="auto"/>
          <w:spacing w:val="0"/>
          <w:w w:val="100"/>
          <w:sz w:val="32"/>
          <w:szCs w:val="32"/>
          <w:lang w:eastAsia="zh-CN"/>
        </w:rPr>
        <w:t>优秀</w:t>
      </w:r>
      <w:r>
        <w:rPr>
          <w:rFonts w:hint="default" w:ascii="Times New Roman" w:hAnsi="Times New Roman" w:eastAsia="仿宋_GB2312" w:cs="Times New Roman"/>
          <w:color w:val="auto"/>
          <w:spacing w:val="0"/>
          <w:w w:val="100"/>
          <w:sz w:val="32"/>
          <w:szCs w:val="32"/>
        </w:rPr>
        <w:t>。</w:t>
      </w:r>
    </w:p>
    <w:p w14:paraId="688A279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color w:val="auto"/>
          <w:spacing w:val="0"/>
          <w:w w:val="100"/>
          <w:sz w:val="32"/>
          <w:szCs w:val="32"/>
          <w:highlight w:val="none"/>
          <w:lang w:eastAsia="zh-CN"/>
        </w:rPr>
        <w:t>超级产粮大县奖励资金自评打分：</w:t>
      </w:r>
      <w:r>
        <w:rPr>
          <w:rFonts w:hint="default" w:ascii="Times New Roman" w:hAnsi="Times New Roman" w:eastAsia="仿宋_GB2312" w:cs="Times New Roman"/>
          <w:b w:val="0"/>
          <w:i w:val="0"/>
          <w:snapToGrid/>
          <w:color w:val="000000"/>
          <w:spacing w:val="0"/>
          <w:w w:val="100"/>
          <w:sz w:val="32"/>
          <w:szCs w:val="32"/>
          <w:lang w:eastAsia="zh-CN"/>
        </w:rPr>
        <w:t>按照资金管理、使用和绩效评价标准，</w:t>
      </w:r>
      <w:r>
        <w:rPr>
          <w:rFonts w:hint="default" w:ascii="Times New Roman" w:hAnsi="Times New Roman" w:eastAsia="仿宋_GB2312" w:cs="Times New Roman"/>
          <w:b w:val="0"/>
          <w:bCs/>
          <w:color w:val="000000"/>
          <w:spacing w:val="0"/>
          <w:w w:val="100"/>
          <w:sz w:val="32"/>
          <w:szCs w:val="32"/>
          <w:lang w:val="en-US" w:eastAsia="zh-CN"/>
        </w:rPr>
        <w:t>省道306线滑县境老爷庙至新乡交界段改建项目沿线途径老爷庙乡、万古镇、上官镇、老店镇、王庄镇等五个乡镇</w:t>
      </w:r>
      <w:r>
        <w:rPr>
          <w:rFonts w:hint="default" w:ascii="Times New Roman" w:hAnsi="Times New Roman" w:eastAsia="仿宋_GB2312" w:cs="Times New Roman"/>
          <w:b w:val="0"/>
          <w:bCs w:val="0"/>
          <w:spacing w:val="0"/>
          <w:w w:val="100"/>
          <w:sz w:val="32"/>
          <w:szCs w:val="32"/>
          <w:lang w:val="en-US" w:eastAsia="zh-CN"/>
        </w:rPr>
        <w:t>均是粮食主产区</w:t>
      </w:r>
      <w:r>
        <w:rPr>
          <w:rFonts w:hint="default" w:ascii="Times New Roman" w:hAnsi="Times New Roman" w:eastAsia="仿宋_GB2312" w:cs="Times New Roman"/>
          <w:b w:val="0"/>
          <w:i w:val="0"/>
          <w:snapToGrid/>
          <w:color w:val="000000"/>
          <w:spacing w:val="0"/>
          <w:w w:val="100"/>
          <w:sz w:val="32"/>
          <w:szCs w:val="32"/>
          <w:lang w:eastAsia="zh-CN"/>
        </w:rPr>
        <w:t>。</w:t>
      </w:r>
      <w:r>
        <w:rPr>
          <w:rFonts w:hint="default" w:ascii="Times New Roman" w:hAnsi="Times New Roman" w:eastAsia="仿宋_GB2312" w:cs="Times New Roman"/>
          <w:b w:val="0"/>
          <w:i w:val="0"/>
          <w:snapToGrid/>
          <w:color w:val="000000"/>
          <w:spacing w:val="0"/>
          <w:w w:val="100"/>
          <w:sz w:val="32"/>
          <w:szCs w:val="32"/>
          <w:lang w:val="en-US" w:eastAsia="zh-CN"/>
        </w:rPr>
        <w:t>建成后，</w:t>
      </w:r>
      <w:r>
        <w:rPr>
          <w:rFonts w:hint="default" w:ascii="Times New Roman" w:hAnsi="Times New Roman" w:eastAsia="仿宋_GB2312" w:cs="Times New Roman"/>
          <w:b w:val="0"/>
          <w:i w:val="0"/>
          <w:snapToGrid/>
          <w:color w:val="000000"/>
          <w:spacing w:val="0"/>
          <w:w w:val="100"/>
          <w:sz w:val="32"/>
          <w:szCs w:val="32"/>
          <w:lang w:eastAsia="zh-CN"/>
        </w:rPr>
        <w:t>提高</w:t>
      </w:r>
      <w:r>
        <w:rPr>
          <w:rFonts w:hint="default" w:ascii="Times New Roman" w:hAnsi="Times New Roman" w:eastAsia="仿宋_GB2312" w:cs="Times New Roman"/>
          <w:b w:val="0"/>
          <w:i w:val="0"/>
          <w:snapToGrid/>
          <w:color w:val="000000"/>
          <w:spacing w:val="0"/>
          <w:w w:val="100"/>
          <w:sz w:val="32"/>
          <w:szCs w:val="32"/>
          <w:lang w:val="en-US" w:eastAsia="zh-CN"/>
        </w:rPr>
        <w:t>了县域</w:t>
      </w:r>
      <w:r>
        <w:rPr>
          <w:rFonts w:hint="default" w:ascii="Times New Roman" w:hAnsi="Times New Roman" w:eastAsia="仿宋_GB2312" w:cs="Times New Roman"/>
          <w:b w:val="0"/>
          <w:i w:val="0"/>
          <w:snapToGrid/>
          <w:color w:val="000000"/>
          <w:spacing w:val="0"/>
          <w:w w:val="100"/>
          <w:sz w:val="32"/>
          <w:szCs w:val="32"/>
          <w:lang w:eastAsia="zh-CN"/>
        </w:rPr>
        <w:t>粮食物流水平，</w:t>
      </w:r>
      <w:r>
        <w:rPr>
          <w:rFonts w:hint="default" w:ascii="Times New Roman" w:hAnsi="Times New Roman" w:eastAsia="仿宋_GB2312" w:cs="Times New Roman"/>
          <w:b w:val="0"/>
          <w:bCs w:val="0"/>
          <w:spacing w:val="0"/>
          <w:w w:val="100"/>
          <w:sz w:val="32"/>
          <w:szCs w:val="32"/>
          <w:lang w:val="en-US" w:eastAsia="zh-CN"/>
        </w:rPr>
        <w:t>带动了我县农业经济更好更快的发展，</w:t>
      </w:r>
      <w:r>
        <w:rPr>
          <w:rFonts w:hint="default" w:ascii="Times New Roman" w:hAnsi="Times New Roman" w:eastAsia="仿宋_GB2312" w:cs="Times New Roman"/>
          <w:b w:val="0"/>
          <w:i w:val="0"/>
          <w:snapToGrid/>
          <w:color w:val="000000"/>
          <w:spacing w:val="0"/>
          <w:w w:val="100"/>
          <w:sz w:val="32"/>
          <w:szCs w:val="32"/>
          <w:lang w:eastAsia="zh-CN"/>
        </w:rPr>
        <w:t>自评得分40分；资金管理和资金绩效两项自评均为满分，绩效自评总得分100分；自评结果为优秀</w:t>
      </w:r>
      <w:r>
        <w:rPr>
          <w:rFonts w:hint="default" w:ascii="Times New Roman" w:hAnsi="Times New Roman" w:eastAsia="仿宋_GB2312" w:cs="Times New Roman"/>
          <w:spacing w:val="0"/>
          <w:w w:val="100"/>
          <w:sz w:val="32"/>
          <w:szCs w:val="32"/>
          <w:lang w:val="en-US" w:eastAsia="zh-CN"/>
        </w:rPr>
        <w:t>。</w:t>
      </w:r>
    </w:p>
    <w:p w14:paraId="6D6257D1">
      <w:pPr>
        <w:jc w:val="both"/>
        <w:rPr>
          <w:rFonts w:hint="eastAsia" w:ascii="Times New Roman" w:hAnsi="Times New Roman" w:eastAsia="微软雅黑" w:cs="Times New Roman"/>
          <w:b w:val="0"/>
          <w:bCs/>
          <w:color w:val="000000" w:themeColor="text1"/>
          <w:sz w:val="30"/>
          <w:szCs w:val="30"/>
          <w:lang w:val="en-US" w:eastAsia="zh-CN"/>
          <w14:textFill>
            <w14:solidFill>
              <w14:schemeClr w14:val="tx1"/>
            </w14:solidFill>
          </w14:textFill>
        </w:rPr>
      </w:pPr>
      <w:bookmarkStart w:id="0" w:name="_Hlk24967495"/>
      <w:bookmarkStart w:id="1" w:name="_Hlk6232570"/>
      <w:r>
        <w:rPr>
          <w:rFonts w:hint="eastAsia" w:ascii="Times New Roman" w:hAnsi="Times New Roman" w:eastAsia="微软雅黑" w:cs="Times New Roman"/>
          <w:b w:val="0"/>
          <w:bCs/>
          <w:color w:val="000000" w:themeColor="text1"/>
          <w:sz w:val="30"/>
          <w:szCs w:val="30"/>
          <w:lang w:val="en-US" w:eastAsia="zh-CN"/>
          <w14:textFill>
            <w14:solidFill>
              <w14:schemeClr w14:val="tx1"/>
            </w14:solidFill>
          </w14:textFill>
        </w:rPr>
        <w:t>附件4：</w:t>
      </w:r>
      <w:bookmarkEnd w:id="0"/>
      <w:bookmarkEnd w:id="1"/>
      <w:bookmarkStart w:id="2" w:name="_Toc25166460"/>
    </w:p>
    <w:p w14:paraId="0944BC40">
      <w:pPr>
        <w:ind w:firstLine="602" w:firstLineChars="200"/>
        <w:jc w:val="both"/>
        <w:rPr>
          <w:rFonts w:ascii="仿宋_GB2312" w:hAnsi="黑体"/>
          <w:b/>
          <w:bCs/>
          <w:sz w:val="30"/>
          <w:szCs w:val="30"/>
        </w:rPr>
      </w:pPr>
      <w:r>
        <w:rPr>
          <w:rFonts w:hint="eastAsia" w:ascii="仿宋_GB2312" w:hAnsi="黑体"/>
          <w:b/>
          <w:bCs/>
          <w:sz w:val="30"/>
          <w:szCs w:val="30"/>
        </w:rPr>
        <w:t>2016-2018年滑县公交财政补贴资金项目绩效评价报告</w:t>
      </w:r>
    </w:p>
    <w:p w14:paraId="6DE53347">
      <w:pPr>
        <w:pStyle w:val="19"/>
      </w:pPr>
      <w:r>
        <w:rPr>
          <w:rFonts w:hint="eastAsia"/>
        </w:rPr>
        <w:t>为全面贯彻落实《中共中央</w:t>
      </w:r>
      <w:r>
        <w:t xml:space="preserve"> 国务院关于全面实施预算绩效管理的意见》(中发〔2018〕34号)和《中共河南省委 河南省人民政府关于全面实施预算绩效管理的实施意见》(豫发〔2019〕10号)，滑县投资评审中心委托上海闻政管理咨询有限公司（以下简称“我司”）开展“2016-2018年滑县公交财政补贴资金”项目绩效评价工作。评价组经过方案设计、基础数据填报、资料复核、人员访谈以及满意度调查，经过科学打分与专家论证，形成此报告。</w:t>
      </w:r>
    </w:p>
    <w:p w14:paraId="1F295702">
      <w:pPr>
        <w:pStyle w:val="18"/>
        <w:rPr>
          <w:rFonts w:ascii="Times New Roman" w:hAnsi="Times New Roman" w:eastAsia="仿宋_GB2312"/>
          <w:b/>
        </w:rPr>
      </w:pPr>
      <w:r>
        <w:rPr>
          <w:rFonts w:ascii="Times New Roman" w:hAnsi="Times New Roman" w:eastAsia="仿宋_GB2312"/>
          <w:b/>
        </w:rPr>
        <w:t>一、滑县公交基本情况</w:t>
      </w:r>
      <w:bookmarkEnd w:id="2"/>
    </w:p>
    <w:p w14:paraId="7D41646E">
      <w:pPr>
        <w:pStyle w:val="20"/>
        <w:ind w:firstLine="562"/>
      </w:pPr>
      <w:bookmarkStart w:id="3" w:name="_Toc25166461"/>
      <w:r>
        <w:t>（一）滑县公交发展概况</w:t>
      </w:r>
      <w:bookmarkEnd w:id="3"/>
    </w:p>
    <w:p w14:paraId="39D25D9E">
      <w:pPr>
        <w:pStyle w:val="19"/>
      </w:pPr>
      <w:r>
        <w:t>城市公共交通是由公共汽车、轨道交通、出租汽车等交通方式组成的公共客运系统，是城市发展和人民生活必不可少的物质条件，是由政府主导发展的关系民生的社会公益事业。城市公共交通具有集约高效、节能环保等优点，优先发展公共交通是缓解交通拥堵、转变城市交通发展方式、提升人民群众生活品质、提高政府基本公共服务水平的必然要求，是构建资源节约型、环境友好型社会的战略选择。</w:t>
      </w:r>
    </w:p>
    <w:p w14:paraId="79D904F3">
      <w:pPr>
        <w:pStyle w:val="19"/>
      </w:pPr>
      <w:r>
        <w:t>随着滑县经济的发展和城市框架的拉大，城市人口逐渐增加，优先发展公交需求更加突出。为了充分发挥政府对公交优先发展的调控作用，2015年县政府根据《滑县城市总体规划大纲》制订了《滑县城市公共交通专项规划》。为加快实施城市公共交通优先发展战略，方便群众出行，提升滑县公共交通发展水平，滑县人民政府按照《国务院关于城市优先发展公共交通的指导意见》（国发〔2012〕64号）和《河南省人民政府关于优先发展城市公共交通是实施意见》（豫政〔2014〕66号）文件并结合滑县实际提出《滑县人民政府关于城市优先发展公共交通实施意见》（滑政〔2015〕38号）。2017年根据河南省交通运输厅关于开展河南省第二批“公交优先”示范城市创建的相关文件精神，滑县公交公司大力实施城市公共交通优先发展战略，提高公共交通服务水平，满足人民群众基本出行需求，缓解城市交通拥堵和资源环境压力，通过政府主导、政策引导、试点先行，推动公交的优先发展。</w:t>
      </w:r>
    </w:p>
    <w:p w14:paraId="58768A4A">
      <w:pPr>
        <w:pStyle w:val="19"/>
      </w:pPr>
      <w:r>
        <w:t>滑县公交公司充分考虑到公共交通现状和发展需求，明确城市公共交通发展思路，创建绿色出行主题促进绿色公共交通体系建设，成为创建河南省第二批“公共优先”示范城市主力军。目前，滑县公交公司新能源纯电动公交车全部投入城区公交运营中，在全省范围内，城区内率先实现新能源公交车比例达100%。滑县已经基本实现自动报站系统、智能投币无人售票系统、一卡通乘车系统、智能调度系统，为人民提供方便、快捷、舒适、安全的公交出行条件。2016年11月至2017年2月，为扎实推进冬春季节大气污染防治工作，最大程度减少机动车尾气排放污染，切实改善滑县大气环境质量，滑县公交公司开展“冬春季节公交车免费乘坐活动”，免费乘坐范围</w:t>
      </w:r>
      <w:r>
        <w:rPr>
          <w:rFonts w:hint="eastAsia"/>
        </w:rPr>
        <w:t>为</w:t>
      </w:r>
      <w:r>
        <w:t>县城规划区内往来的各班次公交车辆。</w:t>
      </w:r>
    </w:p>
    <w:p w14:paraId="2A61F379">
      <w:pPr>
        <w:pStyle w:val="20"/>
        <w:ind w:firstLine="562"/>
      </w:pPr>
      <w:bookmarkStart w:id="4" w:name="_Toc25166462"/>
      <w:r>
        <w:t>（二）滑县公交公司基本情况</w:t>
      </w:r>
      <w:bookmarkEnd w:id="4"/>
    </w:p>
    <w:p w14:paraId="51DCA20A">
      <w:pPr>
        <w:pStyle w:val="19"/>
      </w:pPr>
      <w:r>
        <w:t>滑县公交公司于1996年8月经滑县人民政府（滑政文〔1996〕50号、滑县交通局（滑交〔1996〕30号）批准成立，隶属滑县交通管理局，是以滑县城市公交客运为主的集体企业，是豫北地区首个县级公交公司，公司成立时开通了7条公交路线，购置了25辆少林牌中巴车，并于1996年10月1日正式投入运行。2015年，根据国家出台推广新能源纯电动车城市公交车的优惠政策，公交公司自行筹措资金，购置60辆6.39米纯电动城市公交车并建设了滑县城东新区停车充电场站，占地面积46亩，充电桩78个。2016年和2017年分别购置80辆和130辆纯电动公交车投入运营。</w:t>
      </w:r>
    </w:p>
    <w:p w14:paraId="6B7D1315">
      <w:pPr>
        <w:pStyle w:val="19"/>
      </w:pPr>
      <w:r>
        <w:rPr>
          <w:rFonts w:hint="eastAsia"/>
        </w:rPr>
        <w:t>经过二十余年的发展，目前公司在岗职工</w:t>
      </w:r>
      <w:r>
        <w:t>310人，其中设总经理1人，分管副总3人，下设财务部，广告部，IC卡中心，点钞室，营运部，修理部和办公室，组织架构如图1-1所示。开通公交线路16条，其中:城区公交线路11条（含一条定制线路），城区公交延伸线路5条；共有公交车323辆，其中新能源纯电动公交车300辆，燃油公交车23辆。</w:t>
      </w:r>
    </w:p>
    <w:p w14:paraId="488F4573">
      <w:pPr>
        <w:spacing w:line="360" w:lineRule="auto"/>
        <w:rPr>
          <w:rFonts w:ascii="Times New Roman" w:hAnsi="Times New Roman" w:eastAsia="仿宋_GB2312" w:cs="Times New Roman"/>
          <w:sz w:val="24"/>
          <w:szCs w:val="24"/>
        </w:rPr>
      </w:pPr>
    </w:p>
    <w:p w14:paraId="7E6640B6">
      <w:pPr>
        <w:spacing w:line="360" w:lineRule="auto"/>
        <w:ind w:firstLine="482" w:firstLineChars="200"/>
        <w:rPr>
          <w:rFonts w:ascii="Times New Roman" w:hAnsi="Times New Roman" w:eastAsia="仿宋_GB2312" w:cs="Times New Roman"/>
          <w:b/>
          <w:sz w:val="24"/>
          <w:szCs w:val="24"/>
        </w:rPr>
      </w:pPr>
      <w:r>
        <w:rPr>
          <w:rFonts w:ascii="Times New Roman" w:hAnsi="Times New Roman" w:eastAsia="仿宋_GB2312" w:cs="Times New Roman"/>
          <w:b/>
          <w:sz w:val="24"/>
          <w:szCs w:val="24"/>
        </w:rPr>
        <w:drawing>
          <wp:inline distT="0" distB="0" distL="0" distR="0">
            <wp:extent cx="4883150" cy="4066540"/>
            <wp:effectExtent l="0" t="0" r="12700" b="1016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83150" cy="4066540"/>
                    </a:xfrm>
                    <a:prstGeom prst="rect">
                      <a:avLst/>
                    </a:prstGeom>
                    <a:noFill/>
                  </pic:spPr>
                </pic:pic>
              </a:graphicData>
            </a:graphic>
          </wp:inline>
        </w:drawing>
      </w:r>
    </w:p>
    <w:p w14:paraId="6D1435E3">
      <w:pPr>
        <w:spacing w:line="360" w:lineRule="auto"/>
        <w:ind w:firstLine="422" w:firstLineChars="200"/>
        <w:jc w:val="center"/>
        <w:rPr>
          <w:rFonts w:ascii="Times New Roman" w:hAnsi="Times New Roman" w:eastAsia="仿宋_GB2312" w:cs="Times New Roman"/>
          <w:b/>
          <w:szCs w:val="21"/>
        </w:rPr>
      </w:pPr>
      <w:r>
        <w:rPr>
          <w:rFonts w:ascii="Times New Roman" w:hAnsi="Times New Roman" w:eastAsia="仿宋_GB2312" w:cs="Times New Roman"/>
          <w:b/>
          <w:szCs w:val="21"/>
        </w:rPr>
        <w:t>图1-1 滑县公交公司组织架构图</w:t>
      </w:r>
    </w:p>
    <w:p w14:paraId="28E5905E">
      <w:pPr>
        <w:pStyle w:val="20"/>
        <w:ind w:firstLine="562"/>
      </w:pPr>
      <w:bookmarkStart w:id="5" w:name="_Toc25166463"/>
      <w:r>
        <w:t>（三）公交公司财政补贴情况</w:t>
      </w:r>
      <w:bookmarkEnd w:id="5"/>
    </w:p>
    <w:p w14:paraId="17DBCAED">
      <w:pPr>
        <w:pStyle w:val="19"/>
      </w:pPr>
      <w:bookmarkStart w:id="6" w:name="_Hlk21522447"/>
      <w:r>
        <w:t>根据滑县公交公司提交的</w:t>
      </w:r>
      <w:r>
        <w:rPr>
          <w:rFonts w:hint="eastAsia"/>
        </w:rPr>
        <w:t>补贴资金批复文件</w:t>
      </w:r>
      <w:r>
        <w:t>，</w:t>
      </w:r>
      <w:r>
        <w:rPr>
          <w:rFonts w:hint="eastAsia"/>
        </w:rPr>
        <w:t>2</w:t>
      </w:r>
      <w:r>
        <w:t>016</w:t>
      </w:r>
      <w:r>
        <w:rPr>
          <w:rFonts w:hint="eastAsia"/>
        </w:rPr>
        <w:t>-</w:t>
      </w:r>
      <w:r>
        <w:t>2018</w:t>
      </w:r>
      <w:r>
        <w:rPr>
          <w:rFonts w:hint="eastAsia"/>
        </w:rPr>
        <w:t>年共计获批政府补贴资金</w:t>
      </w:r>
      <w:r>
        <w:t>3065.64万元</w:t>
      </w:r>
      <w:r>
        <w:rPr>
          <w:rFonts w:hint="eastAsia"/>
        </w:rPr>
        <w:t>，补贴资金类别共包括车辆购置补贴、政策性亏损补贴、免费乘车补贴和新能源公交车运营补贴等4类。</w:t>
      </w:r>
    </w:p>
    <w:bookmarkEnd w:id="6"/>
    <w:p w14:paraId="3643B04B">
      <w:pPr>
        <w:pStyle w:val="21"/>
      </w:pPr>
      <w:r>
        <w:t>表1-1  2016-2018年县级财政补贴情况</w:t>
      </w:r>
    </w:p>
    <w:p w14:paraId="5D392FB5">
      <w:pPr>
        <w:pStyle w:val="21"/>
        <w:jc w:val="right"/>
      </w:pPr>
      <w:r>
        <w:rPr>
          <w:rFonts w:hint="eastAsia"/>
        </w:rPr>
        <w:t>单位：万元</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1"/>
        <w:gridCol w:w="1440"/>
        <w:gridCol w:w="1440"/>
        <w:gridCol w:w="1441"/>
      </w:tblGrid>
      <w:tr w14:paraId="60FC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4201" w:type="dxa"/>
            <w:shd w:val="clear" w:color="auto" w:fill="BEBEBE" w:themeFill="background1" w:themeFillShade="BF"/>
            <w:vAlign w:val="center"/>
          </w:tcPr>
          <w:p w14:paraId="69558142">
            <w:pPr>
              <w:widowControl/>
              <w:jc w:val="center"/>
              <w:rPr>
                <w:rFonts w:hint="eastAsia"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补贴资金类别</w:t>
            </w:r>
          </w:p>
        </w:tc>
        <w:tc>
          <w:tcPr>
            <w:tcW w:w="1440" w:type="dxa"/>
            <w:shd w:val="clear" w:color="auto" w:fill="BEBEBE" w:themeFill="background1" w:themeFillShade="BF"/>
            <w:noWrap/>
            <w:vAlign w:val="center"/>
          </w:tcPr>
          <w:p w14:paraId="71951200">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2</w:t>
            </w:r>
            <w:r>
              <w:rPr>
                <w:rFonts w:ascii="Times New Roman" w:hAnsi="Times New Roman" w:eastAsia="仿宋_GB2312" w:cs="Times New Roman"/>
                <w:b/>
                <w:bCs/>
                <w:color w:val="000000"/>
                <w:kern w:val="0"/>
                <w:szCs w:val="21"/>
              </w:rPr>
              <w:t>016</w:t>
            </w:r>
            <w:r>
              <w:rPr>
                <w:rFonts w:hint="eastAsia" w:ascii="Times New Roman" w:hAnsi="Times New Roman" w:eastAsia="仿宋_GB2312" w:cs="Times New Roman"/>
                <w:b/>
                <w:bCs/>
                <w:color w:val="000000"/>
                <w:kern w:val="0"/>
                <w:szCs w:val="21"/>
              </w:rPr>
              <w:t>年</w:t>
            </w:r>
          </w:p>
        </w:tc>
        <w:tc>
          <w:tcPr>
            <w:tcW w:w="1440" w:type="dxa"/>
            <w:shd w:val="clear" w:color="auto" w:fill="BEBEBE" w:themeFill="background1" w:themeFillShade="BF"/>
            <w:noWrap/>
            <w:vAlign w:val="center"/>
          </w:tcPr>
          <w:p w14:paraId="4CC751D6">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2</w:t>
            </w:r>
            <w:r>
              <w:rPr>
                <w:rFonts w:ascii="Times New Roman" w:hAnsi="Times New Roman" w:eastAsia="仿宋_GB2312" w:cs="Times New Roman"/>
                <w:b/>
                <w:bCs/>
                <w:color w:val="000000"/>
                <w:kern w:val="0"/>
                <w:szCs w:val="21"/>
              </w:rPr>
              <w:t>017</w:t>
            </w:r>
            <w:r>
              <w:rPr>
                <w:rFonts w:hint="eastAsia" w:ascii="Times New Roman" w:hAnsi="Times New Roman" w:eastAsia="仿宋_GB2312" w:cs="Times New Roman"/>
                <w:b/>
                <w:bCs/>
                <w:color w:val="000000"/>
                <w:kern w:val="0"/>
                <w:szCs w:val="21"/>
              </w:rPr>
              <w:t>年</w:t>
            </w:r>
          </w:p>
        </w:tc>
        <w:tc>
          <w:tcPr>
            <w:tcW w:w="1441" w:type="dxa"/>
            <w:shd w:val="clear" w:color="auto" w:fill="BEBEBE" w:themeFill="background1" w:themeFillShade="BF"/>
            <w:vAlign w:val="center"/>
          </w:tcPr>
          <w:p w14:paraId="70714E4E">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2</w:t>
            </w:r>
            <w:r>
              <w:rPr>
                <w:rFonts w:ascii="Times New Roman" w:hAnsi="Times New Roman" w:eastAsia="仿宋_GB2312" w:cs="Times New Roman"/>
                <w:b/>
                <w:bCs/>
                <w:color w:val="000000"/>
                <w:kern w:val="0"/>
                <w:szCs w:val="21"/>
              </w:rPr>
              <w:t>018</w:t>
            </w:r>
            <w:r>
              <w:rPr>
                <w:rFonts w:hint="eastAsia" w:ascii="Times New Roman" w:hAnsi="Times New Roman" w:eastAsia="仿宋_GB2312" w:cs="Times New Roman"/>
                <w:b/>
                <w:bCs/>
                <w:color w:val="000000"/>
                <w:kern w:val="0"/>
                <w:szCs w:val="21"/>
              </w:rPr>
              <w:t>年</w:t>
            </w:r>
          </w:p>
        </w:tc>
      </w:tr>
      <w:tr w14:paraId="7824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01" w:type="dxa"/>
            <w:shd w:val="clear" w:color="auto" w:fill="auto"/>
            <w:vAlign w:val="center"/>
          </w:tcPr>
          <w:p w14:paraId="50EF3EF3">
            <w:pPr>
              <w:widowControl/>
              <w:jc w:val="center"/>
              <w:rPr>
                <w:rFonts w:ascii="Times New Roman" w:hAnsi="Times New Roman" w:eastAsia="仿宋_GB2312" w:cs="宋体"/>
                <w:color w:val="000000"/>
                <w:kern w:val="0"/>
                <w:szCs w:val="21"/>
              </w:rPr>
            </w:pPr>
            <w:bookmarkStart w:id="7" w:name="_Hlk38818208"/>
            <w:r>
              <w:rPr>
                <w:rFonts w:hint="eastAsia" w:ascii="Times New Roman" w:hAnsi="Times New Roman" w:eastAsia="仿宋_GB2312" w:cs="宋体"/>
                <w:color w:val="000000"/>
                <w:kern w:val="0"/>
                <w:szCs w:val="21"/>
              </w:rPr>
              <w:t>车辆购置补贴</w:t>
            </w:r>
          </w:p>
        </w:tc>
        <w:tc>
          <w:tcPr>
            <w:tcW w:w="1440" w:type="dxa"/>
            <w:shd w:val="clear" w:color="auto" w:fill="auto"/>
            <w:noWrap/>
            <w:vAlign w:val="center"/>
          </w:tcPr>
          <w:p w14:paraId="3D2AE865">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400.00</w:t>
            </w:r>
          </w:p>
        </w:tc>
        <w:tc>
          <w:tcPr>
            <w:tcW w:w="1440" w:type="dxa"/>
            <w:shd w:val="clear" w:color="auto" w:fill="auto"/>
            <w:noWrap/>
            <w:vAlign w:val="center"/>
          </w:tcPr>
          <w:p w14:paraId="55677F58">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424.00</w:t>
            </w:r>
          </w:p>
        </w:tc>
        <w:tc>
          <w:tcPr>
            <w:tcW w:w="1441" w:type="dxa"/>
            <w:shd w:val="clear" w:color="auto" w:fill="auto"/>
            <w:vAlign w:val="center"/>
          </w:tcPr>
          <w:p w14:paraId="04044B73">
            <w:pPr>
              <w:widowControl/>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w:t>
            </w:r>
          </w:p>
        </w:tc>
      </w:tr>
      <w:tr w14:paraId="0F5A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01" w:type="dxa"/>
            <w:shd w:val="clear" w:color="auto" w:fill="auto"/>
            <w:vAlign w:val="center"/>
          </w:tcPr>
          <w:p w14:paraId="0CD5F5C1">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政策性亏损补贴</w:t>
            </w:r>
          </w:p>
        </w:tc>
        <w:tc>
          <w:tcPr>
            <w:tcW w:w="1440" w:type="dxa"/>
            <w:shd w:val="clear" w:color="auto" w:fill="auto"/>
            <w:noWrap/>
            <w:vAlign w:val="center"/>
          </w:tcPr>
          <w:p w14:paraId="23D1995A">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500.00</w:t>
            </w:r>
          </w:p>
        </w:tc>
        <w:tc>
          <w:tcPr>
            <w:tcW w:w="1440" w:type="dxa"/>
            <w:shd w:val="clear" w:color="auto" w:fill="auto"/>
            <w:noWrap/>
            <w:vAlign w:val="center"/>
          </w:tcPr>
          <w:p w14:paraId="03CD2DA1">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297.64</w:t>
            </w:r>
          </w:p>
        </w:tc>
        <w:tc>
          <w:tcPr>
            <w:tcW w:w="1441" w:type="dxa"/>
            <w:shd w:val="clear" w:color="auto" w:fill="auto"/>
            <w:vAlign w:val="center"/>
          </w:tcPr>
          <w:p w14:paraId="080EEAE3">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720.00</w:t>
            </w:r>
          </w:p>
        </w:tc>
      </w:tr>
      <w:tr w14:paraId="02AC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01" w:type="dxa"/>
            <w:shd w:val="clear" w:color="auto" w:fill="auto"/>
            <w:vAlign w:val="center"/>
          </w:tcPr>
          <w:p w14:paraId="1C1F37C5">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免费乘车补贴</w:t>
            </w:r>
          </w:p>
        </w:tc>
        <w:tc>
          <w:tcPr>
            <w:tcW w:w="1440" w:type="dxa"/>
            <w:shd w:val="clear" w:color="auto" w:fill="auto"/>
            <w:noWrap/>
            <w:vAlign w:val="center"/>
          </w:tcPr>
          <w:p w14:paraId="1E2313EE">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90.00</w:t>
            </w:r>
          </w:p>
        </w:tc>
        <w:tc>
          <w:tcPr>
            <w:tcW w:w="1440" w:type="dxa"/>
            <w:shd w:val="clear" w:color="auto" w:fill="auto"/>
            <w:noWrap/>
            <w:vAlign w:val="center"/>
          </w:tcPr>
          <w:p w14:paraId="0CBAE09D">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128.00</w:t>
            </w:r>
          </w:p>
        </w:tc>
        <w:tc>
          <w:tcPr>
            <w:tcW w:w="1441" w:type="dxa"/>
            <w:shd w:val="clear" w:color="auto" w:fill="auto"/>
            <w:vAlign w:val="center"/>
          </w:tcPr>
          <w:p w14:paraId="416361E7">
            <w:pPr>
              <w:widowControl/>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w:t>
            </w:r>
          </w:p>
        </w:tc>
      </w:tr>
      <w:tr w14:paraId="2BB4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01" w:type="dxa"/>
            <w:shd w:val="clear" w:color="auto" w:fill="auto"/>
            <w:vAlign w:val="center"/>
          </w:tcPr>
          <w:p w14:paraId="61BBBE50">
            <w:pPr>
              <w:widowControl/>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新能源公交车运营补贴</w:t>
            </w:r>
          </w:p>
        </w:tc>
        <w:tc>
          <w:tcPr>
            <w:tcW w:w="1440" w:type="dxa"/>
            <w:shd w:val="clear" w:color="auto" w:fill="auto"/>
            <w:noWrap/>
            <w:vAlign w:val="center"/>
          </w:tcPr>
          <w:p w14:paraId="2941CFF6">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506.00</w:t>
            </w:r>
          </w:p>
        </w:tc>
        <w:tc>
          <w:tcPr>
            <w:tcW w:w="1440" w:type="dxa"/>
            <w:shd w:val="clear" w:color="auto" w:fill="auto"/>
            <w:vAlign w:val="center"/>
          </w:tcPr>
          <w:p w14:paraId="4A4E339C">
            <w:pPr>
              <w:widowControl/>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w:t>
            </w:r>
          </w:p>
        </w:tc>
        <w:tc>
          <w:tcPr>
            <w:tcW w:w="1441" w:type="dxa"/>
            <w:shd w:val="clear" w:color="auto" w:fill="auto"/>
            <w:vAlign w:val="center"/>
          </w:tcPr>
          <w:p w14:paraId="1507BB8B">
            <w:pPr>
              <w:widowControl/>
              <w:jc w:val="center"/>
              <w:rPr>
                <w:rFonts w:ascii="Times New Roman" w:hAnsi="Times New Roman" w:eastAsia="仿宋_GB2312" w:cs="Times New Roman"/>
                <w:b/>
                <w:bCs/>
                <w:color w:val="000000"/>
                <w:kern w:val="0"/>
                <w:szCs w:val="21"/>
              </w:rPr>
            </w:pPr>
            <w:r>
              <w:rPr>
                <w:rFonts w:ascii="Times New Roman" w:hAnsi="Times New Roman" w:eastAsia="仿宋_GB2312" w:cs="Times New Roman"/>
                <w:b/>
                <w:bCs/>
                <w:color w:val="000000"/>
                <w:kern w:val="0"/>
                <w:szCs w:val="21"/>
              </w:rPr>
              <w:t>-</w:t>
            </w:r>
          </w:p>
        </w:tc>
      </w:tr>
      <w:bookmarkEnd w:id="7"/>
      <w:tr w14:paraId="7F5C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01" w:type="dxa"/>
            <w:shd w:val="clear" w:color="auto" w:fill="auto"/>
            <w:vAlign w:val="center"/>
          </w:tcPr>
          <w:p w14:paraId="70E4300A">
            <w:pPr>
              <w:widowControl/>
              <w:jc w:val="center"/>
              <w:rPr>
                <w:rFonts w:hint="eastAsia"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合计</w:t>
            </w:r>
          </w:p>
        </w:tc>
        <w:tc>
          <w:tcPr>
            <w:tcW w:w="1440" w:type="dxa"/>
            <w:shd w:val="clear" w:color="auto" w:fill="auto"/>
            <w:noWrap/>
            <w:vAlign w:val="center"/>
          </w:tcPr>
          <w:p w14:paraId="43764CB9">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1</w:t>
            </w:r>
            <w:r>
              <w:rPr>
                <w:rFonts w:ascii="Times New Roman" w:hAnsi="Times New Roman" w:eastAsia="仿宋_GB2312" w:cs="Times New Roman"/>
                <w:b/>
                <w:bCs/>
                <w:color w:val="000000"/>
                <w:kern w:val="0"/>
                <w:szCs w:val="21"/>
              </w:rPr>
              <w:t>,496.00</w:t>
            </w:r>
          </w:p>
        </w:tc>
        <w:tc>
          <w:tcPr>
            <w:tcW w:w="1440" w:type="dxa"/>
            <w:shd w:val="clear" w:color="auto" w:fill="auto"/>
            <w:vAlign w:val="center"/>
          </w:tcPr>
          <w:p w14:paraId="30B35463">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8</w:t>
            </w:r>
            <w:r>
              <w:rPr>
                <w:rFonts w:ascii="Times New Roman" w:hAnsi="Times New Roman" w:eastAsia="仿宋_GB2312" w:cs="Times New Roman"/>
                <w:b/>
                <w:bCs/>
                <w:color w:val="000000"/>
                <w:kern w:val="0"/>
                <w:szCs w:val="21"/>
              </w:rPr>
              <w:t>49.64</w:t>
            </w:r>
          </w:p>
        </w:tc>
        <w:tc>
          <w:tcPr>
            <w:tcW w:w="1441" w:type="dxa"/>
            <w:shd w:val="clear" w:color="auto" w:fill="auto"/>
            <w:vAlign w:val="center"/>
          </w:tcPr>
          <w:p w14:paraId="786E6F51">
            <w:pPr>
              <w:widowControl/>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7</w:t>
            </w:r>
            <w:r>
              <w:rPr>
                <w:rFonts w:ascii="Times New Roman" w:hAnsi="Times New Roman" w:eastAsia="仿宋_GB2312" w:cs="Times New Roman"/>
                <w:b/>
                <w:bCs/>
                <w:color w:val="000000"/>
                <w:kern w:val="0"/>
                <w:szCs w:val="21"/>
              </w:rPr>
              <w:t>20.00</w:t>
            </w:r>
          </w:p>
        </w:tc>
      </w:tr>
    </w:tbl>
    <w:p w14:paraId="510F45FF">
      <w:pPr>
        <w:pStyle w:val="20"/>
        <w:ind w:firstLine="562"/>
      </w:pPr>
      <w:bookmarkStart w:id="8" w:name="_Toc25166464"/>
      <w:r>
        <w:t>（四）组织管理情况</w:t>
      </w:r>
      <w:bookmarkEnd w:id="8"/>
    </w:p>
    <w:p w14:paraId="51E847E1">
      <w:pPr>
        <w:pStyle w:val="19"/>
      </w:pPr>
      <w:r>
        <w:t>滑县公交补贴资金直接受益者为滑县公交公司，公交行业的主管部门为滑县交通运输局。各主体单位的相应职责具体如下：</w:t>
      </w:r>
    </w:p>
    <w:p w14:paraId="6F1A4AE7">
      <w:pPr>
        <w:pStyle w:val="19"/>
        <w:ind w:firstLine="562"/>
      </w:pPr>
      <w:r>
        <w:rPr>
          <w:b/>
          <w:bCs/>
        </w:rPr>
        <w:t>滑县财政局：</w:t>
      </w:r>
      <w:r>
        <w:t xml:space="preserve">根据县人大、县政府审核批复的公交财政补贴文件，根据本县综合财力统筹安排拨付公交财政补贴；及时划拨上级财政对本县公交事业补贴的转移支付；对公交财政补贴资金进行绩效管理与考核。 </w:t>
      </w:r>
    </w:p>
    <w:p w14:paraId="07A0F72B">
      <w:pPr>
        <w:pStyle w:val="19"/>
        <w:ind w:firstLine="562"/>
      </w:pPr>
      <w:r>
        <w:rPr>
          <w:b/>
          <w:bCs/>
        </w:rPr>
        <w:t>滑县交通运输局：</w:t>
      </w:r>
      <w:r>
        <w:t>（1）指导全县交通运输行业体制改革工作；组织编制全县综合运输体系规划；指导编制城市客运发展规划，参与城市客运有关设施的规划，指导交通运输枢纽规划；拟订实施全县交通运输行业投融资政策；监管全县交通运输行业安全生产等；（2）对滑县公交行业与公交企业进行业务指导，并对国家、省有关交通运输的</w:t>
      </w:r>
      <w:r>
        <w:rPr>
          <w:rFonts w:hint="eastAsia"/>
          <w:lang w:eastAsia="zh-CN"/>
        </w:rPr>
        <w:t>方针政策法律法规</w:t>
      </w:r>
      <w:r>
        <w:t>的贯彻、票价优惠等市级政府政策的制订与执行进行监督约束；（3）对公交公司的服务质量、车辆运行班次、信息化、公交经营效益、档案建立、安全监管、维修保险价格监控、准点率、驾驶人员服务态度等方面进行考核；（4）预算申报，根据中央、河南省和滑县支持公交事业发展相关财政政策，完成公交补贴预算编制与申报。</w:t>
      </w:r>
    </w:p>
    <w:p w14:paraId="427EB01B">
      <w:pPr>
        <w:pStyle w:val="19"/>
        <w:ind w:firstLine="562"/>
      </w:pPr>
      <w:r>
        <w:rPr>
          <w:b/>
          <w:bCs/>
        </w:rPr>
        <w:t>滑县公交公司：</w:t>
      </w:r>
      <w:r>
        <w:t>根据行业主管部门与财政部门要求，组织运营生产，提高公交服务质量，在执行政府惠民政策的同时享受公交补贴，并努力做到降本增效，配合主管部门做好线网规划、场站布局、车辆更新等工作，持续为市民提供低价优质的公交出行方式。</w:t>
      </w:r>
    </w:p>
    <w:p w14:paraId="61C4D49D">
      <w:pPr>
        <w:pStyle w:val="20"/>
        <w:ind w:firstLine="562"/>
      </w:pPr>
      <w:bookmarkStart w:id="9" w:name="_Toc25166465"/>
      <w:r>
        <w:t>（五）绩效目标</w:t>
      </w:r>
      <w:bookmarkEnd w:id="9"/>
    </w:p>
    <w:p w14:paraId="35BC7E50">
      <w:pPr>
        <w:pStyle w:val="19"/>
        <w:ind w:firstLine="562"/>
        <w:rPr>
          <w:b/>
        </w:rPr>
      </w:pPr>
      <w:r>
        <w:rPr>
          <w:b/>
        </w:rPr>
        <w:t>1.总目标</w:t>
      </w:r>
    </w:p>
    <w:p w14:paraId="6CFCE4CE">
      <w:pPr>
        <w:pStyle w:val="19"/>
      </w:pPr>
      <w:r>
        <w:t xml:space="preserve">围绕城市交通可持续发展和城市交通一体化发展的战略导向，实现公交发展优化战略，树立公交引导城市发展理念，建立以公共交通为导向的城市发展模式。通过整合公交资源，优化公交线网，加快公交基础设施建设，提高公交服务水平，为人们提供集疏高效、快速可达、换乘便捷、安全可靠、节能环保、智能化的公交出行服务，实现城市交通与城市社会经济和谐发展的新局面。                                                                                                                                                                                                                                 </w:t>
      </w:r>
    </w:p>
    <w:p w14:paraId="5CBD393A">
      <w:pPr>
        <w:pStyle w:val="19"/>
        <w:ind w:firstLine="562"/>
        <w:rPr>
          <w:b/>
        </w:rPr>
      </w:pPr>
      <w:r>
        <w:rPr>
          <w:b/>
        </w:rPr>
        <w:t>2.年度目标</w:t>
      </w:r>
    </w:p>
    <w:p w14:paraId="2DEDCA79">
      <w:pPr>
        <w:pStyle w:val="19"/>
      </w:pPr>
      <w:r>
        <w:t>根据滑县公交行业的发展现状和滑县政府批复《滑县城市公共交通专项规划（2015-2030）》和《滑县城市综合交通体系规划（2015-2030）》，以滑县公交公司2018年运营情况为基础，参考《创建河南省”公交优先”示范城市实施方案》，评价小组将本项目绩效产出和效果目标梳理如下表：</w:t>
      </w:r>
    </w:p>
    <w:p w14:paraId="02BB96C5">
      <w:pPr>
        <w:pStyle w:val="21"/>
      </w:pPr>
      <w:r>
        <w:t>表3-1 项目绩效产出和效果目标明细表</w:t>
      </w:r>
    </w:p>
    <w:tbl>
      <w:tblPr>
        <w:tblStyle w:val="11"/>
        <w:tblW w:w="8522" w:type="dxa"/>
        <w:tblInd w:w="0" w:type="dxa"/>
        <w:tblLayout w:type="fixed"/>
        <w:tblCellMar>
          <w:top w:w="0" w:type="dxa"/>
          <w:left w:w="108" w:type="dxa"/>
          <w:bottom w:w="0" w:type="dxa"/>
          <w:right w:w="108" w:type="dxa"/>
        </w:tblCellMar>
      </w:tblPr>
      <w:tblGrid>
        <w:gridCol w:w="1101"/>
        <w:gridCol w:w="2306"/>
        <w:gridCol w:w="3109"/>
        <w:gridCol w:w="2006"/>
      </w:tblGrid>
      <w:tr w14:paraId="362E29A9">
        <w:tblPrEx>
          <w:tblCellMar>
            <w:top w:w="0" w:type="dxa"/>
            <w:left w:w="108" w:type="dxa"/>
            <w:bottom w:w="0" w:type="dxa"/>
            <w:right w:w="108" w:type="dxa"/>
          </w:tblCellMar>
        </w:tblPrEx>
        <w:trPr>
          <w:trHeight w:val="285" w:hRule="atLeast"/>
          <w:tblHeader/>
        </w:trPr>
        <w:tc>
          <w:tcPr>
            <w:tcW w:w="1101" w:type="dxa"/>
            <w:tcBorders>
              <w:top w:val="single" w:color="auto" w:sz="8" w:space="0"/>
              <w:left w:val="single" w:color="auto" w:sz="8" w:space="0"/>
              <w:bottom w:val="single" w:color="auto" w:sz="8" w:space="0"/>
              <w:right w:val="single" w:color="auto" w:sz="8" w:space="0"/>
            </w:tcBorders>
            <w:shd w:val="clear" w:color="auto" w:fill="A5A5A5" w:themeFill="background1" w:themeFillShade="A6"/>
            <w:vAlign w:val="center"/>
          </w:tcPr>
          <w:p w14:paraId="58711A6C">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一级指标</w:t>
            </w:r>
          </w:p>
        </w:tc>
        <w:tc>
          <w:tcPr>
            <w:tcW w:w="2306" w:type="dxa"/>
            <w:tcBorders>
              <w:top w:val="single" w:color="auto" w:sz="8" w:space="0"/>
              <w:left w:val="nil"/>
              <w:bottom w:val="single" w:color="auto" w:sz="8" w:space="0"/>
              <w:right w:val="single" w:color="auto" w:sz="8" w:space="0"/>
            </w:tcBorders>
            <w:shd w:val="clear" w:color="auto" w:fill="A5A5A5" w:themeFill="background1" w:themeFillShade="A6"/>
            <w:vAlign w:val="center"/>
          </w:tcPr>
          <w:p w14:paraId="73E0FA1A">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二级指标</w:t>
            </w:r>
          </w:p>
        </w:tc>
        <w:tc>
          <w:tcPr>
            <w:tcW w:w="3109" w:type="dxa"/>
            <w:tcBorders>
              <w:top w:val="single" w:color="auto" w:sz="8" w:space="0"/>
              <w:left w:val="nil"/>
              <w:bottom w:val="single" w:color="auto" w:sz="8" w:space="0"/>
              <w:right w:val="single" w:color="auto" w:sz="8" w:space="0"/>
            </w:tcBorders>
            <w:shd w:val="clear" w:color="auto" w:fill="A5A5A5" w:themeFill="background1" w:themeFillShade="A6"/>
            <w:vAlign w:val="center"/>
          </w:tcPr>
          <w:p w14:paraId="097DD0B8">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三级指标</w:t>
            </w:r>
          </w:p>
        </w:tc>
        <w:tc>
          <w:tcPr>
            <w:tcW w:w="2006" w:type="dxa"/>
            <w:tcBorders>
              <w:top w:val="single" w:color="auto" w:sz="8" w:space="0"/>
              <w:left w:val="nil"/>
              <w:bottom w:val="single" w:color="auto" w:sz="8" w:space="0"/>
              <w:right w:val="single" w:color="auto" w:sz="8" w:space="0"/>
            </w:tcBorders>
            <w:shd w:val="clear" w:color="auto" w:fill="A5A5A5" w:themeFill="background1" w:themeFillShade="A6"/>
            <w:vAlign w:val="center"/>
          </w:tcPr>
          <w:p w14:paraId="4ECF43BE">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标杆值</w:t>
            </w:r>
          </w:p>
        </w:tc>
      </w:tr>
      <w:tr w14:paraId="602D692E">
        <w:tblPrEx>
          <w:tblCellMar>
            <w:top w:w="0" w:type="dxa"/>
            <w:left w:w="108" w:type="dxa"/>
            <w:bottom w:w="0" w:type="dxa"/>
            <w:right w:w="108" w:type="dxa"/>
          </w:tblCellMar>
        </w:tblPrEx>
        <w:trPr>
          <w:trHeight w:val="579" w:hRule="atLeast"/>
        </w:trPr>
        <w:tc>
          <w:tcPr>
            <w:tcW w:w="1101" w:type="dxa"/>
            <w:vMerge w:val="restart"/>
            <w:tcBorders>
              <w:top w:val="nil"/>
              <w:left w:val="single" w:color="auto" w:sz="8" w:space="0"/>
              <w:bottom w:val="single" w:color="000000" w:sz="8" w:space="0"/>
              <w:right w:val="single" w:color="auto" w:sz="8" w:space="0"/>
            </w:tcBorders>
            <w:shd w:val="clear" w:color="auto" w:fill="auto"/>
            <w:vAlign w:val="center"/>
          </w:tcPr>
          <w:p w14:paraId="65DE2247">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A产出</w:t>
            </w:r>
          </w:p>
        </w:tc>
        <w:tc>
          <w:tcPr>
            <w:tcW w:w="2306" w:type="dxa"/>
            <w:vMerge w:val="restart"/>
            <w:tcBorders>
              <w:top w:val="nil"/>
              <w:left w:val="single" w:color="auto" w:sz="8" w:space="0"/>
              <w:bottom w:val="single" w:color="000000" w:sz="8" w:space="0"/>
              <w:right w:val="single" w:color="auto" w:sz="8" w:space="0"/>
            </w:tcBorders>
            <w:shd w:val="clear" w:color="auto" w:fill="auto"/>
            <w:vAlign w:val="center"/>
          </w:tcPr>
          <w:p w14:paraId="1F341B30">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A1车辆添置</w:t>
            </w:r>
          </w:p>
        </w:tc>
        <w:tc>
          <w:tcPr>
            <w:tcW w:w="3109" w:type="dxa"/>
            <w:tcBorders>
              <w:top w:val="nil"/>
              <w:left w:val="nil"/>
              <w:bottom w:val="single" w:color="auto" w:sz="8" w:space="0"/>
              <w:right w:val="single" w:color="auto" w:sz="8" w:space="0"/>
            </w:tcBorders>
            <w:shd w:val="clear" w:color="auto" w:fill="auto"/>
            <w:vAlign w:val="center"/>
          </w:tcPr>
          <w:p w14:paraId="04926982">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hint="eastAsia" w:ascii="Times New Roman" w:hAnsi="Times New Roman" w:eastAsia="仿宋_GB2312" w:cs="Times New Roman"/>
                <w:bCs/>
                <w:color w:val="000000"/>
                <w:kern w:val="0"/>
                <w:szCs w:val="21"/>
              </w:rPr>
              <w:t>车辆添置数量</w:t>
            </w:r>
          </w:p>
        </w:tc>
        <w:tc>
          <w:tcPr>
            <w:tcW w:w="2006" w:type="dxa"/>
            <w:tcBorders>
              <w:top w:val="nil"/>
              <w:left w:val="nil"/>
              <w:bottom w:val="single" w:color="auto" w:sz="8" w:space="0"/>
              <w:right w:val="single" w:color="auto" w:sz="8" w:space="0"/>
            </w:tcBorders>
            <w:shd w:val="clear" w:color="auto" w:fill="auto"/>
            <w:vAlign w:val="center"/>
          </w:tcPr>
          <w:p w14:paraId="673333F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hint="eastAsia" w:ascii="Times New Roman" w:hAnsi="Times New Roman" w:eastAsia="仿宋_GB2312" w:cs="Times New Roman"/>
                <w:bCs/>
                <w:color w:val="000000"/>
                <w:kern w:val="0"/>
                <w:szCs w:val="21"/>
              </w:rPr>
              <w:t>2</w:t>
            </w:r>
            <w:r>
              <w:rPr>
                <w:rFonts w:ascii="Times New Roman" w:hAnsi="Times New Roman" w:eastAsia="仿宋_GB2312" w:cs="Times New Roman"/>
                <w:bCs/>
                <w:color w:val="000000"/>
                <w:kern w:val="0"/>
                <w:szCs w:val="21"/>
              </w:rPr>
              <w:t>20</w:t>
            </w:r>
            <w:r>
              <w:rPr>
                <w:rFonts w:hint="eastAsia" w:ascii="Times New Roman" w:hAnsi="Times New Roman" w:eastAsia="仿宋_GB2312" w:cs="Times New Roman"/>
                <w:bCs/>
                <w:color w:val="000000"/>
                <w:kern w:val="0"/>
                <w:szCs w:val="21"/>
              </w:rPr>
              <w:t>辆</w:t>
            </w:r>
          </w:p>
        </w:tc>
      </w:tr>
      <w:tr w14:paraId="68C8BEA2">
        <w:tblPrEx>
          <w:tblCellMar>
            <w:top w:w="0" w:type="dxa"/>
            <w:left w:w="108" w:type="dxa"/>
            <w:bottom w:w="0" w:type="dxa"/>
            <w:right w:w="108" w:type="dxa"/>
          </w:tblCellMar>
        </w:tblPrEx>
        <w:trPr>
          <w:trHeight w:val="531" w:hRule="atLeast"/>
        </w:trPr>
        <w:tc>
          <w:tcPr>
            <w:tcW w:w="1101" w:type="dxa"/>
            <w:vMerge w:val="continue"/>
            <w:tcBorders>
              <w:top w:val="nil"/>
              <w:left w:val="single" w:color="auto" w:sz="8" w:space="0"/>
              <w:bottom w:val="single" w:color="000000" w:sz="8" w:space="0"/>
              <w:right w:val="single" w:color="auto" w:sz="8" w:space="0"/>
            </w:tcBorders>
            <w:vAlign w:val="center"/>
          </w:tcPr>
          <w:p w14:paraId="1C8F4FA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14:paraId="2BA7F589">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nil"/>
              <w:bottom w:val="single" w:color="auto" w:sz="8" w:space="0"/>
              <w:right w:val="single" w:color="auto" w:sz="8" w:space="0"/>
            </w:tcBorders>
            <w:shd w:val="clear" w:color="auto" w:fill="auto"/>
            <w:vAlign w:val="center"/>
          </w:tcPr>
          <w:p w14:paraId="0A4A957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hint="eastAsia" w:ascii="Times New Roman" w:hAnsi="Times New Roman" w:eastAsia="仿宋_GB2312" w:cs="Times New Roman"/>
                <w:bCs/>
                <w:color w:val="000000"/>
                <w:kern w:val="0"/>
                <w:szCs w:val="21"/>
              </w:rPr>
              <w:t>新增车辆新能源公交占比</w:t>
            </w:r>
          </w:p>
        </w:tc>
        <w:tc>
          <w:tcPr>
            <w:tcW w:w="2006" w:type="dxa"/>
            <w:tcBorders>
              <w:top w:val="nil"/>
              <w:left w:val="nil"/>
              <w:bottom w:val="single" w:color="auto" w:sz="8" w:space="0"/>
              <w:right w:val="single" w:color="auto" w:sz="8" w:space="0"/>
            </w:tcBorders>
            <w:shd w:val="clear" w:color="auto" w:fill="auto"/>
            <w:vAlign w:val="center"/>
          </w:tcPr>
          <w:p w14:paraId="43AEDC4A">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hint="eastAsia" w:ascii="Times New Roman" w:hAnsi="Times New Roman" w:eastAsia="仿宋_GB2312" w:cs="Times New Roman"/>
                <w:bCs/>
                <w:color w:val="000000"/>
                <w:kern w:val="0"/>
                <w:szCs w:val="21"/>
              </w:rPr>
              <w:t>1</w:t>
            </w:r>
            <w:r>
              <w:rPr>
                <w:rFonts w:ascii="Times New Roman" w:hAnsi="Times New Roman" w:eastAsia="仿宋_GB2312" w:cs="Times New Roman"/>
                <w:bCs/>
                <w:color w:val="000000"/>
                <w:kern w:val="0"/>
                <w:szCs w:val="21"/>
              </w:rPr>
              <w:t>00</w:t>
            </w:r>
            <w:r>
              <w:rPr>
                <w:rFonts w:hint="eastAsia" w:ascii="Times New Roman" w:hAnsi="Times New Roman" w:eastAsia="仿宋_GB2312" w:cs="Times New Roman"/>
                <w:bCs/>
                <w:color w:val="000000"/>
                <w:kern w:val="0"/>
                <w:szCs w:val="21"/>
              </w:rPr>
              <w:t>%</w:t>
            </w:r>
          </w:p>
        </w:tc>
      </w:tr>
      <w:tr w14:paraId="2410301A">
        <w:tblPrEx>
          <w:tblCellMar>
            <w:top w:w="0" w:type="dxa"/>
            <w:left w:w="108" w:type="dxa"/>
            <w:bottom w:w="0" w:type="dxa"/>
            <w:right w:w="108" w:type="dxa"/>
          </w:tblCellMar>
        </w:tblPrEx>
        <w:trPr>
          <w:trHeight w:val="552" w:hRule="atLeast"/>
        </w:trPr>
        <w:tc>
          <w:tcPr>
            <w:tcW w:w="1101" w:type="dxa"/>
            <w:vMerge w:val="continue"/>
            <w:tcBorders>
              <w:top w:val="nil"/>
              <w:left w:val="single" w:color="auto" w:sz="8" w:space="0"/>
              <w:bottom w:val="single" w:color="000000" w:sz="8" w:space="0"/>
              <w:right w:val="single" w:color="auto" w:sz="8" w:space="0"/>
            </w:tcBorders>
            <w:vAlign w:val="center"/>
          </w:tcPr>
          <w:p w14:paraId="28F3462C">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restart"/>
            <w:tcBorders>
              <w:top w:val="nil"/>
              <w:left w:val="single" w:color="auto" w:sz="8" w:space="0"/>
              <w:bottom w:val="single" w:color="000000" w:sz="8" w:space="0"/>
              <w:right w:val="single" w:color="auto" w:sz="8" w:space="0"/>
            </w:tcBorders>
            <w:shd w:val="clear" w:color="auto" w:fill="auto"/>
            <w:vAlign w:val="center"/>
          </w:tcPr>
          <w:p w14:paraId="5F2255E7">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A2公交站点、站亭建设</w:t>
            </w:r>
          </w:p>
        </w:tc>
        <w:tc>
          <w:tcPr>
            <w:tcW w:w="3109" w:type="dxa"/>
            <w:tcBorders>
              <w:top w:val="nil"/>
              <w:left w:val="nil"/>
              <w:bottom w:val="single" w:color="auto" w:sz="8" w:space="0"/>
              <w:right w:val="single" w:color="auto" w:sz="8" w:space="0"/>
            </w:tcBorders>
            <w:shd w:val="clear" w:color="auto" w:fill="auto"/>
            <w:vAlign w:val="center"/>
          </w:tcPr>
          <w:p w14:paraId="656DC9B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公交站点、站亭建设改造数量达成率</w:t>
            </w:r>
          </w:p>
        </w:tc>
        <w:tc>
          <w:tcPr>
            <w:tcW w:w="2006" w:type="dxa"/>
            <w:tcBorders>
              <w:top w:val="nil"/>
              <w:left w:val="nil"/>
              <w:bottom w:val="single" w:color="auto" w:sz="8" w:space="0"/>
              <w:right w:val="single" w:color="auto" w:sz="8" w:space="0"/>
            </w:tcBorders>
            <w:shd w:val="clear" w:color="auto" w:fill="auto"/>
            <w:vAlign w:val="center"/>
          </w:tcPr>
          <w:p w14:paraId="0E629B05">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有效达成</w:t>
            </w:r>
          </w:p>
        </w:tc>
      </w:tr>
      <w:tr w14:paraId="19FAE646">
        <w:tblPrEx>
          <w:tblCellMar>
            <w:top w:w="0" w:type="dxa"/>
            <w:left w:w="108" w:type="dxa"/>
            <w:bottom w:w="0" w:type="dxa"/>
            <w:right w:w="108" w:type="dxa"/>
          </w:tblCellMar>
        </w:tblPrEx>
        <w:trPr>
          <w:trHeight w:val="462" w:hRule="atLeast"/>
        </w:trPr>
        <w:tc>
          <w:tcPr>
            <w:tcW w:w="1101" w:type="dxa"/>
            <w:vMerge w:val="continue"/>
            <w:tcBorders>
              <w:top w:val="nil"/>
              <w:left w:val="single" w:color="auto" w:sz="8" w:space="0"/>
              <w:bottom w:val="single" w:color="000000" w:sz="8" w:space="0"/>
              <w:right w:val="single" w:color="auto" w:sz="8" w:space="0"/>
            </w:tcBorders>
            <w:vAlign w:val="center"/>
          </w:tcPr>
          <w:p w14:paraId="19E51E59">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14:paraId="58407E75">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nil"/>
              <w:bottom w:val="single" w:color="auto" w:sz="8" w:space="0"/>
              <w:right w:val="single" w:color="auto" w:sz="8" w:space="0"/>
            </w:tcBorders>
            <w:shd w:val="clear" w:color="auto" w:fill="auto"/>
            <w:vAlign w:val="center"/>
          </w:tcPr>
          <w:p w14:paraId="3C5AF03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公交站点覆盖率</w:t>
            </w:r>
          </w:p>
        </w:tc>
        <w:tc>
          <w:tcPr>
            <w:tcW w:w="2006" w:type="dxa"/>
            <w:tcBorders>
              <w:top w:val="nil"/>
              <w:left w:val="nil"/>
              <w:bottom w:val="single" w:color="auto" w:sz="8" w:space="0"/>
              <w:right w:val="single" w:color="auto" w:sz="8" w:space="0"/>
            </w:tcBorders>
            <w:shd w:val="clear" w:color="auto" w:fill="auto"/>
            <w:vAlign w:val="center"/>
          </w:tcPr>
          <w:p w14:paraId="03ABBD29">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80%</w:t>
            </w:r>
          </w:p>
        </w:tc>
      </w:tr>
      <w:tr w14:paraId="24B77B9B">
        <w:tblPrEx>
          <w:tblCellMar>
            <w:top w:w="0" w:type="dxa"/>
            <w:left w:w="108" w:type="dxa"/>
            <w:bottom w:w="0" w:type="dxa"/>
            <w:right w:w="108" w:type="dxa"/>
          </w:tblCellMar>
        </w:tblPrEx>
        <w:trPr>
          <w:trHeight w:val="427" w:hRule="atLeast"/>
        </w:trPr>
        <w:tc>
          <w:tcPr>
            <w:tcW w:w="1101" w:type="dxa"/>
            <w:vMerge w:val="continue"/>
            <w:tcBorders>
              <w:top w:val="nil"/>
              <w:left w:val="single" w:color="auto" w:sz="8" w:space="0"/>
              <w:bottom w:val="single" w:color="000000" w:sz="8" w:space="0"/>
              <w:right w:val="single" w:color="auto" w:sz="8" w:space="0"/>
            </w:tcBorders>
            <w:vAlign w:val="center"/>
          </w:tcPr>
          <w:p w14:paraId="4EF81BFB">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14:paraId="21B1CF2D">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single" w:color="auto" w:sz="8" w:space="0"/>
              <w:bottom w:val="single" w:color="000000" w:sz="8" w:space="0"/>
              <w:right w:val="single" w:color="auto" w:sz="8" w:space="0"/>
            </w:tcBorders>
            <w:shd w:val="clear" w:color="auto" w:fill="auto"/>
            <w:vAlign w:val="center"/>
          </w:tcPr>
          <w:p w14:paraId="4762482F">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港湾式站亭占比</w:t>
            </w:r>
          </w:p>
        </w:tc>
        <w:tc>
          <w:tcPr>
            <w:tcW w:w="2006" w:type="dxa"/>
            <w:tcBorders>
              <w:top w:val="nil"/>
              <w:left w:val="single" w:color="auto" w:sz="8" w:space="0"/>
              <w:bottom w:val="single" w:color="000000" w:sz="8" w:space="0"/>
              <w:right w:val="single" w:color="auto" w:sz="8" w:space="0"/>
            </w:tcBorders>
            <w:shd w:val="clear" w:color="auto" w:fill="auto"/>
            <w:vAlign w:val="center"/>
          </w:tcPr>
          <w:p w14:paraId="2B1DCAC4">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70%</w:t>
            </w:r>
          </w:p>
        </w:tc>
      </w:tr>
      <w:tr w14:paraId="57284DD2">
        <w:tblPrEx>
          <w:tblCellMar>
            <w:top w:w="0" w:type="dxa"/>
            <w:left w:w="108" w:type="dxa"/>
            <w:bottom w:w="0" w:type="dxa"/>
            <w:right w:w="108" w:type="dxa"/>
          </w:tblCellMar>
        </w:tblPrEx>
        <w:trPr>
          <w:trHeight w:val="486" w:hRule="atLeast"/>
        </w:trPr>
        <w:tc>
          <w:tcPr>
            <w:tcW w:w="1101" w:type="dxa"/>
            <w:vMerge w:val="continue"/>
            <w:tcBorders>
              <w:top w:val="nil"/>
              <w:left w:val="single" w:color="auto" w:sz="8" w:space="0"/>
              <w:bottom w:val="single" w:color="000000" w:sz="8" w:space="0"/>
              <w:right w:val="single" w:color="auto" w:sz="8" w:space="0"/>
            </w:tcBorders>
            <w:vAlign w:val="center"/>
          </w:tcPr>
          <w:p w14:paraId="138A21D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restart"/>
            <w:tcBorders>
              <w:top w:val="nil"/>
              <w:left w:val="single" w:color="auto" w:sz="8" w:space="0"/>
              <w:bottom w:val="single" w:color="000000" w:sz="8" w:space="0"/>
              <w:right w:val="single" w:color="auto" w:sz="8" w:space="0"/>
            </w:tcBorders>
            <w:shd w:val="clear" w:color="auto" w:fill="auto"/>
            <w:vAlign w:val="center"/>
          </w:tcPr>
          <w:p w14:paraId="4E54E0F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A3公交线路合理性</w:t>
            </w:r>
          </w:p>
        </w:tc>
        <w:tc>
          <w:tcPr>
            <w:tcW w:w="3109" w:type="dxa"/>
            <w:tcBorders>
              <w:top w:val="nil"/>
              <w:left w:val="nil"/>
              <w:bottom w:val="single" w:color="auto" w:sz="8" w:space="0"/>
              <w:right w:val="single" w:color="auto" w:sz="8" w:space="0"/>
            </w:tcBorders>
            <w:shd w:val="clear" w:color="auto" w:fill="auto"/>
            <w:vAlign w:val="center"/>
          </w:tcPr>
          <w:p w14:paraId="48A1C82A">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公交线路优化达成率</w:t>
            </w:r>
          </w:p>
        </w:tc>
        <w:tc>
          <w:tcPr>
            <w:tcW w:w="2006" w:type="dxa"/>
            <w:tcBorders>
              <w:top w:val="nil"/>
              <w:left w:val="nil"/>
              <w:bottom w:val="single" w:color="auto" w:sz="8" w:space="0"/>
              <w:right w:val="single" w:color="auto" w:sz="8" w:space="0"/>
            </w:tcBorders>
            <w:shd w:val="clear" w:color="auto" w:fill="auto"/>
            <w:vAlign w:val="center"/>
          </w:tcPr>
          <w:p w14:paraId="5E23181D">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达成</w:t>
            </w:r>
          </w:p>
        </w:tc>
      </w:tr>
      <w:tr w14:paraId="45F4C0D2">
        <w:tblPrEx>
          <w:tblCellMar>
            <w:top w:w="0" w:type="dxa"/>
            <w:left w:w="108" w:type="dxa"/>
            <w:bottom w:w="0" w:type="dxa"/>
            <w:right w:w="108" w:type="dxa"/>
          </w:tblCellMar>
        </w:tblPrEx>
        <w:trPr>
          <w:trHeight w:val="485" w:hRule="atLeast"/>
        </w:trPr>
        <w:tc>
          <w:tcPr>
            <w:tcW w:w="1101" w:type="dxa"/>
            <w:vMerge w:val="continue"/>
            <w:tcBorders>
              <w:top w:val="nil"/>
              <w:left w:val="single" w:color="auto" w:sz="8" w:space="0"/>
              <w:bottom w:val="single" w:color="000000" w:sz="8" w:space="0"/>
              <w:right w:val="single" w:color="auto" w:sz="8" w:space="0"/>
            </w:tcBorders>
            <w:vAlign w:val="center"/>
          </w:tcPr>
          <w:p w14:paraId="7E88BE7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14:paraId="1B040BDD">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nil"/>
              <w:bottom w:val="single" w:color="auto" w:sz="8" w:space="0"/>
              <w:right w:val="single" w:color="auto" w:sz="8" w:space="0"/>
            </w:tcBorders>
            <w:shd w:val="clear" w:color="auto" w:fill="auto"/>
            <w:vAlign w:val="center"/>
          </w:tcPr>
          <w:p w14:paraId="69208F48">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线路布局合理性</w:t>
            </w:r>
          </w:p>
        </w:tc>
        <w:tc>
          <w:tcPr>
            <w:tcW w:w="2006" w:type="dxa"/>
            <w:tcBorders>
              <w:top w:val="nil"/>
              <w:left w:val="nil"/>
              <w:bottom w:val="single" w:color="auto" w:sz="8" w:space="0"/>
              <w:right w:val="single" w:color="auto" w:sz="8" w:space="0"/>
            </w:tcBorders>
            <w:shd w:val="clear" w:color="auto" w:fill="auto"/>
            <w:vAlign w:val="center"/>
          </w:tcPr>
          <w:p w14:paraId="31C5D7C2">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合理</w:t>
            </w:r>
          </w:p>
        </w:tc>
      </w:tr>
      <w:tr w14:paraId="09D7B52C">
        <w:tblPrEx>
          <w:tblCellMar>
            <w:top w:w="0" w:type="dxa"/>
            <w:left w:w="108" w:type="dxa"/>
            <w:bottom w:w="0" w:type="dxa"/>
            <w:right w:w="108" w:type="dxa"/>
          </w:tblCellMar>
        </w:tblPrEx>
        <w:trPr>
          <w:trHeight w:val="486" w:hRule="atLeast"/>
        </w:trPr>
        <w:tc>
          <w:tcPr>
            <w:tcW w:w="1101" w:type="dxa"/>
            <w:vMerge w:val="continue"/>
            <w:tcBorders>
              <w:top w:val="nil"/>
              <w:left w:val="single" w:color="auto" w:sz="8" w:space="0"/>
              <w:bottom w:val="single" w:color="000000" w:sz="8" w:space="0"/>
              <w:right w:val="single" w:color="auto" w:sz="8" w:space="0"/>
            </w:tcBorders>
            <w:vAlign w:val="center"/>
          </w:tcPr>
          <w:p w14:paraId="4133E99D">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restart"/>
            <w:tcBorders>
              <w:top w:val="nil"/>
              <w:left w:val="single" w:color="auto" w:sz="8" w:space="0"/>
              <w:bottom w:val="single" w:color="000000" w:sz="8" w:space="0"/>
              <w:right w:val="single" w:color="auto" w:sz="8" w:space="0"/>
            </w:tcBorders>
            <w:shd w:val="clear" w:color="auto" w:fill="auto"/>
            <w:vAlign w:val="center"/>
          </w:tcPr>
          <w:p w14:paraId="6D56F4D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A4公交信息化建设情况</w:t>
            </w:r>
          </w:p>
        </w:tc>
        <w:tc>
          <w:tcPr>
            <w:tcW w:w="3109" w:type="dxa"/>
            <w:tcBorders>
              <w:top w:val="nil"/>
              <w:left w:val="single" w:color="auto" w:sz="8" w:space="0"/>
              <w:bottom w:val="single" w:color="000000" w:sz="8" w:space="0"/>
              <w:right w:val="single" w:color="auto" w:sz="8" w:space="0"/>
            </w:tcBorders>
            <w:shd w:val="clear" w:color="auto" w:fill="auto"/>
            <w:vAlign w:val="center"/>
          </w:tcPr>
          <w:p w14:paraId="361A2728">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公交乘坐电子支付建设情况</w:t>
            </w:r>
          </w:p>
        </w:tc>
        <w:tc>
          <w:tcPr>
            <w:tcW w:w="2006" w:type="dxa"/>
            <w:tcBorders>
              <w:top w:val="single" w:color="auto" w:sz="8" w:space="0"/>
              <w:left w:val="nil"/>
              <w:bottom w:val="single" w:color="auto" w:sz="4" w:space="0"/>
              <w:right w:val="single" w:color="auto" w:sz="8" w:space="0"/>
            </w:tcBorders>
            <w:shd w:val="clear" w:color="auto" w:fill="auto"/>
            <w:vAlign w:val="center"/>
          </w:tcPr>
          <w:p w14:paraId="2B2BFCD0">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有效增长</w:t>
            </w:r>
          </w:p>
        </w:tc>
      </w:tr>
      <w:tr w14:paraId="1C8C2D19">
        <w:tblPrEx>
          <w:tblCellMar>
            <w:top w:w="0" w:type="dxa"/>
            <w:left w:w="108" w:type="dxa"/>
            <w:bottom w:w="0" w:type="dxa"/>
            <w:right w:w="108" w:type="dxa"/>
          </w:tblCellMar>
        </w:tblPrEx>
        <w:trPr>
          <w:trHeight w:val="550" w:hRule="atLeast"/>
        </w:trPr>
        <w:tc>
          <w:tcPr>
            <w:tcW w:w="1101" w:type="dxa"/>
            <w:vMerge w:val="continue"/>
            <w:tcBorders>
              <w:top w:val="nil"/>
              <w:left w:val="single" w:color="auto" w:sz="8" w:space="0"/>
              <w:bottom w:val="single" w:color="000000" w:sz="8" w:space="0"/>
              <w:right w:val="single" w:color="auto" w:sz="8" w:space="0"/>
            </w:tcBorders>
            <w:vAlign w:val="center"/>
          </w:tcPr>
          <w:p w14:paraId="1D911D7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14:paraId="35BD0E59">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nil"/>
              <w:bottom w:val="single" w:color="auto" w:sz="8" w:space="0"/>
              <w:right w:val="single" w:color="auto" w:sz="8" w:space="0"/>
            </w:tcBorders>
            <w:shd w:val="clear" w:color="auto" w:fill="auto"/>
            <w:vAlign w:val="center"/>
          </w:tcPr>
          <w:p w14:paraId="7D8AA1CF">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智慧公交综合建设有效性</w:t>
            </w:r>
          </w:p>
        </w:tc>
        <w:tc>
          <w:tcPr>
            <w:tcW w:w="2006" w:type="dxa"/>
            <w:tcBorders>
              <w:top w:val="single" w:color="auto" w:sz="4" w:space="0"/>
              <w:left w:val="nil"/>
              <w:bottom w:val="single" w:color="auto" w:sz="8" w:space="0"/>
              <w:right w:val="single" w:color="auto" w:sz="8" w:space="0"/>
            </w:tcBorders>
            <w:shd w:val="clear" w:color="auto" w:fill="auto"/>
            <w:vAlign w:val="center"/>
          </w:tcPr>
          <w:p w14:paraId="6AFFA512">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有效</w:t>
            </w:r>
          </w:p>
        </w:tc>
      </w:tr>
      <w:tr w14:paraId="6F8FC40B">
        <w:tblPrEx>
          <w:tblCellMar>
            <w:top w:w="0" w:type="dxa"/>
            <w:left w:w="108" w:type="dxa"/>
            <w:bottom w:w="0" w:type="dxa"/>
            <w:right w:w="108" w:type="dxa"/>
          </w:tblCellMar>
        </w:tblPrEx>
        <w:trPr>
          <w:trHeight w:val="401" w:hRule="atLeast"/>
        </w:trPr>
        <w:tc>
          <w:tcPr>
            <w:tcW w:w="1101" w:type="dxa"/>
            <w:vMerge w:val="restart"/>
            <w:tcBorders>
              <w:top w:val="nil"/>
              <w:left w:val="single" w:color="auto" w:sz="8" w:space="0"/>
              <w:bottom w:val="single" w:color="000000" w:sz="8" w:space="0"/>
              <w:right w:val="single" w:color="auto" w:sz="8" w:space="0"/>
            </w:tcBorders>
            <w:shd w:val="clear" w:color="auto" w:fill="auto"/>
            <w:vAlign w:val="center"/>
          </w:tcPr>
          <w:p w14:paraId="3FC13D4F">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B效果</w:t>
            </w:r>
          </w:p>
        </w:tc>
        <w:tc>
          <w:tcPr>
            <w:tcW w:w="2306" w:type="dxa"/>
            <w:tcBorders>
              <w:top w:val="nil"/>
              <w:left w:val="single" w:color="auto" w:sz="8" w:space="0"/>
              <w:bottom w:val="single" w:color="000000" w:sz="8" w:space="0"/>
              <w:right w:val="single" w:color="auto" w:sz="8" w:space="0"/>
            </w:tcBorders>
            <w:shd w:val="clear" w:color="auto" w:fill="auto"/>
            <w:vAlign w:val="center"/>
          </w:tcPr>
          <w:p w14:paraId="0F1756C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B1车辆投入效果</w:t>
            </w:r>
          </w:p>
        </w:tc>
        <w:tc>
          <w:tcPr>
            <w:tcW w:w="3109" w:type="dxa"/>
            <w:tcBorders>
              <w:top w:val="nil"/>
              <w:left w:val="single" w:color="auto" w:sz="8" w:space="0"/>
              <w:bottom w:val="single" w:color="auto" w:sz="4" w:space="0"/>
              <w:right w:val="single" w:color="auto" w:sz="8" w:space="0"/>
            </w:tcBorders>
            <w:shd w:val="clear" w:color="auto" w:fill="auto"/>
            <w:vAlign w:val="center"/>
          </w:tcPr>
          <w:p w14:paraId="146FA864">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公交车辆使用率</w:t>
            </w:r>
          </w:p>
        </w:tc>
        <w:tc>
          <w:tcPr>
            <w:tcW w:w="2006" w:type="dxa"/>
            <w:tcBorders>
              <w:top w:val="nil"/>
              <w:left w:val="single" w:color="auto" w:sz="8" w:space="0"/>
              <w:bottom w:val="single" w:color="000000" w:sz="8" w:space="0"/>
              <w:right w:val="single" w:color="auto" w:sz="8" w:space="0"/>
            </w:tcBorders>
            <w:shd w:val="clear" w:color="auto" w:fill="auto"/>
            <w:vAlign w:val="center"/>
          </w:tcPr>
          <w:p w14:paraId="50D3CE04">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100%</w:t>
            </w:r>
          </w:p>
        </w:tc>
      </w:tr>
      <w:tr w14:paraId="7D6B3C57">
        <w:tblPrEx>
          <w:tblCellMar>
            <w:top w:w="0" w:type="dxa"/>
            <w:left w:w="108" w:type="dxa"/>
            <w:bottom w:w="0" w:type="dxa"/>
            <w:right w:w="108" w:type="dxa"/>
          </w:tblCellMar>
        </w:tblPrEx>
        <w:trPr>
          <w:trHeight w:val="549" w:hRule="atLeast"/>
        </w:trPr>
        <w:tc>
          <w:tcPr>
            <w:tcW w:w="1101" w:type="dxa"/>
            <w:vMerge w:val="continue"/>
            <w:tcBorders>
              <w:top w:val="nil"/>
              <w:left w:val="single" w:color="auto" w:sz="8" w:space="0"/>
              <w:bottom w:val="single" w:color="000000" w:sz="8" w:space="0"/>
              <w:right w:val="single" w:color="auto" w:sz="8" w:space="0"/>
            </w:tcBorders>
            <w:vAlign w:val="center"/>
          </w:tcPr>
          <w:p w14:paraId="4D7D1F69">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tcBorders>
              <w:top w:val="nil"/>
              <w:left w:val="single" w:color="auto" w:sz="8" w:space="0"/>
              <w:bottom w:val="single" w:color="000000" w:sz="8" w:space="0"/>
              <w:right w:val="single" w:color="auto" w:sz="8" w:space="0"/>
            </w:tcBorders>
            <w:shd w:val="clear" w:color="auto" w:fill="auto"/>
            <w:vAlign w:val="center"/>
          </w:tcPr>
          <w:p w14:paraId="5355808D">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B2 公交运行效果</w:t>
            </w:r>
          </w:p>
        </w:tc>
        <w:tc>
          <w:tcPr>
            <w:tcW w:w="3109" w:type="dxa"/>
            <w:tcBorders>
              <w:top w:val="nil"/>
              <w:left w:val="single" w:color="auto" w:sz="8" w:space="0"/>
              <w:bottom w:val="single" w:color="000000" w:sz="8" w:space="0"/>
              <w:right w:val="single" w:color="auto" w:sz="8" w:space="0"/>
            </w:tcBorders>
            <w:shd w:val="clear" w:color="auto" w:fill="auto"/>
            <w:vAlign w:val="center"/>
          </w:tcPr>
          <w:p w14:paraId="1888C1AC">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 xml:space="preserve">公交单车次客运量 </w:t>
            </w:r>
          </w:p>
        </w:tc>
        <w:tc>
          <w:tcPr>
            <w:tcW w:w="2006" w:type="dxa"/>
            <w:tcBorders>
              <w:top w:val="nil"/>
              <w:left w:val="single" w:color="auto" w:sz="8" w:space="0"/>
              <w:bottom w:val="single" w:color="000000" w:sz="8" w:space="0"/>
              <w:right w:val="single" w:color="auto" w:sz="8" w:space="0"/>
            </w:tcBorders>
            <w:shd w:val="clear" w:color="auto" w:fill="auto"/>
            <w:vAlign w:val="center"/>
          </w:tcPr>
          <w:p w14:paraId="37C8CA92">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不断提升</w:t>
            </w:r>
          </w:p>
        </w:tc>
      </w:tr>
      <w:tr w14:paraId="017627E1">
        <w:tblPrEx>
          <w:tblCellMar>
            <w:top w:w="0" w:type="dxa"/>
            <w:left w:w="108" w:type="dxa"/>
            <w:bottom w:w="0" w:type="dxa"/>
            <w:right w:w="108" w:type="dxa"/>
          </w:tblCellMar>
        </w:tblPrEx>
        <w:trPr>
          <w:trHeight w:val="401" w:hRule="atLeast"/>
        </w:trPr>
        <w:tc>
          <w:tcPr>
            <w:tcW w:w="1101" w:type="dxa"/>
            <w:vMerge w:val="continue"/>
            <w:tcBorders>
              <w:top w:val="nil"/>
              <w:left w:val="single" w:color="auto" w:sz="8" w:space="0"/>
              <w:bottom w:val="single" w:color="000000" w:sz="8" w:space="0"/>
              <w:right w:val="single" w:color="auto" w:sz="8" w:space="0"/>
            </w:tcBorders>
            <w:vAlign w:val="center"/>
          </w:tcPr>
          <w:p w14:paraId="55A69F3A">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restart"/>
            <w:tcBorders>
              <w:top w:val="nil"/>
              <w:left w:val="single" w:color="auto" w:sz="8" w:space="0"/>
              <w:bottom w:val="single" w:color="000000" w:sz="8" w:space="0"/>
              <w:right w:val="single" w:color="auto" w:sz="8" w:space="0"/>
            </w:tcBorders>
            <w:shd w:val="clear" w:color="auto" w:fill="auto"/>
            <w:vAlign w:val="center"/>
          </w:tcPr>
          <w:p w14:paraId="6DF318D0">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B3公交运营管理效果</w:t>
            </w:r>
          </w:p>
        </w:tc>
        <w:tc>
          <w:tcPr>
            <w:tcW w:w="3109" w:type="dxa"/>
            <w:tcBorders>
              <w:top w:val="nil"/>
              <w:left w:val="nil"/>
              <w:bottom w:val="single" w:color="auto" w:sz="8" w:space="0"/>
              <w:right w:val="single" w:color="auto" w:sz="8" w:space="0"/>
            </w:tcBorders>
            <w:shd w:val="clear" w:color="auto" w:fill="auto"/>
            <w:vAlign w:val="center"/>
          </w:tcPr>
          <w:p w14:paraId="506E03F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公交班次准点率</w:t>
            </w:r>
          </w:p>
        </w:tc>
        <w:tc>
          <w:tcPr>
            <w:tcW w:w="2006" w:type="dxa"/>
            <w:tcBorders>
              <w:top w:val="nil"/>
              <w:left w:val="nil"/>
              <w:bottom w:val="single" w:color="auto" w:sz="8" w:space="0"/>
              <w:right w:val="single" w:color="auto" w:sz="8" w:space="0"/>
            </w:tcBorders>
            <w:shd w:val="clear" w:color="auto" w:fill="auto"/>
            <w:vAlign w:val="center"/>
          </w:tcPr>
          <w:p w14:paraId="32A70747">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80%</w:t>
            </w:r>
          </w:p>
        </w:tc>
      </w:tr>
      <w:tr w14:paraId="3A6C2CBD">
        <w:tblPrEx>
          <w:tblCellMar>
            <w:top w:w="0" w:type="dxa"/>
            <w:left w:w="108" w:type="dxa"/>
            <w:bottom w:w="0" w:type="dxa"/>
            <w:right w:w="108" w:type="dxa"/>
          </w:tblCellMar>
        </w:tblPrEx>
        <w:trPr>
          <w:trHeight w:val="534" w:hRule="atLeast"/>
        </w:trPr>
        <w:tc>
          <w:tcPr>
            <w:tcW w:w="1101" w:type="dxa"/>
            <w:vMerge w:val="continue"/>
            <w:tcBorders>
              <w:top w:val="nil"/>
              <w:left w:val="single" w:color="auto" w:sz="8" w:space="0"/>
              <w:bottom w:val="single" w:color="000000" w:sz="8" w:space="0"/>
              <w:right w:val="single" w:color="auto" w:sz="8" w:space="0"/>
            </w:tcBorders>
            <w:vAlign w:val="center"/>
          </w:tcPr>
          <w:p w14:paraId="17A471E2">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14:paraId="7A9C5F0F">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single" w:color="auto" w:sz="8" w:space="0"/>
              <w:bottom w:val="single" w:color="000000" w:sz="8" w:space="0"/>
              <w:right w:val="single" w:color="auto" w:sz="8" w:space="0"/>
            </w:tcBorders>
            <w:shd w:val="clear" w:color="auto" w:fill="auto"/>
            <w:vAlign w:val="center"/>
          </w:tcPr>
          <w:p w14:paraId="37527B0D">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百万车公里交通事故发生率</w:t>
            </w:r>
          </w:p>
        </w:tc>
        <w:tc>
          <w:tcPr>
            <w:tcW w:w="2006" w:type="dxa"/>
            <w:tcBorders>
              <w:top w:val="nil"/>
              <w:left w:val="nil"/>
              <w:bottom w:val="single" w:color="auto" w:sz="8" w:space="0"/>
              <w:right w:val="single" w:color="auto" w:sz="8" w:space="0"/>
            </w:tcBorders>
            <w:shd w:val="clear" w:color="auto" w:fill="auto"/>
            <w:vAlign w:val="center"/>
          </w:tcPr>
          <w:p w14:paraId="4FF4FC99">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≤1次/百万车公里</w:t>
            </w:r>
          </w:p>
        </w:tc>
      </w:tr>
      <w:tr w14:paraId="2F584B44">
        <w:tblPrEx>
          <w:tblCellMar>
            <w:top w:w="0" w:type="dxa"/>
            <w:left w:w="108" w:type="dxa"/>
            <w:bottom w:w="0" w:type="dxa"/>
            <w:right w:w="108" w:type="dxa"/>
          </w:tblCellMar>
        </w:tblPrEx>
        <w:trPr>
          <w:trHeight w:val="684" w:hRule="atLeast"/>
        </w:trPr>
        <w:tc>
          <w:tcPr>
            <w:tcW w:w="1101" w:type="dxa"/>
            <w:vMerge w:val="continue"/>
            <w:tcBorders>
              <w:top w:val="nil"/>
              <w:left w:val="single" w:color="auto" w:sz="8" w:space="0"/>
              <w:bottom w:val="single" w:color="000000" w:sz="8" w:space="0"/>
              <w:right w:val="single" w:color="auto" w:sz="8" w:space="0"/>
            </w:tcBorders>
            <w:vAlign w:val="center"/>
          </w:tcPr>
          <w:p w14:paraId="7604A362">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14:paraId="6F93656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single" w:color="auto" w:sz="8" w:space="0"/>
              <w:bottom w:val="single" w:color="000000" w:sz="8" w:space="0"/>
              <w:right w:val="single" w:color="auto" w:sz="8" w:space="0"/>
            </w:tcBorders>
            <w:shd w:val="clear" w:color="auto" w:fill="auto"/>
            <w:vAlign w:val="center"/>
          </w:tcPr>
          <w:p w14:paraId="1B8E2AB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百万车公里事故死亡率</w:t>
            </w:r>
          </w:p>
        </w:tc>
        <w:tc>
          <w:tcPr>
            <w:tcW w:w="2006" w:type="dxa"/>
            <w:tcBorders>
              <w:top w:val="nil"/>
              <w:left w:val="nil"/>
              <w:bottom w:val="single" w:color="auto" w:sz="8" w:space="0"/>
              <w:right w:val="single" w:color="auto" w:sz="8" w:space="0"/>
            </w:tcBorders>
            <w:shd w:val="clear" w:color="auto" w:fill="auto"/>
            <w:vAlign w:val="center"/>
          </w:tcPr>
          <w:p w14:paraId="2A0B65A0">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≤0.04人/百万车公里</w:t>
            </w:r>
          </w:p>
        </w:tc>
      </w:tr>
      <w:tr w14:paraId="086C7B27">
        <w:tblPrEx>
          <w:tblCellMar>
            <w:top w:w="0" w:type="dxa"/>
            <w:left w:w="108" w:type="dxa"/>
            <w:bottom w:w="0" w:type="dxa"/>
            <w:right w:w="108" w:type="dxa"/>
          </w:tblCellMar>
        </w:tblPrEx>
        <w:trPr>
          <w:trHeight w:val="400" w:hRule="atLeast"/>
        </w:trPr>
        <w:tc>
          <w:tcPr>
            <w:tcW w:w="1101" w:type="dxa"/>
            <w:vMerge w:val="continue"/>
            <w:tcBorders>
              <w:top w:val="nil"/>
              <w:left w:val="single" w:color="auto" w:sz="8" w:space="0"/>
              <w:bottom w:val="single" w:color="000000" w:sz="8" w:space="0"/>
              <w:right w:val="single" w:color="auto" w:sz="8" w:space="0"/>
            </w:tcBorders>
            <w:vAlign w:val="center"/>
          </w:tcPr>
          <w:p w14:paraId="694B16B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14:paraId="5CF92D15">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vMerge w:val="restart"/>
            <w:tcBorders>
              <w:top w:val="nil"/>
              <w:left w:val="single" w:color="auto" w:sz="8" w:space="0"/>
              <w:bottom w:val="single" w:color="000000" w:sz="8" w:space="0"/>
              <w:right w:val="single" w:color="auto" w:sz="8" w:space="0"/>
            </w:tcBorders>
            <w:shd w:val="clear" w:color="auto" w:fill="auto"/>
            <w:vAlign w:val="center"/>
          </w:tcPr>
          <w:p w14:paraId="3114483B">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千车日总数违章违纪发生率</w:t>
            </w:r>
          </w:p>
        </w:tc>
        <w:tc>
          <w:tcPr>
            <w:tcW w:w="2006" w:type="dxa"/>
            <w:vMerge w:val="restart"/>
            <w:tcBorders>
              <w:top w:val="nil"/>
              <w:left w:val="single" w:color="auto" w:sz="8" w:space="0"/>
              <w:bottom w:val="single" w:color="000000" w:sz="8" w:space="0"/>
              <w:right w:val="single" w:color="auto" w:sz="8" w:space="0"/>
            </w:tcBorders>
            <w:shd w:val="clear" w:color="auto" w:fill="auto"/>
            <w:vAlign w:val="center"/>
          </w:tcPr>
          <w:p w14:paraId="54F4B043">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≤2次/千车日总数</w:t>
            </w:r>
          </w:p>
        </w:tc>
      </w:tr>
      <w:tr w14:paraId="19E758B2">
        <w:tblPrEx>
          <w:tblCellMar>
            <w:top w:w="0" w:type="dxa"/>
            <w:left w:w="108" w:type="dxa"/>
            <w:bottom w:w="0" w:type="dxa"/>
            <w:right w:w="108" w:type="dxa"/>
          </w:tblCellMar>
        </w:tblPrEx>
        <w:trPr>
          <w:trHeight w:val="400" w:hRule="atLeast"/>
        </w:trPr>
        <w:tc>
          <w:tcPr>
            <w:tcW w:w="1101" w:type="dxa"/>
            <w:vMerge w:val="continue"/>
            <w:tcBorders>
              <w:top w:val="nil"/>
              <w:left w:val="single" w:color="auto" w:sz="8" w:space="0"/>
              <w:bottom w:val="single" w:color="000000" w:sz="8" w:space="0"/>
              <w:right w:val="single" w:color="auto" w:sz="8" w:space="0"/>
            </w:tcBorders>
            <w:vAlign w:val="center"/>
          </w:tcPr>
          <w:p w14:paraId="1EBE1A77">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14:paraId="0F11050E">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vMerge w:val="continue"/>
            <w:tcBorders>
              <w:top w:val="nil"/>
              <w:left w:val="single" w:color="auto" w:sz="8" w:space="0"/>
              <w:bottom w:val="single" w:color="000000" w:sz="8" w:space="0"/>
              <w:right w:val="single" w:color="auto" w:sz="8" w:space="0"/>
            </w:tcBorders>
            <w:vAlign w:val="center"/>
          </w:tcPr>
          <w:p w14:paraId="35D5022D">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006" w:type="dxa"/>
            <w:vMerge w:val="continue"/>
            <w:tcBorders>
              <w:top w:val="nil"/>
              <w:left w:val="single" w:color="auto" w:sz="8" w:space="0"/>
              <w:bottom w:val="single" w:color="000000" w:sz="8" w:space="0"/>
              <w:right w:val="single" w:color="auto" w:sz="8" w:space="0"/>
            </w:tcBorders>
            <w:vAlign w:val="center"/>
          </w:tcPr>
          <w:p w14:paraId="2028104A">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p>
        </w:tc>
      </w:tr>
      <w:tr w14:paraId="2BB2BBC4">
        <w:tblPrEx>
          <w:tblCellMar>
            <w:top w:w="0" w:type="dxa"/>
            <w:left w:w="108" w:type="dxa"/>
            <w:bottom w:w="0" w:type="dxa"/>
            <w:right w:w="108" w:type="dxa"/>
          </w:tblCellMar>
        </w:tblPrEx>
        <w:trPr>
          <w:trHeight w:val="400" w:hRule="atLeast"/>
        </w:trPr>
        <w:tc>
          <w:tcPr>
            <w:tcW w:w="1101" w:type="dxa"/>
            <w:vMerge w:val="continue"/>
            <w:tcBorders>
              <w:top w:val="nil"/>
              <w:left w:val="single" w:color="auto" w:sz="8" w:space="0"/>
              <w:bottom w:val="single" w:color="000000" w:sz="8" w:space="0"/>
              <w:right w:val="single" w:color="auto" w:sz="8" w:space="0"/>
            </w:tcBorders>
            <w:vAlign w:val="center"/>
          </w:tcPr>
          <w:p w14:paraId="5F362FB4">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14:paraId="5CE162CC">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vMerge w:val="restart"/>
            <w:tcBorders>
              <w:top w:val="nil"/>
              <w:left w:val="single" w:color="auto" w:sz="8" w:space="0"/>
              <w:bottom w:val="single" w:color="000000" w:sz="8" w:space="0"/>
              <w:right w:val="single" w:color="auto" w:sz="8" w:space="0"/>
            </w:tcBorders>
            <w:shd w:val="clear" w:color="auto" w:fill="auto"/>
            <w:vAlign w:val="center"/>
          </w:tcPr>
          <w:p w14:paraId="0C6E217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百万人次乘客有责投诉率</w:t>
            </w:r>
          </w:p>
        </w:tc>
        <w:tc>
          <w:tcPr>
            <w:tcW w:w="2006" w:type="dxa"/>
            <w:vMerge w:val="restart"/>
            <w:tcBorders>
              <w:top w:val="nil"/>
              <w:left w:val="single" w:color="auto" w:sz="8" w:space="0"/>
              <w:bottom w:val="single" w:color="000000" w:sz="8" w:space="0"/>
              <w:right w:val="single" w:color="auto" w:sz="8" w:space="0"/>
            </w:tcBorders>
            <w:shd w:val="clear" w:color="auto" w:fill="auto"/>
            <w:vAlign w:val="center"/>
          </w:tcPr>
          <w:p w14:paraId="42AFA06D">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≤5次/百万人次</w:t>
            </w:r>
          </w:p>
        </w:tc>
      </w:tr>
      <w:tr w14:paraId="222B8665">
        <w:tblPrEx>
          <w:tblCellMar>
            <w:top w:w="0" w:type="dxa"/>
            <w:left w:w="108" w:type="dxa"/>
            <w:bottom w:w="0" w:type="dxa"/>
            <w:right w:w="108" w:type="dxa"/>
          </w:tblCellMar>
        </w:tblPrEx>
        <w:trPr>
          <w:trHeight w:val="360" w:hRule="atLeast"/>
        </w:trPr>
        <w:tc>
          <w:tcPr>
            <w:tcW w:w="1101" w:type="dxa"/>
            <w:vMerge w:val="continue"/>
            <w:tcBorders>
              <w:top w:val="nil"/>
              <w:left w:val="single" w:color="auto" w:sz="8" w:space="0"/>
              <w:bottom w:val="single" w:color="000000" w:sz="8" w:space="0"/>
              <w:right w:val="single" w:color="auto" w:sz="8" w:space="0"/>
            </w:tcBorders>
            <w:vAlign w:val="center"/>
          </w:tcPr>
          <w:p w14:paraId="34A47215">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14:paraId="3A0504C5">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vMerge w:val="continue"/>
            <w:tcBorders>
              <w:top w:val="nil"/>
              <w:left w:val="single" w:color="auto" w:sz="8" w:space="0"/>
              <w:bottom w:val="single" w:color="000000" w:sz="8" w:space="0"/>
              <w:right w:val="single" w:color="auto" w:sz="8" w:space="0"/>
            </w:tcBorders>
          </w:tcPr>
          <w:p w14:paraId="4CECA329">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006" w:type="dxa"/>
            <w:vMerge w:val="continue"/>
            <w:tcBorders>
              <w:top w:val="nil"/>
              <w:left w:val="single" w:color="auto" w:sz="8" w:space="0"/>
              <w:bottom w:val="single" w:color="000000" w:sz="8" w:space="0"/>
              <w:right w:val="single" w:color="auto" w:sz="8" w:space="0"/>
            </w:tcBorders>
            <w:vAlign w:val="center"/>
          </w:tcPr>
          <w:p w14:paraId="6E47842F">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r>
      <w:tr w14:paraId="7820C243">
        <w:tblPrEx>
          <w:tblCellMar>
            <w:top w:w="0" w:type="dxa"/>
            <w:left w:w="108" w:type="dxa"/>
            <w:bottom w:w="0" w:type="dxa"/>
            <w:right w:w="108" w:type="dxa"/>
          </w:tblCellMar>
        </w:tblPrEx>
        <w:trPr>
          <w:trHeight w:val="576" w:hRule="atLeast"/>
        </w:trPr>
        <w:tc>
          <w:tcPr>
            <w:tcW w:w="1101" w:type="dxa"/>
            <w:vMerge w:val="continue"/>
            <w:tcBorders>
              <w:top w:val="nil"/>
              <w:left w:val="single" w:color="auto" w:sz="8" w:space="0"/>
              <w:bottom w:val="single" w:color="000000" w:sz="8" w:space="0"/>
              <w:right w:val="single" w:color="auto" w:sz="8" w:space="0"/>
            </w:tcBorders>
            <w:vAlign w:val="center"/>
          </w:tcPr>
          <w:p w14:paraId="2C6CAE2A">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tcBorders>
              <w:top w:val="nil"/>
              <w:left w:val="nil"/>
              <w:bottom w:val="single" w:color="auto" w:sz="8" w:space="0"/>
              <w:right w:val="single" w:color="auto" w:sz="8" w:space="0"/>
            </w:tcBorders>
            <w:shd w:val="clear" w:color="auto" w:fill="auto"/>
            <w:vAlign w:val="center"/>
          </w:tcPr>
          <w:p w14:paraId="3F9AE5BD">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B4车辆运行维护效果</w:t>
            </w:r>
          </w:p>
        </w:tc>
        <w:tc>
          <w:tcPr>
            <w:tcW w:w="3109" w:type="dxa"/>
            <w:tcBorders>
              <w:top w:val="nil"/>
              <w:left w:val="nil"/>
              <w:bottom w:val="single" w:color="auto" w:sz="8" w:space="0"/>
              <w:right w:val="single" w:color="auto" w:sz="8" w:space="0"/>
            </w:tcBorders>
            <w:shd w:val="clear" w:color="auto" w:fill="auto"/>
            <w:vAlign w:val="center"/>
          </w:tcPr>
          <w:p w14:paraId="458694E7">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百万车公里中途故障率</w:t>
            </w:r>
          </w:p>
        </w:tc>
        <w:tc>
          <w:tcPr>
            <w:tcW w:w="2006" w:type="dxa"/>
            <w:tcBorders>
              <w:top w:val="nil"/>
              <w:left w:val="nil"/>
              <w:bottom w:val="single" w:color="auto" w:sz="8" w:space="0"/>
              <w:right w:val="single" w:color="auto" w:sz="8" w:space="0"/>
            </w:tcBorders>
            <w:shd w:val="clear" w:color="auto" w:fill="auto"/>
            <w:vAlign w:val="center"/>
          </w:tcPr>
          <w:p w14:paraId="02B2AAEE">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≤5次/百万车公里</w:t>
            </w:r>
          </w:p>
        </w:tc>
      </w:tr>
      <w:tr w14:paraId="08C234EB">
        <w:tblPrEx>
          <w:tblCellMar>
            <w:top w:w="0" w:type="dxa"/>
            <w:left w:w="108" w:type="dxa"/>
            <w:bottom w:w="0" w:type="dxa"/>
            <w:right w:w="108" w:type="dxa"/>
          </w:tblCellMar>
        </w:tblPrEx>
        <w:trPr>
          <w:trHeight w:val="544" w:hRule="atLeast"/>
        </w:trPr>
        <w:tc>
          <w:tcPr>
            <w:tcW w:w="1101" w:type="dxa"/>
            <w:vMerge w:val="continue"/>
            <w:tcBorders>
              <w:top w:val="nil"/>
              <w:left w:val="single" w:color="auto" w:sz="8" w:space="0"/>
              <w:bottom w:val="single" w:color="000000" w:sz="8" w:space="0"/>
              <w:right w:val="single" w:color="auto" w:sz="8" w:space="0"/>
            </w:tcBorders>
            <w:vAlign w:val="center"/>
          </w:tcPr>
          <w:p w14:paraId="0F04E7A9">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restart"/>
            <w:tcBorders>
              <w:top w:val="nil"/>
              <w:left w:val="single" w:color="auto" w:sz="8" w:space="0"/>
              <w:bottom w:val="single" w:color="000000" w:sz="8" w:space="0"/>
              <w:right w:val="single" w:color="auto" w:sz="8" w:space="0"/>
            </w:tcBorders>
            <w:shd w:val="clear" w:color="auto" w:fill="auto"/>
            <w:vAlign w:val="center"/>
          </w:tcPr>
          <w:p w14:paraId="0821817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B5满意度水平</w:t>
            </w:r>
          </w:p>
        </w:tc>
        <w:tc>
          <w:tcPr>
            <w:tcW w:w="3109" w:type="dxa"/>
            <w:tcBorders>
              <w:top w:val="nil"/>
              <w:left w:val="nil"/>
              <w:bottom w:val="single" w:color="auto" w:sz="8" w:space="0"/>
              <w:right w:val="single" w:color="auto" w:sz="8" w:space="0"/>
            </w:tcBorders>
            <w:shd w:val="clear" w:color="auto" w:fill="auto"/>
            <w:vAlign w:val="center"/>
          </w:tcPr>
          <w:p w14:paraId="138145E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公交企业驾驶员满意度</w:t>
            </w:r>
          </w:p>
        </w:tc>
        <w:tc>
          <w:tcPr>
            <w:tcW w:w="2006" w:type="dxa"/>
            <w:tcBorders>
              <w:top w:val="nil"/>
              <w:left w:val="nil"/>
              <w:bottom w:val="single" w:color="auto" w:sz="8" w:space="0"/>
              <w:right w:val="single" w:color="auto" w:sz="8" w:space="0"/>
            </w:tcBorders>
            <w:shd w:val="clear" w:color="auto" w:fill="auto"/>
            <w:vAlign w:val="center"/>
          </w:tcPr>
          <w:p w14:paraId="7AC24A4A">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≥85%</w:t>
            </w:r>
          </w:p>
        </w:tc>
      </w:tr>
      <w:tr w14:paraId="016CF108">
        <w:tblPrEx>
          <w:tblCellMar>
            <w:top w:w="0" w:type="dxa"/>
            <w:left w:w="108" w:type="dxa"/>
            <w:bottom w:w="0" w:type="dxa"/>
            <w:right w:w="108" w:type="dxa"/>
          </w:tblCellMar>
        </w:tblPrEx>
        <w:trPr>
          <w:trHeight w:val="529" w:hRule="atLeast"/>
        </w:trPr>
        <w:tc>
          <w:tcPr>
            <w:tcW w:w="1101" w:type="dxa"/>
            <w:vMerge w:val="continue"/>
            <w:tcBorders>
              <w:top w:val="nil"/>
              <w:left w:val="single" w:color="auto" w:sz="8" w:space="0"/>
              <w:bottom w:val="single" w:color="000000" w:sz="8" w:space="0"/>
              <w:right w:val="single" w:color="auto" w:sz="8" w:space="0"/>
            </w:tcBorders>
            <w:vAlign w:val="center"/>
          </w:tcPr>
          <w:p w14:paraId="44C15F02">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306" w:type="dxa"/>
            <w:vMerge w:val="continue"/>
            <w:tcBorders>
              <w:top w:val="nil"/>
              <w:left w:val="single" w:color="auto" w:sz="8" w:space="0"/>
              <w:bottom w:val="single" w:color="000000" w:sz="8" w:space="0"/>
              <w:right w:val="single" w:color="auto" w:sz="8" w:space="0"/>
            </w:tcBorders>
            <w:vAlign w:val="center"/>
          </w:tcPr>
          <w:p w14:paraId="5A4A53AF">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3109" w:type="dxa"/>
            <w:tcBorders>
              <w:top w:val="nil"/>
              <w:left w:val="nil"/>
              <w:bottom w:val="single" w:color="auto" w:sz="8" w:space="0"/>
              <w:right w:val="single" w:color="auto" w:sz="8" w:space="0"/>
            </w:tcBorders>
            <w:shd w:val="clear" w:color="auto" w:fill="auto"/>
            <w:vAlign w:val="center"/>
          </w:tcPr>
          <w:p w14:paraId="5F8EF17D">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居民满意度</w:t>
            </w:r>
          </w:p>
        </w:tc>
        <w:tc>
          <w:tcPr>
            <w:tcW w:w="2006" w:type="dxa"/>
            <w:tcBorders>
              <w:top w:val="nil"/>
              <w:left w:val="nil"/>
              <w:bottom w:val="single" w:color="auto" w:sz="8" w:space="0"/>
              <w:right w:val="single" w:color="auto" w:sz="8" w:space="0"/>
            </w:tcBorders>
            <w:shd w:val="clear" w:color="auto" w:fill="auto"/>
            <w:vAlign w:val="center"/>
          </w:tcPr>
          <w:p w14:paraId="58F7BDF1">
            <w:pPr>
              <w:tabs>
                <w:tab w:val="left" w:pos="4881"/>
              </w:tabs>
              <w:adjustRightInd w:val="0"/>
              <w:snapToGrid w:val="0"/>
              <w:spacing w:line="400" w:lineRule="exact"/>
              <w:jc w:val="center"/>
              <w:rPr>
                <w:rFonts w:ascii="仿宋_GB2312" w:hAnsi="Times New Roman" w:eastAsia="仿宋_GB2312" w:cs="Times New Roman"/>
                <w:bCs/>
                <w:color w:val="000000"/>
                <w:kern w:val="0"/>
                <w:szCs w:val="21"/>
              </w:rPr>
            </w:pPr>
            <w:r>
              <w:rPr>
                <w:rFonts w:hint="eastAsia" w:ascii="仿宋_GB2312" w:hAnsi="Times New Roman" w:eastAsia="仿宋_GB2312" w:cs="Times New Roman"/>
                <w:bCs/>
                <w:color w:val="000000"/>
                <w:kern w:val="0"/>
                <w:szCs w:val="21"/>
              </w:rPr>
              <w:t>≥85%</w:t>
            </w:r>
          </w:p>
        </w:tc>
      </w:tr>
    </w:tbl>
    <w:p w14:paraId="5ABBF932">
      <w:pPr>
        <w:pStyle w:val="18"/>
        <w:rPr>
          <w:rFonts w:ascii="Times New Roman" w:hAnsi="Times New Roman" w:eastAsia="仿宋_GB2312"/>
          <w:b/>
        </w:rPr>
      </w:pPr>
      <w:bookmarkStart w:id="10" w:name="_Toc25166466"/>
      <w:r>
        <w:rPr>
          <w:rFonts w:ascii="Times New Roman" w:hAnsi="Times New Roman" w:eastAsia="仿宋_GB2312"/>
          <w:b/>
        </w:rPr>
        <w:t>二、评价工作开展情况</w:t>
      </w:r>
      <w:bookmarkEnd w:id="10"/>
    </w:p>
    <w:p w14:paraId="15B5E826">
      <w:pPr>
        <w:pStyle w:val="20"/>
        <w:ind w:firstLine="562"/>
      </w:pPr>
      <w:bookmarkStart w:id="11" w:name="_Toc25166467"/>
      <w:r>
        <w:t>（一）评价目的和依据</w:t>
      </w:r>
      <w:bookmarkEnd w:id="11"/>
    </w:p>
    <w:p w14:paraId="2B3985BF">
      <w:pPr>
        <w:pStyle w:val="19"/>
        <w:ind w:firstLine="562"/>
        <w:rPr>
          <w:b/>
        </w:rPr>
      </w:pPr>
      <w:r>
        <w:rPr>
          <w:b/>
        </w:rPr>
        <w:t>1.评价目的</w:t>
      </w:r>
    </w:p>
    <w:p w14:paraId="4C4DD71C">
      <w:pPr>
        <w:pStyle w:val="19"/>
      </w:pPr>
      <w:r>
        <w:t>财政支出绩效评价是提高公共服务质量、提升公共支出有效性的手段，主要通过指标设计和量化分析检验公共支出的效果，从项目决策、项目管理、项目产出和效果等方面，综合考察项目的完成情况、取得的成绩及效益，分析政府管理过程中的问题及原因并针对性地提出政策建议。</w:t>
      </w:r>
    </w:p>
    <w:p w14:paraId="34D97F4F">
      <w:pPr>
        <w:pStyle w:val="19"/>
      </w:pPr>
      <w:r>
        <w:t>本次评价的主要目的是</w:t>
      </w:r>
      <w:r>
        <w:rPr>
          <w:rFonts w:hint="eastAsia"/>
        </w:rPr>
        <w:t>对2</w:t>
      </w:r>
      <w:r>
        <w:t>016</w:t>
      </w:r>
      <w:r>
        <w:rPr>
          <w:rFonts w:hint="eastAsia"/>
        </w:rPr>
        <w:t>年至2</w:t>
      </w:r>
      <w:r>
        <w:t>018</w:t>
      </w:r>
      <w:r>
        <w:rPr>
          <w:rFonts w:hint="eastAsia"/>
        </w:rPr>
        <w:t>年滑县公交发展中财政补贴资金进行追踪问效，全面衡量滑县公交运营财政补贴资金经济性、效率性和效益性，通过综合评价分析公交运营财政补贴合理性、公交运营管理成本控制有效性和公交运营服务质量，完善公交运营财政补贴机制，提升公交公司成本控制与运营质量提升能动性，促进滑县公交事业健康可持续发展。</w:t>
      </w:r>
    </w:p>
    <w:p w14:paraId="45D350DE">
      <w:pPr>
        <w:pStyle w:val="19"/>
        <w:ind w:firstLine="562"/>
        <w:rPr>
          <w:b/>
        </w:rPr>
      </w:pPr>
      <w:r>
        <w:rPr>
          <w:b/>
        </w:rPr>
        <w:t>2.评价依据</w:t>
      </w:r>
    </w:p>
    <w:p w14:paraId="6C89E019">
      <w:pPr>
        <w:pStyle w:val="19"/>
      </w:pPr>
      <w:r>
        <w:t>评价依据包括但不限于：国家、本市相关法律、法规和方针政策、规章制度；国家、本市各级政府制定的国民经济与社会发展规划；各级财政部门制定的政策评价管理制度及工作规范；部门（单位）职能职责、中长期发展规划和年度工作计划、绩效目标；相关行业政策、行业标准及专业技术规范等。</w:t>
      </w:r>
    </w:p>
    <w:p w14:paraId="635DB22B">
      <w:pPr>
        <w:pStyle w:val="19"/>
      </w:pPr>
      <w:r>
        <w:t>本次“滑县公交绩效评价项目”的依据主要如下：</w:t>
      </w:r>
    </w:p>
    <w:p w14:paraId="7B80F61A">
      <w:pPr>
        <w:pStyle w:val="19"/>
        <w:ind w:firstLine="562"/>
        <w:rPr>
          <w:b/>
        </w:rPr>
      </w:pPr>
      <w:r>
        <w:rPr>
          <w:rFonts w:hint="eastAsia"/>
          <w:b/>
        </w:rPr>
        <w:t>（1）</w:t>
      </w:r>
      <w:r>
        <w:rPr>
          <w:b/>
        </w:rPr>
        <w:t>预算绩效管理类</w:t>
      </w:r>
    </w:p>
    <w:p w14:paraId="0F1CF3F1">
      <w:pPr>
        <w:pStyle w:val="19"/>
        <w:numPr>
          <w:ilvl w:val="0"/>
          <w:numId w:val="3"/>
        </w:numPr>
        <w:ind w:firstLineChars="0"/>
      </w:pPr>
      <w:r>
        <w:t>《财政支出绩效评价管理暂行办法》（财预〔2011〕285号）；</w:t>
      </w:r>
    </w:p>
    <w:p w14:paraId="23A79EF8">
      <w:pPr>
        <w:pStyle w:val="19"/>
        <w:numPr>
          <w:ilvl w:val="0"/>
          <w:numId w:val="3"/>
        </w:numPr>
        <w:ind w:firstLineChars="0"/>
      </w:pPr>
      <w:r>
        <w:t>《财政部关于推进预算绩效管理的指导意见》（财预〔2011〕416号）；</w:t>
      </w:r>
    </w:p>
    <w:p w14:paraId="68AB4335">
      <w:pPr>
        <w:pStyle w:val="19"/>
        <w:numPr>
          <w:ilvl w:val="0"/>
          <w:numId w:val="3"/>
        </w:numPr>
        <w:ind w:firstLineChars="0"/>
      </w:pPr>
      <w:r>
        <w:t>《关于印发&lt;预算绩效评价共性指标体系框架&gt;的通知》（财预〔2013〕53号）；</w:t>
      </w:r>
    </w:p>
    <w:p w14:paraId="236B68C2">
      <w:pPr>
        <w:pStyle w:val="19"/>
        <w:numPr>
          <w:ilvl w:val="0"/>
          <w:numId w:val="3"/>
        </w:numPr>
        <w:ind w:firstLineChars="0"/>
      </w:pPr>
      <w:r>
        <w:t>《关于印发&lt;中央部门预算绩效目标管理办法&gt;的通知》（财预〔2015〕88号）；</w:t>
      </w:r>
    </w:p>
    <w:p w14:paraId="3C95078C">
      <w:pPr>
        <w:pStyle w:val="19"/>
        <w:numPr>
          <w:ilvl w:val="0"/>
          <w:numId w:val="3"/>
        </w:numPr>
        <w:ind w:firstLineChars="0"/>
      </w:pPr>
      <w:r>
        <w:t>《关于规范绩效评价结果等级划分标准的通知》（财预〔2017〕44号）；</w:t>
      </w:r>
    </w:p>
    <w:p w14:paraId="136A2244">
      <w:pPr>
        <w:pStyle w:val="19"/>
        <w:numPr>
          <w:ilvl w:val="0"/>
          <w:numId w:val="3"/>
        </w:numPr>
        <w:ind w:firstLineChars="0"/>
      </w:pPr>
      <w:r>
        <w:t>《关于全面实施预算绩效管理的意见》（中发〔2018〕34号）；</w:t>
      </w:r>
    </w:p>
    <w:p w14:paraId="1FB704E3">
      <w:pPr>
        <w:pStyle w:val="19"/>
        <w:numPr>
          <w:ilvl w:val="0"/>
          <w:numId w:val="3"/>
        </w:numPr>
        <w:ind w:firstLineChars="0"/>
      </w:pPr>
      <w:r>
        <w:t>《关于全面实施预算绩效管理的实施意见》（豫发〔2019〕10号）；</w:t>
      </w:r>
    </w:p>
    <w:p w14:paraId="26746543">
      <w:pPr>
        <w:pStyle w:val="19"/>
        <w:numPr>
          <w:ilvl w:val="0"/>
          <w:numId w:val="3"/>
        </w:numPr>
        <w:ind w:firstLineChars="0"/>
      </w:pPr>
      <w:r>
        <w:t>《河南省财政厅关于做好2018年省级预算绩效管理相关工作的通知》（豫财预〔2018〕235号）；</w:t>
      </w:r>
    </w:p>
    <w:p w14:paraId="1CFC0106">
      <w:pPr>
        <w:pStyle w:val="19"/>
        <w:numPr>
          <w:ilvl w:val="0"/>
          <w:numId w:val="3"/>
        </w:numPr>
        <w:ind w:firstLineChars="0"/>
      </w:pPr>
      <w:r>
        <w:t>《河南省省级预算绩效评价管理办法》（豫财预〔2019〕176号）。</w:t>
      </w:r>
    </w:p>
    <w:p w14:paraId="0455ACA6">
      <w:pPr>
        <w:pStyle w:val="19"/>
        <w:ind w:firstLine="562"/>
        <w:rPr>
          <w:b/>
        </w:rPr>
      </w:pPr>
      <w:r>
        <w:rPr>
          <w:rFonts w:hint="eastAsia"/>
          <w:b/>
        </w:rPr>
        <w:t>（2）</w:t>
      </w:r>
      <w:r>
        <w:rPr>
          <w:b/>
        </w:rPr>
        <w:t>专项业务类</w:t>
      </w:r>
    </w:p>
    <w:p w14:paraId="081599FE">
      <w:pPr>
        <w:pStyle w:val="19"/>
        <w:numPr>
          <w:ilvl w:val="0"/>
          <w:numId w:val="4"/>
        </w:numPr>
        <w:ind w:firstLineChars="0"/>
      </w:pPr>
      <w:r>
        <w:t>《城市公共交通“十三五”发展纲要》；</w:t>
      </w:r>
    </w:p>
    <w:p w14:paraId="3AFBECC8">
      <w:pPr>
        <w:pStyle w:val="19"/>
        <w:numPr>
          <w:ilvl w:val="0"/>
          <w:numId w:val="4"/>
        </w:numPr>
        <w:ind w:firstLineChars="0"/>
      </w:pPr>
      <w:r>
        <w:t>《国务院关于城市优先发展公共交通的指导意见》国发〔2012〕64号；</w:t>
      </w:r>
    </w:p>
    <w:p w14:paraId="7F52B71B">
      <w:pPr>
        <w:pStyle w:val="19"/>
        <w:numPr>
          <w:ilvl w:val="0"/>
          <w:numId w:val="4"/>
        </w:numPr>
        <w:ind w:firstLineChars="0"/>
      </w:pPr>
      <w:r>
        <w:t>《河南省人民政府关于城市优先发展公共交通的实施意见》豫政〔2014〕66号；</w:t>
      </w:r>
    </w:p>
    <w:p w14:paraId="39289B42">
      <w:pPr>
        <w:pStyle w:val="19"/>
        <w:numPr>
          <w:ilvl w:val="0"/>
          <w:numId w:val="4"/>
        </w:numPr>
        <w:ind w:firstLineChars="0"/>
      </w:pPr>
      <w:r>
        <w:t>《关于印发河南省城乡道路客运一体化发展试点工作方案通知》（豫交文〔2014〕339号；</w:t>
      </w:r>
    </w:p>
    <w:p w14:paraId="08D875AD">
      <w:pPr>
        <w:pStyle w:val="19"/>
        <w:numPr>
          <w:ilvl w:val="0"/>
          <w:numId w:val="4"/>
        </w:numPr>
        <w:ind w:firstLineChars="0"/>
      </w:pPr>
      <w:r>
        <w:t>《滑县人民政府关于城市优先发展公共交通实施意见》；</w:t>
      </w:r>
    </w:p>
    <w:p w14:paraId="62933FBD">
      <w:pPr>
        <w:pStyle w:val="19"/>
        <w:numPr>
          <w:ilvl w:val="0"/>
          <w:numId w:val="4"/>
        </w:numPr>
        <w:ind w:firstLineChars="0"/>
      </w:pPr>
      <w:r>
        <w:t>《滑县城市公共交通专项规划(2015-2030)》等。</w:t>
      </w:r>
    </w:p>
    <w:p w14:paraId="292931A4">
      <w:pPr>
        <w:pStyle w:val="20"/>
        <w:ind w:firstLine="562"/>
      </w:pPr>
      <w:bookmarkStart w:id="12" w:name="_Toc25166468"/>
      <w:r>
        <w:t>（二）评价思路和方法</w:t>
      </w:r>
      <w:bookmarkEnd w:id="12"/>
    </w:p>
    <w:p w14:paraId="50E4E44E">
      <w:pPr>
        <w:pStyle w:val="19"/>
      </w:pPr>
      <w:r>
        <w:t>本次评价根据指标体系评分完成。指标体系的最终确定经过评价组设计、财政与主管部门讨论、依据讨论意见修订等三个步骤完成。在评价过程中，通过实地考察、访谈、问卷调查等形式采集基础数据，以具有代表性与广泛性的数据，支撑指标体系的评分，进而实现客观科学的评价。</w:t>
      </w:r>
    </w:p>
    <w:p w14:paraId="33F7A857">
      <w:pPr>
        <w:pStyle w:val="19"/>
      </w:pPr>
      <w:r>
        <w:t>本次评价运用文献法、社会调查法、因素分析法等方法，同时通过文献资料搜索、多因素分析来支撑评价的逻辑紧密性与客观性。本次评价坚持定量优先、定量与定性相结合的方式，始终遵循科学规范、公正公开、分级分类、绩效相关的基本原则。</w:t>
      </w:r>
    </w:p>
    <w:p w14:paraId="3109CF17">
      <w:pPr>
        <w:pStyle w:val="20"/>
        <w:ind w:firstLine="562"/>
      </w:pPr>
      <w:bookmarkStart w:id="13" w:name="_Toc25166469"/>
      <w:r>
        <w:t>（三）评价实施过程</w:t>
      </w:r>
      <w:bookmarkEnd w:id="13"/>
    </w:p>
    <w:p w14:paraId="21DE3A45">
      <w:pPr>
        <w:pStyle w:val="19"/>
      </w:pPr>
      <w:r>
        <w:t>本次项目评价程序共包括前期准备、现场实施、分析评价、形成报告四个阶段，评价期间为2019年7月15日至2019年9月30日，各阶段工作内容及时间安排如下：</w:t>
      </w:r>
    </w:p>
    <w:p w14:paraId="472986FB">
      <w:pPr>
        <w:pStyle w:val="21"/>
      </w:pPr>
      <w:r>
        <w:t>表4-1 评价进度及时间安排</w:t>
      </w:r>
    </w:p>
    <w:tbl>
      <w:tblPr>
        <w:tblStyle w:val="1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851"/>
        <w:gridCol w:w="4048"/>
      </w:tblGrid>
      <w:tr w14:paraId="36C6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704" w:type="dxa"/>
            <w:tcBorders>
              <w:top w:val="single" w:color="auto" w:sz="4" w:space="0"/>
              <w:left w:val="single" w:color="auto" w:sz="4" w:space="0"/>
              <w:right w:val="single" w:color="auto" w:sz="4" w:space="0"/>
            </w:tcBorders>
            <w:shd w:val="clear" w:color="auto" w:fill="BEBEBE" w:themeFill="background1" w:themeFillShade="BF"/>
            <w:vAlign w:val="center"/>
          </w:tcPr>
          <w:p w14:paraId="5DE43AC7">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阶段</w:t>
            </w:r>
          </w:p>
        </w:tc>
        <w:tc>
          <w:tcPr>
            <w:tcW w:w="7592"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5E19D36">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时间安排及工作流程</w:t>
            </w:r>
          </w:p>
        </w:tc>
      </w:tr>
      <w:tr w14:paraId="52828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restart"/>
            <w:tcBorders>
              <w:top w:val="single" w:color="auto" w:sz="4" w:space="0"/>
              <w:left w:val="single" w:color="auto" w:sz="4" w:space="0"/>
              <w:right w:val="single" w:color="auto" w:sz="4" w:space="0"/>
            </w:tcBorders>
            <w:shd w:val="clear" w:color="auto" w:fill="auto"/>
            <w:vAlign w:val="center"/>
          </w:tcPr>
          <w:p w14:paraId="021843B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前期工作阶段</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86017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前期准备和调研</w:t>
            </w:r>
          </w:p>
          <w:p w14:paraId="649B0CE0">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（2019/7/15-2019/7/30）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6994ABB">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1.1</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056CA675">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评价小组成立</w:t>
            </w:r>
          </w:p>
        </w:tc>
      </w:tr>
      <w:tr w14:paraId="5897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14:paraId="5B1C113B">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554BC5">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79CDEBD">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1.2</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188A2E1D">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制定调研提纲</w:t>
            </w:r>
          </w:p>
        </w:tc>
      </w:tr>
      <w:tr w14:paraId="05AB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14:paraId="4E0369E0">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ED172C">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FABB5B">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1.3</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7C1F164A">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开展前期调研</w:t>
            </w:r>
          </w:p>
        </w:tc>
      </w:tr>
      <w:tr w14:paraId="3658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4" w:type="dxa"/>
            <w:vMerge w:val="continue"/>
            <w:tcBorders>
              <w:left w:val="single" w:color="auto" w:sz="4" w:space="0"/>
              <w:right w:val="single" w:color="auto" w:sz="4" w:space="0"/>
            </w:tcBorders>
            <w:shd w:val="clear" w:color="auto" w:fill="auto"/>
            <w:vAlign w:val="center"/>
          </w:tcPr>
          <w:p w14:paraId="3692DAA2">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4066B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工作方案制定及论证</w:t>
            </w:r>
          </w:p>
          <w:p w14:paraId="4BBB7DF8">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（2019/8/1-2019/8/15）</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69BEC3A">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2.1</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38E2C5A5">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围绕绩效目标，形成评价指标体系初稿</w:t>
            </w:r>
          </w:p>
        </w:tc>
      </w:tr>
      <w:tr w14:paraId="3879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04" w:type="dxa"/>
            <w:vMerge w:val="continue"/>
            <w:tcBorders>
              <w:left w:val="single" w:color="auto" w:sz="4" w:space="0"/>
              <w:right w:val="single" w:color="auto" w:sz="4" w:space="0"/>
            </w:tcBorders>
            <w:shd w:val="clear" w:color="auto" w:fill="auto"/>
            <w:vAlign w:val="center"/>
          </w:tcPr>
          <w:p w14:paraId="7E74007F">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652317">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A0C04AC">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2.2</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5FE8B95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指标体系修改及定稿</w:t>
            </w:r>
          </w:p>
        </w:tc>
      </w:tr>
      <w:tr w14:paraId="40F8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14:paraId="2352EE6C">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759DA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3B73CF4">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2.3</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6CB01D2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撰写工作方案</w:t>
            </w:r>
          </w:p>
        </w:tc>
      </w:tr>
      <w:tr w14:paraId="6680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14:paraId="4EF2D3C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D983AE">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00A6FA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2.4</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5F19ADE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工作方案论证</w:t>
            </w:r>
          </w:p>
        </w:tc>
      </w:tr>
      <w:tr w14:paraId="566F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bottom w:val="single" w:color="auto" w:sz="4" w:space="0"/>
              <w:right w:val="single" w:color="auto" w:sz="4" w:space="0"/>
            </w:tcBorders>
            <w:shd w:val="clear" w:color="auto" w:fill="auto"/>
            <w:vAlign w:val="center"/>
          </w:tcPr>
          <w:p w14:paraId="1D50119F">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C2EE9C">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20A31EE">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2.5</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7B2F86A4">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方案修改及定稿</w:t>
            </w:r>
          </w:p>
        </w:tc>
      </w:tr>
      <w:tr w14:paraId="6ED0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restart"/>
            <w:tcBorders>
              <w:top w:val="single" w:color="auto" w:sz="4" w:space="0"/>
              <w:left w:val="single" w:color="auto" w:sz="4" w:space="0"/>
              <w:right w:val="single" w:color="auto" w:sz="4" w:space="0"/>
            </w:tcBorders>
            <w:shd w:val="clear" w:color="auto" w:fill="auto"/>
            <w:vAlign w:val="center"/>
          </w:tcPr>
          <w:p w14:paraId="54BB8F5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数据采集阶段</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B7E1C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社会调研和数据采集</w:t>
            </w:r>
          </w:p>
          <w:p w14:paraId="09B8C07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（2019/8/16-2019/8/31）</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62846F8">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3.1</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385D5F10">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社会调研和数据采集工作布置</w:t>
            </w:r>
          </w:p>
        </w:tc>
      </w:tr>
      <w:tr w14:paraId="11BF5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14:paraId="30496FBE">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F63E6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1A83FDA">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3.2</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05B4BDC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访谈</w:t>
            </w:r>
          </w:p>
        </w:tc>
      </w:tr>
      <w:tr w14:paraId="4658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04" w:type="dxa"/>
            <w:vMerge w:val="continue"/>
            <w:tcBorders>
              <w:left w:val="single" w:color="auto" w:sz="4" w:space="0"/>
              <w:right w:val="single" w:color="auto" w:sz="4" w:space="0"/>
            </w:tcBorders>
            <w:shd w:val="clear" w:color="auto" w:fill="auto"/>
            <w:vAlign w:val="center"/>
          </w:tcPr>
          <w:p w14:paraId="25FC6CC8">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EF97DC">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9CCF692">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3.3</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349691D8">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数据收集</w:t>
            </w:r>
          </w:p>
        </w:tc>
      </w:tr>
      <w:tr w14:paraId="0D0D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14:paraId="5F04E2A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724A5">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1CFB3AA">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3.4</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673AB747">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问卷调查</w:t>
            </w:r>
          </w:p>
        </w:tc>
      </w:tr>
      <w:tr w14:paraId="2101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14:paraId="0588E9AC">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AEA25C">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数据整理和分析</w:t>
            </w:r>
          </w:p>
          <w:p w14:paraId="44A57E4A">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（2019/9/1- 2019/9/10）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51B4768">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4.1</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602A5498">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数据汇总和录入</w:t>
            </w:r>
          </w:p>
        </w:tc>
      </w:tr>
      <w:tr w14:paraId="3E81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14:paraId="1EB6595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5CC25D">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25081C">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4.2</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348BFD1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问卷录入</w:t>
            </w:r>
          </w:p>
        </w:tc>
      </w:tr>
      <w:tr w14:paraId="7141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04" w:type="dxa"/>
            <w:vMerge w:val="continue"/>
            <w:tcBorders>
              <w:left w:val="single" w:color="auto" w:sz="4" w:space="0"/>
              <w:bottom w:val="single" w:color="auto" w:sz="4" w:space="0"/>
              <w:right w:val="single" w:color="auto" w:sz="4" w:space="0"/>
            </w:tcBorders>
            <w:shd w:val="clear" w:color="auto" w:fill="auto"/>
            <w:vAlign w:val="center"/>
          </w:tcPr>
          <w:p w14:paraId="0C293362">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35AF20">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63F31D7">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4.3</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19B01C0F">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数据分析</w:t>
            </w:r>
          </w:p>
        </w:tc>
      </w:tr>
      <w:tr w14:paraId="0B38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restart"/>
            <w:tcBorders>
              <w:top w:val="single" w:color="auto" w:sz="4" w:space="0"/>
              <w:left w:val="single" w:color="auto" w:sz="4" w:space="0"/>
              <w:right w:val="single" w:color="auto" w:sz="4" w:space="0"/>
            </w:tcBorders>
            <w:shd w:val="clear" w:color="auto" w:fill="auto"/>
            <w:vAlign w:val="center"/>
          </w:tcPr>
          <w:p w14:paraId="0DBE6C12">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报告撰写阶段</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D3FFF4">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报告撰写</w:t>
            </w:r>
          </w:p>
          <w:p w14:paraId="3551D6F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（2019/9/11- 2019/9/20）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59715CA">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5.1</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0C94583B">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形成报告初稿</w:t>
            </w:r>
          </w:p>
        </w:tc>
      </w:tr>
      <w:tr w14:paraId="1B4E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14:paraId="3717F901">
            <w:pPr>
              <w:tabs>
                <w:tab w:val="left" w:pos="4881"/>
              </w:tabs>
              <w:adjustRightInd w:val="0"/>
              <w:snapToGrid w:val="0"/>
              <w:spacing w:line="400" w:lineRule="exact"/>
              <w:jc w:val="center"/>
              <w:rPr>
                <w:rFonts w:ascii="Times New Roman" w:hAnsi="Times New Roman" w:eastAsia="仿宋_GB2312" w:cs="Times New Roman"/>
                <w:bCs/>
                <w:color w:val="00000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036743">
            <w:pPr>
              <w:widowControl/>
              <w:tabs>
                <w:tab w:val="left" w:pos="4881"/>
              </w:tabs>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A1D941A">
            <w:pPr>
              <w:widowControl/>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5.2</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73D410FE">
            <w:pPr>
              <w:widowControl/>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报告内部修改</w:t>
            </w:r>
          </w:p>
        </w:tc>
      </w:tr>
      <w:tr w14:paraId="37BF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right w:val="single" w:color="auto" w:sz="4" w:space="0"/>
            </w:tcBorders>
            <w:shd w:val="clear" w:color="auto" w:fill="auto"/>
            <w:vAlign w:val="center"/>
          </w:tcPr>
          <w:p w14:paraId="5A02D9D3">
            <w:pPr>
              <w:tabs>
                <w:tab w:val="left" w:pos="4881"/>
              </w:tabs>
              <w:adjustRightInd w:val="0"/>
              <w:snapToGrid w:val="0"/>
              <w:spacing w:line="400" w:lineRule="exact"/>
              <w:jc w:val="center"/>
              <w:rPr>
                <w:rFonts w:ascii="Times New Roman" w:hAnsi="Times New Roman" w:eastAsia="仿宋_GB2312" w:cs="Times New Roman"/>
                <w:bCs/>
                <w:color w:val="000000"/>
                <w:szCs w:val="21"/>
              </w:rPr>
            </w:pP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C94E21D">
            <w:pPr>
              <w:tabs>
                <w:tab w:val="left" w:pos="4881"/>
              </w:tabs>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报告论证及修改</w:t>
            </w:r>
          </w:p>
          <w:p w14:paraId="405BA75C">
            <w:pPr>
              <w:tabs>
                <w:tab w:val="left" w:pos="4881"/>
              </w:tabs>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（2019/9/21- 2019/9/30）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801DF34">
            <w:pPr>
              <w:tabs>
                <w:tab w:val="left" w:pos="4881"/>
              </w:tabs>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6.1</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78778486">
            <w:pPr>
              <w:tabs>
                <w:tab w:val="left" w:pos="4881"/>
              </w:tabs>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报告论证</w:t>
            </w:r>
          </w:p>
        </w:tc>
      </w:tr>
      <w:tr w14:paraId="3918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tcBorders>
              <w:left w:val="single" w:color="auto" w:sz="4" w:space="0"/>
              <w:bottom w:val="single" w:color="auto" w:sz="4" w:space="0"/>
              <w:right w:val="single" w:color="auto" w:sz="4" w:space="0"/>
            </w:tcBorders>
            <w:shd w:val="clear" w:color="auto" w:fill="auto"/>
            <w:vAlign w:val="center"/>
          </w:tcPr>
          <w:p w14:paraId="4091FE51">
            <w:pPr>
              <w:tabs>
                <w:tab w:val="left" w:pos="4881"/>
              </w:tabs>
              <w:adjustRightInd w:val="0"/>
              <w:snapToGrid w:val="0"/>
              <w:spacing w:line="400" w:lineRule="exact"/>
              <w:jc w:val="center"/>
              <w:rPr>
                <w:rFonts w:ascii="Times New Roman" w:hAnsi="Times New Roman" w:eastAsia="仿宋_GB2312" w:cs="Times New Roman"/>
                <w:bCs/>
                <w:color w:val="000000"/>
                <w:szCs w:val="21"/>
              </w:rPr>
            </w:pPr>
          </w:p>
        </w:tc>
        <w:tc>
          <w:tcPr>
            <w:tcW w:w="26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B6851A">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EE1DFE0">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6.2</w:t>
            </w:r>
          </w:p>
        </w:tc>
        <w:tc>
          <w:tcPr>
            <w:tcW w:w="4048" w:type="dxa"/>
            <w:tcBorders>
              <w:top w:val="single" w:color="auto" w:sz="4" w:space="0"/>
              <w:left w:val="single" w:color="auto" w:sz="4" w:space="0"/>
              <w:bottom w:val="single" w:color="auto" w:sz="4" w:space="0"/>
              <w:right w:val="single" w:color="auto" w:sz="4" w:space="0"/>
            </w:tcBorders>
            <w:shd w:val="clear" w:color="auto" w:fill="auto"/>
            <w:vAlign w:val="center"/>
          </w:tcPr>
          <w:p w14:paraId="2AA81FAC">
            <w:pPr>
              <w:keepNext/>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报告修改及定稿</w:t>
            </w:r>
          </w:p>
        </w:tc>
      </w:tr>
    </w:tbl>
    <w:p w14:paraId="2FDD99E3">
      <w:pPr>
        <w:pStyle w:val="19"/>
        <w:ind w:firstLine="562"/>
        <w:rPr>
          <w:b/>
        </w:rPr>
      </w:pPr>
      <w:r>
        <w:rPr>
          <w:b/>
        </w:rPr>
        <w:t>1.前期工作阶段</w:t>
      </w:r>
    </w:p>
    <w:p w14:paraId="0173F530">
      <w:pPr>
        <w:pStyle w:val="19"/>
      </w:pPr>
      <w:r>
        <w:t>项目前期调研</w:t>
      </w:r>
      <w:bookmarkStart w:id="14" w:name="_Hlk533506556"/>
      <w:r>
        <w:t>（2019年7月15日至7月30日）。成立绩效评价小组，搜集项目资料，全面了解项目基本情况，</w:t>
      </w:r>
      <w:bookmarkEnd w:id="14"/>
      <w:r>
        <w:t>与项目有关单位进行沟通，针对项目预算、实施、绩效等情况进行调研。</w:t>
      </w:r>
    </w:p>
    <w:p w14:paraId="5F4A440D">
      <w:pPr>
        <w:pStyle w:val="19"/>
      </w:pPr>
      <w:r>
        <w:t>工作方案制定及论证（2019年8月1日至8月15日）。</w:t>
      </w:r>
      <w:bookmarkStart w:id="15" w:name="_Hlk533501537"/>
      <w:r>
        <w:t>根据前期调研材料，梳理项目背景，根据项目特点及项目绩效目标有针对性的研发设计评价指标体系、基础数据报表体系、调查问卷、访谈提纲等，并确定科学、合理的评价方法和评价标准，设计绩效评价工作整体时间表，确定工作小组人员，形成项目工作方案。根据项目特点及项目绩效目标有针对性地设计指标体系，对项目执行中存在的问题进行预估，并细化评分标准和取证所需的材料。指标体系设置完成后及时与招标方联系，由招标方确认后开展核查工作。</w:t>
      </w:r>
      <w:bookmarkEnd w:id="15"/>
    </w:p>
    <w:p w14:paraId="6B0557AB">
      <w:pPr>
        <w:pStyle w:val="19"/>
        <w:ind w:firstLine="562"/>
        <w:rPr>
          <w:b/>
        </w:rPr>
      </w:pPr>
      <w:r>
        <w:rPr>
          <w:b/>
        </w:rPr>
        <w:t>2.数据采集阶段</w:t>
      </w:r>
    </w:p>
    <w:p w14:paraId="774F56A0">
      <w:pPr>
        <w:pStyle w:val="19"/>
      </w:pPr>
      <w:bookmarkStart w:id="16" w:name="_Hlk533501604"/>
      <w:r>
        <w:t>开展社会调研及数据采集（2019年8月16日至8月31日）。与项目主管单位等相关单位协调配合，完成满意度问卷调研、实地核查、访谈调研等，通过基础表等形式进行数据采集，对绩效评价项目的所有内容进行分析判断，主要包括项目建设情况、资金使用情况、项目管理及制度制定、执行情况、项目使用情况和经济、社会、生态效益等内容，并对数据进行复核。</w:t>
      </w:r>
      <w:bookmarkEnd w:id="16"/>
    </w:p>
    <w:p w14:paraId="00452961">
      <w:pPr>
        <w:pStyle w:val="19"/>
      </w:pPr>
      <w:bookmarkStart w:id="17" w:name="_Hlk533501639"/>
      <w:r>
        <w:t>数据整理和分析（2019年9月1日至9月10日）。针对采集的数据进行整理、剔除错误数据，根据整理后的数据和一定的基准衡量指标进行数据分析，回答关键评价问题、进行原因解释。</w:t>
      </w:r>
      <w:bookmarkEnd w:id="17"/>
    </w:p>
    <w:p w14:paraId="37F01D4A">
      <w:pPr>
        <w:pStyle w:val="19"/>
        <w:ind w:firstLine="562"/>
        <w:rPr>
          <w:b/>
        </w:rPr>
      </w:pPr>
      <w:r>
        <w:rPr>
          <w:b/>
        </w:rPr>
        <w:t>3.报告撰写阶段</w:t>
      </w:r>
    </w:p>
    <w:p w14:paraId="6ADD154B">
      <w:pPr>
        <w:pStyle w:val="19"/>
      </w:pPr>
      <w:r>
        <w:t>评价报告撰写（2019年9月11日至9月20日）。依据制订的评价标准和打分规则，对项目进行量化打分。依据评价结论，撰写绩效评价报告，总结经验、分析不足，并针对存在问题提出改进建议。在2019年8月27日前形成审议稿。</w:t>
      </w:r>
    </w:p>
    <w:p w14:paraId="0135EF8E">
      <w:pPr>
        <w:pStyle w:val="19"/>
      </w:pPr>
      <w:r>
        <w:t>评价报告论证与修改（201</w:t>
      </w:r>
      <w:r>
        <w:rPr>
          <w:rFonts w:hint="eastAsia"/>
        </w:rPr>
        <w:t>9</w:t>
      </w:r>
      <w:r>
        <w:t>年9月21日至9月30日）。我司总部质量监控部门针对评价报告的可行性、全面性、简明性等提出独立、客观、公正的意见。评价小组根据提出的意见，对评价报告进行修改完善。</w:t>
      </w:r>
    </w:p>
    <w:p w14:paraId="3D7EC3C4">
      <w:pPr>
        <w:pStyle w:val="18"/>
        <w:rPr>
          <w:rFonts w:ascii="Times New Roman" w:hAnsi="Times New Roman" w:eastAsia="仿宋_GB2312"/>
          <w:b/>
        </w:rPr>
      </w:pPr>
      <w:bookmarkStart w:id="18" w:name="_Toc25166470"/>
      <w:r>
        <w:rPr>
          <w:rFonts w:ascii="Times New Roman" w:hAnsi="Times New Roman" w:eastAsia="仿宋_GB2312"/>
          <w:b/>
        </w:rPr>
        <w:t>三、</w:t>
      </w:r>
      <w:r>
        <w:rPr>
          <w:rFonts w:hint="eastAsia" w:ascii="Times New Roman" w:hAnsi="Times New Roman" w:eastAsia="仿宋_GB2312"/>
          <w:b/>
        </w:rPr>
        <w:t>评价结果</w:t>
      </w:r>
      <w:bookmarkEnd w:id="18"/>
    </w:p>
    <w:p w14:paraId="3710728B">
      <w:pPr>
        <w:pStyle w:val="20"/>
        <w:ind w:firstLine="562"/>
      </w:pPr>
      <w:bookmarkStart w:id="19" w:name="_Toc25166471"/>
      <w:r>
        <w:t>（一）</w:t>
      </w:r>
      <w:r>
        <w:rPr>
          <w:rFonts w:hint="eastAsia"/>
        </w:rPr>
        <w:t>评分结果与等级</w:t>
      </w:r>
      <w:bookmarkEnd w:id="19"/>
    </w:p>
    <w:p w14:paraId="7E304080">
      <w:pPr>
        <w:pStyle w:val="19"/>
      </w:pPr>
      <w:bookmarkStart w:id="20" w:name="_Hlk21522513"/>
      <w:r>
        <w:t>滑县财政公交补贴绩效评价指标体系的构建遵循《河南省省级预算绩效评价管理办法》（豫财预〔2019〕176号）提出的项目支出绩效评价框架体系，在此基础上，结合绩效评价实务经验</w:t>
      </w:r>
      <w:r>
        <w:rPr>
          <w:rFonts w:hint="eastAsia"/>
        </w:rPr>
        <w:t>和公交运营补贴项目特征</w:t>
      </w:r>
      <w:r>
        <w:t>，将关注重点集中</w:t>
      </w:r>
      <w:r>
        <w:rPr>
          <w:rFonts w:hint="eastAsia"/>
        </w:rPr>
        <w:t>公交运营考核、成本控制、运营服务质量与效果之上</w:t>
      </w:r>
      <w:r>
        <w:t>。</w:t>
      </w:r>
      <w:bookmarkEnd w:id="20"/>
    </w:p>
    <w:p w14:paraId="594E05E2">
      <w:pPr>
        <w:pStyle w:val="19"/>
      </w:pPr>
      <w:r>
        <w:t>在以上原则指导下，评价组研发了本项目评价指标体系及评分标准。</w:t>
      </w:r>
      <w:bookmarkStart w:id="21" w:name="_Hlk21522543"/>
      <w:r>
        <w:t xml:space="preserve">通过数据采集、问卷调查及访谈等方法，评价组对滑县2016-2018年公交补贴绩效进行客观评价，最终评分得分为73.32分，根据《河南省省级预算绩效评价管理办法》（豫财预〔2019〕176号） </w:t>
      </w:r>
      <w:r>
        <w:rPr>
          <w:rFonts w:hint="eastAsia"/>
        </w:rPr>
        <w:t>，项目绩效等级</w:t>
      </w:r>
      <w:r>
        <w:t>为“中”</w:t>
      </w:r>
      <w:bookmarkEnd w:id="21"/>
      <w:r>
        <w:rPr>
          <w:vertAlign w:val="superscript"/>
        </w:rPr>
        <w:footnoteReference w:id="0"/>
      </w:r>
      <w:r>
        <w:t>。其中，决策类指标权重为14分，得分为11.2分，得分率为80%；管理类指标权重为34分，得分为23.4分，得分率为68.82%；产出类指标权重为21分，得分为14.89分，得分率为70.90%；效果类指标权重为31分，得分为23.83分，得分率为76.87%。具体</w:t>
      </w:r>
      <w:r>
        <w:rPr>
          <w:rFonts w:hint="eastAsia"/>
        </w:rPr>
        <w:t>评分过程</w:t>
      </w:r>
      <w:r>
        <w:t>见附件1。</w:t>
      </w:r>
    </w:p>
    <w:p w14:paraId="16901FCF">
      <w:pPr>
        <w:pStyle w:val="21"/>
      </w:pPr>
      <w:r>
        <w:t>表3-1 滑县2016-2018年公交补贴绩效评价得分情况表</w:t>
      </w:r>
    </w:p>
    <w:tbl>
      <w:tblPr>
        <w:tblStyle w:val="11"/>
        <w:tblW w:w="8295" w:type="dxa"/>
        <w:jc w:val="center"/>
        <w:tblLayout w:type="fixed"/>
        <w:tblCellMar>
          <w:top w:w="0" w:type="dxa"/>
          <w:left w:w="108" w:type="dxa"/>
          <w:bottom w:w="0" w:type="dxa"/>
          <w:right w:w="108" w:type="dxa"/>
        </w:tblCellMar>
      </w:tblPr>
      <w:tblGrid>
        <w:gridCol w:w="1324"/>
        <w:gridCol w:w="2386"/>
        <w:gridCol w:w="2386"/>
        <w:gridCol w:w="2199"/>
      </w:tblGrid>
      <w:tr w14:paraId="354F95F2">
        <w:tblPrEx>
          <w:tblCellMar>
            <w:top w:w="0" w:type="dxa"/>
            <w:left w:w="108" w:type="dxa"/>
            <w:bottom w:w="0" w:type="dxa"/>
            <w:right w:w="108" w:type="dxa"/>
          </w:tblCellMar>
        </w:tblPrEx>
        <w:trPr>
          <w:trHeight w:val="499" w:hRule="atLeast"/>
          <w:tblHeader/>
          <w:jc w:val="center"/>
        </w:trPr>
        <w:tc>
          <w:tcPr>
            <w:tcW w:w="1324" w:type="dxa"/>
            <w:tcBorders>
              <w:top w:val="single" w:color="auto" w:sz="8" w:space="0"/>
              <w:left w:val="single" w:color="auto" w:sz="8" w:space="0"/>
              <w:bottom w:val="single" w:color="auto" w:sz="8" w:space="0"/>
              <w:right w:val="single" w:color="auto" w:sz="8" w:space="0"/>
            </w:tcBorders>
            <w:shd w:val="clear" w:color="000000" w:fill="BFBFBF"/>
            <w:vAlign w:val="center"/>
          </w:tcPr>
          <w:p w14:paraId="61C466D2">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指标</w:t>
            </w:r>
          </w:p>
        </w:tc>
        <w:tc>
          <w:tcPr>
            <w:tcW w:w="2386" w:type="dxa"/>
            <w:tcBorders>
              <w:top w:val="single" w:color="auto" w:sz="8" w:space="0"/>
              <w:left w:val="nil"/>
              <w:bottom w:val="single" w:color="auto" w:sz="8" w:space="0"/>
              <w:right w:val="single" w:color="auto" w:sz="8" w:space="0"/>
            </w:tcBorders>
            <w:shd w:val="clear" w:color="000000" w:fill="BFBFBF"/>
            <w:vAlign w:val="center"/>
          </w:tcPr>
          <w:p w14:paraId="5223A89B">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权重</w:t>
            </w:r>
          </w:p>
        </w:tc>
        <w:tc>
          <w:tcPr>
            <w:tcW w:w="2386" w:type="dxa"/>
            <w:tcBorders>
              <w:top w:val="single" w:color="auto" w:sz="8" w:space="0"/>
              <w:left w:val="nil"/>
              <w:bottom w:val="single" w:color="auto" w:sz="8" w:space="0"/>
              <w:right w:val="single" w:color="auto" w:sz="8" w:space="0"/>
            </w:tcBorders>
            <w:shd w:val="clear" w:color="000000" w:fill="BFBFBF"/>
            <w:vAlign w:val="center"/>
          </w:tcPr>
          <w:p w14:paraId="10A83499">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得分</w:t>
            </w:r>
          </w:p>
        </w:tc>
        <w:tc>
          <w:tcPr>
            <w:tcW w:w="2199" w:type="dxa"/>
            <w:tcBorders>
              <w:top w:val="single" w:color="auto" w:sz="8" w:space="0"/>
              <w:left w:val="nil"/>
              <w:bottom w:val="single" w:color="auto" w:sz="8" w:space="0"/>
              <w:right w:val="single" w:color="auto" w:sz="8" w:space="0"/>
            </w:tcBorders>
            <w:shd w:val="clear" w:color="000000" w:fill="BFBFBF"/>
            <w:vAlign w:val="center"/>
          </w:tcPr>
          <w:p w14:paraId="124EEF4F">
            <w:pPr>
              <w:tabs>
                <w:tab w:val="left" w:pos="4881"/>
              </w:tabs>
              <w:adjustRightInd w:val="0"/>
              <w:snapToGrid w:val="0"/>
              <w:spacing w:line="400" w:lineRule="exact"/>
              <w:jc w:val="center"/>
              <w:rPr>
                <w:rFonts w:ascii="Times New Roman" w:hAnsi="Times New Roman" w:eastAsia="仿宋_GB2312" w:cs="Times New Roman"/>
                <w:b/>
                <w:color w:val="000000"/>
                <w:kern w:val="0"/>
                <w:szCs w:val="21"/>
              </w:rPr>
            </w:pPr>
            <w:r>
              <w:rPr>
                <w:rFonts w:ascii="Times New Roman" w:hAnsi="Times New Roman" w:eastAsia="仿宋_GB2312" w:cs="Times New Roman"/>
                <w:b/>
                <w:color w:val="000000"/>
                <w:kern w:val="0"/>
                <w:szCs w:val="21"/>
              </w:rPr>
              <w:t>得分率</w:t>
            </w:r>
          </w:p>
        </w:tc>
      </w:tr>
      <w:tr w14:paraId="0D7037AD">
        <w:tblPrEx>
          <w:tblCellMar>
            <w:top w:w="0" w:type="dxa"/>
            <w:left w:w="108" w:type="dxa"/>
            <w:bottom w:w="0" w:type="dxa"/>
            <w:right w:w="108" w:type="dxa"/>
          </w:tblCellMar>
        </w:tblPrEx>
        <w:trPr>
          <w:trHeight w:val="492" w:hRule="atLeast"/>
          <w:jc w:val="center"/>
        </w:trPr>
        <w:tc>
          <w:tcPr>
            <w:tcW w:w="1324" w:type="dxa"/>
            <w:tcBorders>
              <w:top w:val="nil"/>
              <w:left w:val="single" w:color="auto" w:sz="8" w:space="0"/>
              <w:bottom w:val="single" w:color="auto" w:sz="8" w:space="0"/>
              <w:right w:val="single" w:color="auto" w:sz="8" w:space="0"/>
            </w:tcBorders>
            <w:shd w:val="clear" w:color="auto" w:fill="auto"/>
            <w:vAlign w:val="center"/>
          </w:tcPr>
          <w:p w14:paraId="4BDDB87D">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决策</w:t>
            </w:r>
          </w:p>
        </w:tc>
        <w:tc>
          <w:tcPr>
            <w:tcW w:w="2386" w:type="dxa"/>
            <w:tcBorders>
              <w:top w:val="nil"/>
              <w:left w:val="nil"/>
              <w:bottom w:val="single" w:color="auto" w:sz="8" w:space="0"/>
              <w:right w:val="single" w:color="auto" w:sz="8" w:space="0"/>
            </w:tcBorders>
            <w:shd w:val="clear" w:color="auto" w:fill="auto"/>
            <w:vAlign w:val="center"/>
          </w:tcPr>
          <w:p w14:paraId="58C126B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14</w:t>
            </w:r>
          </w:p>
        </w:tc>
        <w:tc>
          <w:tcPr>
            <w:tcW w:w="2386" w:type="dxa"/>
            <w:tcBorders>
              <w:top w:val="nil"/>
              <w:left w:val="nil"/>
              <w:bottom w:val="single" w:color="auto" w:sz="8" w:space="0"/>
              <w:right w:val="single" w:color="auto" w:sz="8" w:space="0"/>
            </w:tcBorders>
            <w:shd w:val="clear" w:color="auto" w:fill="auto"/>
            <w:vAlign w:val="center"/>
          </w:tcPr>
          <w:p w14:paraId="3A4171E7">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11.2</w:t>
            </w:r>
          </w:p>
        </w:tc>
        <w:tc>
          <w:tcPr>
            <w:tcW w:w="2199" w:type="dxa"/>
            <w:tcBorders>
              <w:top w:val="nil"/>
              <w:left w:val="nil"/>
              <w:bottom w:val="single" w:color="auto" w:sz="8" w:space="0"/>
              <w:right w:val="single" w:color="auto" w:sz="8" w:space="0"/>
            </w:tcBorders>
            <w:shd w:val="clear" w:color="auto" w:fill="auto"/>
            <w:vAlign w:val="center"/>
          </w:tcPr>
          <w:p w14:paraId="43AF623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80%</w:t>
            </w:r>
          </w:p>
        </w:tc>
      </w:tr>
      <w:tr w14:paraId="53BD8A5D">
        <w:tblPrEx>
          <w:tblCellMar>
            <w:top w:w="0" w:type="dxa"/>
            <w:left w:w="108" w:type="dxa"/>
            <w:bottom w:w="0" w:type="dxa"/>
            <w:right w:w="108" w:type="dxa"/>
          </w:tblCellMar>
        </w:tblPrEx>
        <w:trPr>
          <w:trHeight w:val="425" w:hRule="atLeast"/>
          <w:jc w:val="center"/>
        </w:trPr>
        <w:tc>
          <w:tcPr>
            <w:tcW w:w="1324" w:type="dxa"/>
            <w:tcBorders>
              <w:top w:val="nil"/>
              <w:left w:val="single" w:color="auto" w:sz="8" w:space="0"/>
              <w:bottom w:val="single" w:color="auto" w:sz="8" w:space="0"/>
              <w:right w:val="single" w:color="auto" w:sz="8" w:space="0"/>
            </w:tcBorders>
            <w:shd w:val="clear" w:color="auto" w:fill="auto"/>
            <w:vAlign w:val="center"/>
          </w:tcPr>
          <w:p w14:paraId="77FEBC56">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管理</w:t>
            </w:r>
          </w:p>
        </w:tc>
        <w:tc>
          <w:tcPr>
            <w:tcW w:w="2386" w:type="dxa"/>
            <w:tcBorders>
              <w:top w:val="nil"/>
              <w:left w:val="nil"/>
              <w:bottom w:val="single" w:color="auto" w:sz="8" w:space="0"/>
              <w:right w:val="single" w:color="auto" w:sz="8" w:space="0"/>
            </w:tcBorders>
            <w:shd w:val="clear" w:color="auto" w:fill="auto"/>
            <w:vAlign w:val="center"/>
          </w:tcPr>
          <w:p w14:paraId="426E45EB">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34</w:t>
            </w:r>
          </w:p>
        </w:tc>
        <w:tc>
          <w:tcPr>
            <w:tcW w:w="2386" w:type="dxa"/>
            <w:tcBorders>
              <w:top w:val="nil"/>
              <w:left w:val="nil"/>
              <w:bottom w:val="single" w:color="auto" w:sz="8" w:space="0"/>
              <w:right w:val="single" w:color="auto" w:sz="8" w:space="0"/>
            </w:tcBorders>
            <w:shd w:val="clear" w:color="auto" w:fill="auto"/>
            <w:vAlign w:val="center"/>
          </w:tcPr>
          <w:p w14:paraId="570035A7">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23.4</w:t>
            </w:r>
          </w:p>
        </w:tc>
        <w:tc>
          <w:tcPr>
            <w:tcW w:w="2199" w:type="dxa"/>
            <w:tcBorders>
              <w:top w:val="nil"/>
              <w:left w:val="nil"/>
              <w:bottom w:val="single" w:color="auto" w:sz="8" w:space="0"/>
              <w:right w:val="single" w:color="auto" w:sz="8" w:space="0"/>
            </w:tcBorders>
            <w:shd w:val="clear" w:color="auto" w:fill="auto"/>
            <w:vAlign w:val="center"/>
          </w:tcPr>
          <w:p w14:paraId="70ECD7F0">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68.82%</w:t>
            </w:r>
          </w:p>
        </w:tc>
      </w:tr>
      <w:tr w14:paraId="4B739C1C">
        <w:tblPrEx>
          <w:tblCellMar>
            <w:top w:w="0" w:type="dxa"/>
            <w:left w:w="108" w:type="dxa"/>
            <w:bottom w:w="0" w:type="dxa"/>
            <w:right w:w="108" w:type="dxa"/>
          </w:tblCellMar>
        </w:tblPrEx>
        <w:trPr>
          <w:trHeight w:val="417" w:hRule="atLeast"/>
          <w:jc w:val="center"/>
        </w:trPr>
        <w:tc>
          <w:tcPr>
            <w:tcW w:w="1324" w:type="dxa"/>
            <w:tcBorders>
              <w:top w:val="nil"/>
              <w:left w:val="single" w:color="auto" w:sz="8" w:space="0"/>
              <w:bottom w:val="single" w:color="auto" w:sz="4" w:space="0"/>
              <w:right w:val="single" w:color="auto" w:sz="8" w:space="0"/>
            </w:tcBorders>
            <w:shd w:val="clear" w:color="auto" w:fill="auto"/>
            <w:vAlign w:val="center"/>
          </w:tcPr>
          <w:p w14:paraId="5B7BE17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产出</w:t>
            </w:r>
          </w:p>
        </w:tc>
        <w:tc>
          <w:tcPr>
            <w:tcW w:w="2386" w:type="dxa"/>
            <w:tcBorders>
              <w:top w:val="nil"/>
              <w:left w:val="nil"/>
              <w:bottom w:val="single" w:color="auto" w:sz="4" w:space="0"/>
              <w:right w:val="single" w:color="auto" w:sz="8" w:space="0"/>
            </w:tcBorders>
            <w:shd w:val="clear" w:color="auto" w:fill="auto"/>
            <w:vAlign w:val="center"/>
          </w:tcPr>
          <w:p w14:paraId="1713412E">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21</w:t>
            </w:r>
          </w:p>
        </w:tc>
        <w:tc>
          <w:tcPr>
            <w:tcW w:w="2386" w:type="dxa"/>
            <w:tcBorders>
              <w:top w:val="nil"/>
              <w:left w:val="nil"/>
              <w:bottom w:val="single" w:color="auto" w:sz="4" w:space="0"/>
              <w:right w:val="single" w:color="auto" w:sz="8" w:space="0"/>
            </w:tcBorders>
            <w:shd w:val="clear" w:color="auto" w:fill="auto"/>
            <w:vAlign w:val="center"/>
          </w:tcPr>
          <w:p w14:paraId="5CFA7B0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14.89</w:t>
            </w:r>
          </w:p>
        </w:tc>
        <w:tc>
          <w:tcPr>
            <w:tcW w:w="2199" w:type="dxa"/>
            <w:tcBorders>
              <w:top w:val="nil"/>
              <w:left w:val="nil"/>
              <w:bottom w:val="single" w:color="auto" w:sz="4" w:space="0"/>
              <w:right w:val="single" w:color="auto" w:sz="8" w:space="0"/>
            </w:tcBorders>
            <w:shd w:val="clear" w:color="auto" w:fill="auto"/>
            <w:vAlign w:val="center"/>
          </w:tcPr>
          <w:p w14:paraId="78504A24">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70.90%</w:t>
            </w:r>
          </w:p>
        </w:tc>
      </w:tr>
      <w:tr w14:paraId="7CF1BDBC">
        <w:tblPrEx>
          <w:tblCellMar>
            <w:top w:w="0" w:type="dxa"/>
            <w:left w:w="108" w:type="dxa"/>
            <w:bottom w:w="0" w:type="dxa"/>
            <w:right w:w="108" w:type="dxa"/>
          </w:tblCellMar>
        </w:tblPrEx>
        <w:trPr>
          <w:trHeight w:val="417" w:hRule="atLeast"/>
          <w:jc w:val="center"/>
        </w:trPr>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40B148B9">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效果</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14:paraId="1EA67DE3">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31</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14:paraId="6C80C96A">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23.83</w:t>
            </w:r>
          </w:p>
        </w:tc>
        <w:tc>
          <w:tcPr>
            <w:tcW w:w="2199" w:type="dxa"/>
            <w:tcBorders>
              <w:top w:val="single" w:color="auto" w:sz="4" w:space="0"/>
              <w:left w:val="single" w:color="auto" w:sz="4" w:space="0"/>
              <w:bottom w:val="single" w:color="auto" w:sz="4" w:space="0"/>
              <w:right w:val="single" w:color="auto" w:sz="4" w:space="0"/>
            </w:tcBorders>
            <w:shd w:val="clear" w:color="auto" w:fill="auto"/>
            <w:vAlign w:val="center"/>
          </w:tcPr>
          <w:p w14:paraId="424B8BD9">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76.87%</w:t>
            </w:r>
          </w:p>
        </w:tc>
      </w:tr>
      <w:tr w14:paraId="3C42A5A1">
        <w:tblPrEx>
          <w:tblCellMar>
            <w:top w:w="0" w:type="dxa"/>
            <w:left w:w="108" w:type="dxa"/>
            <w:bottom w:w="0" w:type="dxa"/>
            <w:right w:w="108" w:type="dxa"/>
          </w:tblCellMar>
        </w:tblPrEx>
        <w:trPr>
          <w:trHeight w:val="417" w:hRule="atLeast"/>
          <w:jc w:val="center"/>
        </w:trPr>
        <w:tc>
          <w:tcPr>
            <w:tcW w:w="1324" w:type="dxa"/>
            <w:tcBorders>
              <w:top w:val="single" w:color="auto" w:sz="4" w:space="0"/>
              <w:left w:val="single" w:color="auto" w:sz="4" w:space="0"/>
              <w:bottom w:val="single" w:color="auto" w:sz="4" w:space="0"/>
              <w:right w:val="single" w:color="auto" w:sz="4" w:space="0"/>
            </w:tcBorders>
            <w:shd w:val="clear" w:color="auto" w:fill="auto"/>
            <w:vAlign w:val="center"/>
          </w:tcPr>
          <w:p w14:paraId="325CC8B1">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合计</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14:paraId="11F3127C">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100</w:t>
            </w:r>
          </w:p>
        </w:tc>
        <w:tc>
          <w:tcPr>
            <w:tcW w:w="2386" w:type="dxa"/>
            <w:tcBorders>
              <w:top w:val="single" w:color="auto" w:sz="4" w:space="0"/>
              <w:left w:val="single" w:color="auto" w:sz="4" w:space="0"/>
              <w:bottom w:val="single" w:color="auto" w:sz="4" w:space="0"/>
              <w:right w:val="single" w:color="auto" w:sz="4" w:space="0"/>
            </w:tcBorders>
            <w:shd w:val="clear" w:color="auto" w:fill="auto"/>
            <w:vAlign w:val="center"/>
          </w:tcPr>
          <w:p w14:paraId="11C49D58">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73.32</w:t>
            </w:r>
          </w:p>
        </w:tc>
        <w:tc>
          <w:tcPr>
            <w:tcW w:w="2199" w:type="dxa"/>
            <w:tcBorders>
              <w:top w:val="single" w:color="auto" w:sz="4" w:space="0"/>
              <w:left w:val="single" w:color="auto" w:sz="4" w:space="0"/>
              <w:bottom w:val="single" w:color="auto" w:sz="4" w:space="0"/>
              <w:right w:val="single" w:color="auto" w:sz="4" w:space="0"/>
            </w:tcBorders>
            <w:shd w:val="clear" w:color="auto" w:fill="auto"/>
            <w:vAlign w:val="center"/>
          </w:tcPr>
          <w:p w14:paraId="6ABF809A">
            <w:pPr>
              <w:tabs>
                <w:tab w:val="left" w:pos="4881"/>
              </w:tabs>
              <w:adjustRightInd w:val="0"/>
              <w:snapToGrid w:val="0"/>
              <w:spacing w:line="400" w:lineRule="exact"/>
              <w:jc w:val="center"/>
              <w:rPr>
                <w:rFonts w:ascii="Times New Roman" w:hAnsi="Times New Roman" w:eastAsia="仿宋_GB2312" w:cs="Times New Roman"/>
                <w:bCs/>
                <w:color w:val="000000"/>
                <w:kern w:val="0"/>
                <w:szCs w:val="21"/>
              </w:rPr>
            </w:pPr>
            <w:r>
              <w:rPr>
                <w:rFonts w:ascii="Times New Roman" w:hAnsi="Times New Roman" w:eastAsia="仿宋_GB2312" w:cs="Times New Roman"/>
                <w:bCs/>
                <w:color w:val="000000"/>
                <w:kern w:val="0"/>
                <w:szCs w:val="21"/>
              </w:rPr>
              <w:t>73.32%</w:t>
            </w:r>
          </w:p>
        </w:tc>
      </w:tr>
    </w:tbl>
    <w:p w14:paraId="20B5014A">
      <w:pPr>
        <w:pStyle w:val="20"/>
        <w:ind w:firstLine="562"/>
        <w:rPr>
          <w:b w:val="0"/>
        </w:rPr>
      </w:pPr>
      <w:bookmarkStart w:id="22" w:name="_Toc25166472"/>
      <w:r>
        <w:rPr>
          <w:rFonts w:hint="eastAsia"/>
        </w:rPr>
        <w:t>（二）整体评价结论</w:t>
      </w:r>
      <w:bookmarkEnd w:id="22"/>
    </w:p>
    <w:p w14:paraId="22C65742">
      <w:pPr>
        <w:pStyle w:val="19"/>
      </w:pPr>
      <w:bookmarkStart w:id="23" w:name="_Hlk21522612"/>
      <w:r>
        <w:rPr>
          <w:rFonts w:hint="eastAsia"/>
        </w:rPr>
        <w:t>总的来看，滑县</w:t>
      </w:r>
      <w:r>
        <w:t>2016-2018年公共交通财政资金补贴项目决策层立项依据充分、立项过程规范、目标设定合理、预算编制相对合理，但项目绩效目标设定不明确，滑县公交公司和相关责任主体未围绕发展目标进行绩效指标分解，项目后期在实施过程中缺乏具体绩效目标的量化指导和考核标准。管理层面：资金管理到位、及时，补贴模式有待进一步</w:t>
      </w:r>
      <w:r>
        <w:rPr>
          <w:rFonts w:hint="eastAsia"/>
        </w:rPr>
        <w:t>优化</w:t>
      </w:r>
      <w:r>
        <w:t>，补贴资金投入管理相对规范、财务制度相对健全；业务管理上绩效监督主体不明确、绩效考核目标不清晰，在成本控制上公交公司并未建立成本与员工福利挂钩机制、成本核算未落实到具体线路，核算口径和过程不够明</w:t>
      </w:r>
      <w:r>
        <w:rPr>
          <w:rFonts w:hint="eastAsia"/>
        </w:rPr>
        <w:t>晰和具体。产出层面：车辆添置、站点和站亭建设产出基本符合目标计划数量；公交新增路线布局建设和优化路线调整无明确的可研论证过程，公交路线合理性有待优化；从公交乘坐电子支付开通率、便捷性和智慧公交综合建设体系看，公交信息化建设过程有待提升。效果层面：车辆投入运行效果看，车辆投入使用率较高、单次载客量较大；从公交公司运营效果来看，车辆准点率高、事故死亡率低，但车辆非重大事故率高、违章违纪数量较大；车辆整体运行维护效果和司机乘客满意度都存在提升空间。</w:t>
      </w:r>
      <w:r>
        <w:t>。</w:t>
      </w:r>
      <w:bookmarkEnd w:id="23"/>
    </w:p>
    <w:p w14:paraId="67B5EAAB">
      <w:pPr>
        <w:pStyle w:val="18"/>
        <w:rPr>
          <w:rFonts w:ascii="Times New Roman" w:hAnsi="Times New Roman" w:eastAsia="仿宋_GB2312"/>
          <w:b/>
        </w:rPr>
      </w:pPr>
      <w:bookmarkStart w:id="24" w:name="_Toc25166473"/>
      <w:r>
        <w:rPr>
          <w:rFonts w:hint="eastAsia" w:ascii="Times New Roman" w:hAnsi="Times New Roman" w:eastAsia="仿宋_GB2312"/>
          <w:b/>
        </w:rPr>
        <w:t>四、</w:t>
      </w:r>
      <w:r>
        <w:rPr>
          <w:rFonts w:ascii="Times New Roman" w:hAnsi="Times New Roman" w:eastAsia="仿宋_GB2312"/>
          <w:b/>
        </w:rPr>
        <w:t>绩效分析</w:t>
      </w:r>
      <w:bookmarkEnd w:id="24"/>
    </w:p>
    <w:p w14:paraId="60779E12">
      <w:pPr>
        <w:pStyle w:val="19"/>
      </w:pPr>
      <w:r>
        <w:rPr>
          <w:rFonts w:hint="eastAsia"/>
        </w:rPr>
        <w:t>财政支出绩效分析3E原则，即经济性</w:t>
      </w:r>
      <w:r>
        <w:t>(Economy)、效率性(Efficiency)、效益性(Effectiveness)</w:t>
      </w:r>
      <w:r>
        <w:rPr>
          <w:rFonts w:hint="eastAsia"/>
        </w:rPr>
        <w:t>原则。“3E”</w:t>
      </w:r>
      <w:r>
        <w:t>原则要求对财政支出资金使用绩效</w:t>
      </w:r>
      <w:r>
        <w:rPr>
          <w:rFonts w:hint="eastAsia"/>
        </w:rPr>
        <w:t>的评价，不能片面地、孤立地分析其中的某一个要素，要从经济性、效率性和有效性三个方面进行综合考察、分析和评价。</w:t>
      </w:r>
    </w:p>
    <w:p w14:paraId="215E8D0C">
      <w:pPr>
        <w:pStyle w:val="20"/>
        <w:ind w:firstLine="562"/>
      </w:pPr>
      <w:bookmarkStart w:id="25" w:name="_Toc25166474"/>
      <w:r>
        <w:rPr>
          <w:rFonts w:hint="eastAsia"/>
        </w:rPr>
        <w:t>（一）经济性分析</w:t>
      </w:r>
      <w:bookmarkEnd w:id="25"/>
    </w:p>
    <w:p w14:paraId="56C93EF2">
      <w:pPr>
        <w:spacing w:line="500" w:lineRule="exact"/>
        <w:ind w:firstLine="562" w:firstLineChars="200"/>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 xml:space="preserve">1. </w:t>
      </w:r>
      <w:r>
        <w:rPr>
          <w:rFonts w:hint="eastAsia" w:ascii="Times New Roman" w:hAnsi="Times New Roman" w:eastAsia="仿宋_GB2312" w:cs="Times New Roman"/>
          <w:b/>
          <w:bCs/>
          <w:kern w:val="0"/>
          <w:sz w:val="28"/>
          <w:szCs w:val="28"/>
        </w:rPr>
        <w:t>滑县公交公司收入管理有效性</w:t>
      </w:r>
    </w:p>
    <w:p w14:paraId="03BF4B0B">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公交运营收入与公交运营规模变动趋势匹配度略差，公交运营收入管理有效性一般</w:t>
      </w:r>
      <w:r>
        <w:rPr>
          <w:rFonts w:hint="eastAsia" w:ascii="Times New Roman" w:hAnsi="Times New Roman" w:eastAsia="仿宋_GB2312" w:cs="Times New Roman"/>
          <w:kern w:val="0"/>
          <w:sz w:val="28"/>
          <w:szCs w:val="28"/>
        </w:rPr>
        <w:t>。公交运营里程代表滑县公交运营规模，票面收入和营业收入代表滑县公交运营产生的主要收入。在假定滑县公交运营服务尚未饱和，滑县公交乘坐服务需求变化不大的情况下，公交运营票面收入与营业收入与公交运营规模变动趋势应基本一致。</w:t>
      </w:r>
    </w:p>
    <w:p w14:paraId="426A8703">
      <w:pPr>
        <w:spacing w:line="500" w:lineRule="exact"/>
        <w:ind w:firstLine="560" w:firstLineChars="200"/>
        <w:rPr>
          <w:rFonts w:ascii="Times New Roman" w:hAnsi="Times New Roman" w:eastAsia="仿宋_GB2312" w:cs="Times New Roman"/>
          <w:kern w:val="0"/>
          <w:sz w:val="28"/>
          <w:szCs w:val="28"/>
        </w:rPr>
      </w:pPr>
      <w:commentRangeStart w:id="0"/>
      <w:r>
        <w:rPr>
          <w:rFonts w:hint="eastAsia" w:ascii="Times New Roman" w:hAnsi="Times New Roman" w:eastAsia="仿宋_GB2312" w:cs="Times New Roman"/>
          <w:kern w:val="0"/>
          <w:sz w:val="28"/>
          <w:szCs w:val="28"/>
        </w:rPr>
        <w:t>如表4-</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所示，2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2018</w:t>
      </w:r>
      <w:r>
        <w:rPr>
          <w:rFonts w:hint="eastAsia" w:ascii="Times New Roman" w:hAnsi="Times New Roman" w:eastAsia="仿宋_GB2312" w:cs="Times New Roman"/>
          <w:kern w:val="0"/>
          <w:sz w:val="28"/>
          <w:szCs w:val="28"/>
        </w:rPr>
        <w:t>年滑县公交运营里程分别为</w:t>
      </w:r>
      <w:r>
        <w:rPr>
          <w:rFonts w:ascii="Times New Roman" w:hAnsi="Times New Roman" w:eastAsia="仿宋_GB2312" w:cs="Times New Roman"/>
          <w:kern w:val="0"/>
          <w:sz w:val="28"/>
          <w:szCs w:val="28"/>
        </w:rPr>
        <w:t>369.47</w:t>
      </w:r>
      <w:r>
        <w:rPr>
          <w:rFonts w:hint="eastAsia" w:ascii="Times New Roman" w:hAnsi="Times New Roman" w:eastAsia="仿宋_GB2312" w:cs="Times New Roman"/>
          <w:kern w:val="0"/>
          <w:sz w:val="28"/>
          <w:szCs w:val="28"/>
        </w:rPr>
        <w:t>万公里、</w:t>
      </w:r>
      <w:r>
        <w:rPr>
          <w:rFonts w:ascii="Times New Roman" w:hAnsi="Times New Roman" w:eastAsia="仿宋_GB2312" w:cs="Times New Roman"/>
          <w:kern w:val="0"/>
          <w:sz w:val="28"/>
          <w:szCs w:val="28"/>
        </w:rPr>
        <w:t>640.91</w:t>
      </w:r>
      <w:r>
        <w:rPr>
          <w:rFonts w:hint="eastAsia" w:ascii="Times New Roman" w:hAnsi="Times New Roman" w:eastAsia="仿宋_GB2312" w:cs="Times New Roman"/>
          <w:kern w:val="0"/>
          <w:sz w:val="28"/>
          <w:szCs w:val="28"/>
        </w:rPr>
        <w:t>万公里和</w:t>
      </w:r>
      <w:r>
        <w:rPr>
          <w:rFonts w:ascii="Times New Roman" w:hAnsi="Times New Roman" w:eastAsia="仿宋_GB2312" w:cs="Times New Roman"/>
          <w:kern w:val="0"/>
          <w:sz w:val="28"/>
          <w:szCs w:val="28"/>
        </w:rPr>
        <w:t>691.43</w:t>
      </w:r>
      <w:r>
        <w:rPr>
          <w:rFonts w:hint="eastAsia" w:ascii="Times New Roman" w:hAnsi="Times New Roman" w:eastAsia="仿宋_GB2312" w:cs="Times New Roman"/>
          <w:kern w:val="0"/>
          <w:sz w:val="28"/>
          <w:szCs w:val="28"/>
        </w:rPr>
        <w:t>万公里，连续两年运营里程增速分别为</w:t>
      </w:r>
      <w:r>
        <w:rPr>
          <w:rFonts w:ascii="Times New Roman" w:hAnsi="Times New Roman" w:eastAsia="仿宋_GB2312" w:cs="Times New Roman"/>
          <w:kern w:val="0"/>
          <w:sz w:val="28"/>
          <w:szCs w:val="28"/>
        </w:rPr>
        <w:t>73.47%</w:t>
      </w:r>
      <w:r>
        <w:rPr>
          <w:rFonts w:hint="eastAsia" w:ascii="Times New Roman" w:hAnsi="Times New Roman" w:eastAsia="仿宋_GB2312" w:cs="Times New Roman"/>
          <w:kern w:val="0"/>
          <w:sz w:val="28"/>
          <w:szCs w:val="28"/>
        </w:rPr>
        <w:t>和</w:t>
      </w:r>
      <w:r>
        <w:rPr>
          <w:rFonts w:ascii="Times New Roman" w:hAnsi="Times New Roman" w:eastAsia="仿宋_GB2312" w:cs="Times New Roman"/>
          <w:kern w:val="0"/>
          <w:sz w:val="28"/>
          <w:szCs w:val="28"/>
        </w:rPr>
        <w:t>7.88%</w:t>
      </w:r>
      <w:r>
        <w:rPr>
          <w:rFonts w:hint="eastAsia" w:ascii="Times New Roman" w:hAnsi="Times New Roman" w:eastAsia="仿宋_GB2312" w:cs="Times New Roman"/>
          <w:kern w:val="0"/>
          <w:sz w:val="28"/>
          <w:szCs w:val="28"/>
        </w:rPr>
        <w:t>。在不考虑2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年1</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月至2</w:t>
      </w:r>
      <w:r>
        <w:rPr>
          <w:rFonts w:ascii="Times New Roman" w:hAnsi="Times New Roman" w:eastAsia="仿宋_GB2312" w:cs="Times New Roman"/>
          <w:kern w:val="0"/>
          <w:sz w:val="28"/>
          <w:szCs w:val="28"/>
        </w:rPr>
        <w:t>017</w:t>
      </w:r>
      <w:r>
        <w:rPr>
          <w:rFonts w:hint="eastAsia" w:ascii="Times New Roman" w:hAnsi="Times New Roman" w:eastAsia="仿宋_GB2312" w:cs="Times New Roman"/>
          <w:kern w:val="0"/>
          <w:sz w:val="28"/>
          <w:szCs w:val="28"/>
        </w:rPr>
        <w:t>年2月免费乘车因素影响下，票面收入分别为</w:t>
      </w:r>
      <w:r>
        <w:rPr>
          <w:rFonts w:ascii="Times New Roman" w:hAnsi="Times New Roman" w:eastAsia="仿宋_GB2312" w:cs="Times New Roman"/>
          <w:kern w:val="0"/>
          <w:sz w:val="28"/>
          <w:szCs w:val="28"/>
        </w:rPr>
        <w:t>332.35</w:t>
      </w:r>
      <w:r>
        <w:rPr>
          <w:rFonts w:hint="eastAsia" w:ascii="Times New Roman" w:hAnsi="Times New Roman" w:eastAsia="仿宋_GB2312" w:cs="Times New Roman"/>
          <w:kern w:val="0"/>
          <w:sz w:val="28"/>
          <w:szCs w:val="28"/>
        </w:rPr>
        <w:t>万元、</w:t>
      </w:r>
      <w:r>
        <w:rPr>
          <w:rFonts w:ascii="Times New Roman" w:hAnsi="Times New Roman" w:eastAsia="仿宋_GB2312" w:cs="Times New Roman"/>
          <w:kern w:val="0"/>
          <w:sz w:val="28"/>
          <w:szCs w:val="28"/>
        </w:rPr>
        <w:t>404.44</w:t>
      </w:r>
      <w:r>
        <w:rPr>
          <w:rFonts w:hint="eastAsia" w:ascii="Times New Roman" w:hAnsi="Times New Roman" w:eastAsia="仿宋_GB2312" w:cs="Times New Roman"/>
          <w:kern w:val="0"/>
          <w:sz w:val="28"/>
          <w:szCs w:val="28"/>
        </w:rPr>
        <w:t>万元和</w:t>
      </w:r>
      <w:r>
        <w:rPr>
          <w:rFonts w:ascii="Times New Roman" w:hAnsi="Times New Roman" w:eastAsia="仿宋_GB2312" w:cs="Times New Roman"/>
          <w:kern w:val="0"/>
          <w:sz w:val="28"/>
          <w:szCs w:val="28"/>
        </w:rPr>
        <w:t>460.20</w:t>
      </w:r>
      <w:r>
        <w:rPr>
          <w:rFonts w:hint="eastAsia" w:ascii="Times New Roman" w:hAnsi="Times New Roman" w:eastAsia="仿宋_GB2312" w:cs="Times New Roman"/>
          <w:kern w:val="0"/>
          <w:sz w:val="28"/>
          <w:szCs w:val="28"/>
        </w:rPr>
        <w:t>万元，连续两年增速2</w:t>
      </w:r>
      <w:r>
        <w:rPr>
          <w:rFonts w:ascii="Times New Roman" w:hAnsi="Times New Roman" w:eastAsia="仿宋_GB2312" w:cs="Times New Roman"/>
          <w:kern w:val="0"/>
          <w:sz w:val="28"/>
          <w:szCs w:val="28"/>
        </w:rPr>
        <w:t>1.69%</w:t>
      </w:r>
      <w:r>
        <w:rPr>
          <w:rFonts w:hint="eastAsia" w:ascii="Times New Roman" w:hAnsi="Times New Roman" w:eastAsia="仿宋_GB2312" w:cs="Times New Roman"/>
          <w:kern w:val="0"/>
          <w:sz w:val="28"/>
          <w:szCs w:val="28"/>
        </w:rPr>
        <w:t>、1</w:t>
      </w:r>
      <w:r>
        <w:rPr>
          <w:rFonts w:ascii="Times New Roman" w:hAnsi="Times New Roman" w:eastAsia="仿宋_GB2312" w:cs="Times New Roman"/>
          <w:kern w:val="0"/>
          <w:sz w:val="28"/>
          <w:szCs w:val="28"/>
        </w:rPr>
        <w:t>3.79</w:t>
      </w:r>
      <w:r>
        <w:rPr>
          <w:rFonts w:hint="eastAsia" w:ascii="Times New Roman" w:hAnsi="Times New Roman" w:eastAsia="仿宋_GB2312" w:cs="Times New Roman"/>
          <w:kern w:val="0"/>
          <w:sz w:val="28"/>
          <w:szCs w:val="28"/>
        </w:rPr>
        <w:t>%，其中2</w:t>
      </w:r>
      <w:r>
        <w:rPr>
          <w:rFonts w:ascii="Times New Roman" w:hAnsi="Times New Roman" w:eastAsia="仿宋_GB2312" w:cs="Times New Roman"/>
          <w:kern w:val="0"/>
          <w:sz w:val="28"/>
          <w:szCs w:val="28"/>
        </w:rPr>
        <w:t>017</w:t>
      </w:r>
      <w:r>
        <w:rPr>
          <w:rFonts w:hint="eastAsia" w:ascii="Times New Roman" w:hAnsi="Times New Roman" w:eastAsia="仿宋_GB2312" w:cs="Times New Roman"/>
          <w:kern w:val="0"/>
          <w:sz w:val="28"/>
          <w:szCs w:val="28"/>
        </w:rPr>
        <w:t>年票面收入增速明显低于公交运营里程增速。在剔除</w:t>
      </w:r>
      <w:r>
        <w:rPr>
          <w:rFonts w:ascii="Times New Roman" w:hAnsi="Times New Roman" w:eastAsia="仿宋_GB2312" w:cs="Times New Roman"/>
          <w:kern w:val="0"/>
          <w:sz w:val="28"/>
          <w:szCs w:val="28"/>
        </w:rPr>
        <w:t>2016年11月至2017年2月免费乘车因素影响下</w:t>
      </w:r>
      <w:r>
        <w:rPr>
          <w:rStyle w:val="16"/>
          <w:rFonts w:ascii="Times New Roman" w:hAnsi="Times New Roman" w:eastAsia="仿宋_GB2312" w:cs="Times New Roman"/>
          <w:kern w:val="0"/>
          <w:sz w:val="28"/>
          <w:szCs w:val="28"/>
        </w:rPr>
        <w:footnoteReference w:id="1"/>
      </w:r>
      <w:r>
        <w:rPr>
          <w:rFonts w:hint="eastAsia" w:ascii="Times New Roman" w:hAnsi="Times New Roman" w:eastAsia="仿宋_GB2312" w:cs="Times New Roman"/>
          <w:kern w:val="0"/>
          <w:sz w:val="28"/>
          <w:szCs w:val="28"/>
        </w:rPr>
        <w:t>，在2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年公交运营里程比2</w:t>
      </w:r>
      <w:r>
        <w:rPr>
          <w:rFonts w:ascii="Times New Roman" w:hAnsi="Times New Roman" w:eastAsia="仿宋_GB2312" w:cs="Times New Roman"/>
          <w:kern w:val="0"/>
          <w:sz w:val="28"/>
          <w:szCs w:val="28"/>
        </w:rPr>
        <w:t>017</w:t>
      </w:r>
      <w:r>
        <w:rPr>
          <w:rFonts w:hint="eastAsia" w:ascii="Times New Roman" w:hAnsi="Times New Roman" w:eastAsia="仿宋_GB2312" w:cs="Times New Roman"/>
          <w:kern w:val="0"/>
          <w:sz w:val="28"/>
          <w:szCs w:val="28"/>
        </w:rPr>
        <w:t>年增加5</w:t>
      </w:r>
      <w:r>
        <w:rPr>
          <w:rFonts w:ascii="Times New Roman" w:hAnsi="Times New Roman" w:eastAsia="仿宋_GB2312" w:cs="Times New Roman"/>
          <w:kern w:val="0"/>
          <w:sz w:val="28"/>
          <w:szCs w:val="28"/>
        </w:rPr>
        <w:t>0</w:t>
      </w:r>
      <w:r>
        <w:rPr>
          <w:rFonts w:hint="eastAsia" w:ascii="Times New Roman" w:hAnsi="Times New Roman" w:eastAsia="仿宋_GB2312" w:cs="Times New Roman"/>
          <w:kern w:val="0"/>
          <w:sz w:val="28"/>
          <w:szCs w:val="28"/>
        </w:rPr>
        <w:t>万公里的情况下，公交票款收入反而出现5</w:t>
      </w:r>
      <w:r>
        <w:rPr>
          <w:rFonts w:ascii="Times New Roman" w:hAnsi="Times New Roman" w:eastAsia="仿宋_GB2312" w:cs="Times New Roman"/>
          <w:kern w:val="0"/>
          <w:sz w:val="28"/>
          <w:szCs w:val="28"/>
        </w:rPr>
        <w:t>.18</w:t>
      </w:r>
      <w:r>
        <w:rPr>
          <w:rFonts w:hint="eastAsia" w:ascii="Times New Roman" w:hAnsi="Times New Roman" w:eastAsia="仿宋_GB2312" w:cs="Times New Roman"/>
          <w:kern w:val="0"/>
          <w:sz w:val="28"/>
          <w:szCs w:val="28"/>
        </w:rPr>
        <w:t>%的降幅。2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年至2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年营业收入变动规律与票款收入变动规律基本一致。</w:t>
      </w:r>
    </w:p>
    <w:p w14:paraId="3633BDE7">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因此，公交运营收入与公交运营规模变动趋势匹配度略差，公交运营收入管理有效性一般。</w:t>
      </w:r>
    </w:p>
    <w:p w14:paraId="7BE1AFFE">
      <w:pPr>
        <w:pStyle w:val="21"/>
      </w:pPr>
      <w:r>
        <w:rPr>
          <w:rFonts w:hint="eastAsia"/>
        </w:rPr>
        <w:t>表4-</w:t>
      </w:r>
      <w:r>
        <w:t xml:space="preserve">1 </w:t>
      </w:r>
      <w:r>
        <w:rPr>
          <w:rFonts w:hint="eastAsia"/>
        </w:rPr>
        <w:t>滑县公交2</w:t>
      </w:r>
      <w:r>
        <w:t>016</w:t>
      </w:r>
      <w:r>
        <w:rPr>
          <w:rFonts w:hint="eastAsia"/>
        </w:rPr>
        <w:t>-</w:t>
      </w:r>
      <w:r>
        <w:t>2018</w:t>
      </w:r>
      <w:r>
        <w:rPr>
          <w:rFonts w:hint="eastAsia"/>
        </w:rPr>
        <w:t>年运营规模与收入变动情况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816"/>
        <w:gridCol w:w="820"/>
        <w:gridCol w:w="817"/>
        <w:gridCol w:w="820"/>
        <w:gridCol w:w="1417"/>
        <w:gridCol w:w="817"/>
        <w:gridCol w:w="1393"/>
      </w:tblGrid>
      <w:tr w14:paraId="0DFD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22" w:type="dxa"/>
            <w:vMerge w:val="restart"/>
            <w:shd w:val="clear" w:color="auto" w:fill="BEBEBE" w:themeFill="background1" w:themeFillShade="BF"/>
            <w:vAlign w:val="center"/>
          </w:tcPr>
          <w:p w14:paraId="783B3A85">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bookmarkStart w:id="26" w:name="_Hlk25049892"/>
            <w:r>
              <w:rPr>
                <w:rFonts w:hint="eastAsia" w:ascii="Times New Roman" w:hAnsi="Times New Roman" w:eastAsia="仿宋_GB2312" w:cs="Times New Roman"/>
                <w:b/>
                <w:color w:val="000000"/>
                <w:kern w:val="0"/>
                <w:sz w:val="21"/>
                <w:szCs w:val="21"/>
              </w:rPr>
              <w:t>名称</w:t>
            </w:r>
          </w:p>
        </w:tc>
        <w:tc>
          <w:tcPr>
            <w:tcW w:w="1636" w:type="dxa"/>
            <w:gridSpan w:val="2"/>
            <w:shd w:val="clear" w:color="auto" w:fill="BEBEBE" w:themeFill="background1" w:themeFillShade="BF"/>
            <w:vAlign w:val="center"/>
          </w:tcPr>
          <w:p w14:paraId="32C957EE">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016</w:t>
            </w:r>
            <w:r>
              <w:rPr>
                <w:rFonts w:hint="eastAsia" w:ascii="Times New Roman" w:hAnsi="Times New Roman" w:eastAsia="仿宋_GB2312" w:cs="Times New Roman"/>
                <w:b/>
                <w:color w:val="000000"/>
                <w:kern w:val="0"/>
                <w:sz w:val="21"/>
                <w:szCs w:val="21"/>
              </w:rPr>
              <w:t>年</w:t>
            </w:r>
          </w:p>
        </w:tc>
        <w:tc>
          <w:tcPr>
            <w:tcW w:w="3054" w:type="dxa"/>
            <w:gridSpan w:val="3"/>
            <w:shd w:val="clear" w:color="auto" w:fill="BEBEBE" w:themeFill="background1" w:themeFillShade="BF"/>
            <w:vAlign w:val="center"/>
          </w:tcPr>
          <w:p w14:paraId="13E31799">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017</w:t>
            </w:r>
            <w:r>
              <w:rPr>
                <w:rFonts w:hint="eastAsia" w:ascii="Times New Roman" w:hAnsi="Times New Roman" w:eastAsia="仿宋_GB2312" w:cs="Times New Roman"/>
                <w:b/>
                <w:color w:val="000000"/>
                <w:kern w:val="0"/>
                <w:sz w:val="21"/>
                <w:szCs w:val="21"/>
              </w:rPr>
              <w:t>年</w:t>
            </w:r>
          </w:p>
        </w:tc>
        <w:tc>
          <w:tcPr>
            <w:tcW w:w="2210" w:type="dxa"/>
            <w:gridSpan w:val="2"/>
            <w:shd w:val="clear" w:color="auto" w:fill="BEBEBE" w:themeFill="background1" w:themeFillShade="BF"/>
            <w:vAlign w:val="center"/>
          </w:tcPr>
          <w:p w14:paraId="3E13FFF9">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018</w:t>
            </w:r>
            <w:r>
              <w:rPr>
                <w:rFonts w:hint="eastAsia" w:ascii="Times New Roman" w:hAnsi="Times New Roman" w:eastAsia="仿宋_GB2312" w:cs="Times New Roman"/>
                <w:b/>
                <w:color w:val="000000"/>
                <w:kern w:val="0"/>
                <w:sz w:val="21"/>
                <w:szCs w:val="21"/>
              </w:rPr>
              <w:t>年</w:t>
            </w:r>
          </w:p>
        </w:tc>
      </w:tr>
      <w:tr w14:paraId="00A3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22" w:type="dxa"/>
            <w:vMerge w:val="continue"/>
            <w:shd w:val="clear" w:color="auto" w:fill="BEBEBE" w:themeFill="background1" w:themeFillShade="BF"/>
            <w:vAlign w:val="center"/>
          </w:tcPr>
          <w:p w14:paraId="11D346A7">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p>
        </w:tc>
        <w:tc>
          <w:tcPr>
            <w:tcW w:w="816" w:type="dxa"/>
            <w:shd w:val="clear" w:color="auto" w:fill="BEBEBE" w:themeFill="background1" w:themeFillShade="BF"/>
            <w:vAlign w:val="center"/>
          </w:tcPr>
          <w:p w14:paraId="0CB810D4">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实际</w:t>
            </w:r>
          </w:p>
        </w:tc>
        <w:tc>
          <w:tcPr>
            <w:tcW w:w="820" w:type="dxa"/>
            <w:shd w:val="clear" w:color="auto" w:fill="BEBEBE" w:themeFill="background1" w:themeFillShade="BF"/>
            <w:vAlign w:val="center"/>
          </w:tcPr>
          <w:p w14:paraId="1E9E12E7">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0"/>
                <w:szCs w:val="21"/>
              </w:rPr>
              <w:t>调整后</w:t>
            </w:r>
          </w:p>
        </w:tc>
        <w:tc>
          <w:tcPr>
            <w:tcW w:w="817" w:type="dxa"/>
            <w:shd w:val="clear" w:color="auto" w:fill="BEBEBE" w:themeFill="background1" w:themeFillShade="BF"/>
            <w:vAlign w:val="center"/>
          </w:tcPr>
          <w:p w14:paraId="5961D075">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实际</w:t>
            </w:r>
          </w:p>
        </w:tc>
        <w:tc>
          <w:tcPr>
            <w:tcW w:w="820" w:type="dxa"/>
            <w:shd w:val="clear" w:color="auto" w:fill="BEBEBE" w:themeFill="background1" w:themeFillShade="BF"/>
            <w:vAlign w:val="center"/>
          </w:tcPr>
          <w:p w14:paraId="28AE57EF">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0"/>
                <w:szCs w:val="21"/>
              </w:rPr>
              <w:t>调整后</w:t>
            </w:r>
          </w:p>
        </w:tc>
        <w:tc>
          <w:tcPr>
            <w:tcW w:w="1417" w:type="dxa"/>
            <w:shd w:val="clear" w:color="auto" w:fill="BEBEBE" w:themeFill="background1" w:themeFillShade="BF"/>
            <w:vAlign w:val="center"/>
          </w:tcPr>
          <w:p w14:paraId="7AD9F21D">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同比</w:t>
            </w:r>
          </w:p>
        </w:tc>
        <w:tc>
          <w:tcPr>
            <w:tcW w:w="817" w:type="dxa"/>
            <w:shd w:val="clear" w:color="auto" w:fill="BEBEBE" w:themeFill="background1" w:themeFillShade="BF"/>
            <w:vAlign w:val="center"/>
          </w:tcPr>
          <w:p w14:paraId="09FFD643">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数量</w:t>
            </w:r>
          </w:p>
        </w:tc>
        <w:tc>
          <w:tcPr>
            <w:tcW w:w="1393" w:type="dxa"/>
            <w:shd w:val="clear" w:color="auto" w:fill="BEBEBE" w:themeFill="background1" w:themeFillShade="BF"/>
            <w:vAlign w:val="center"/>
          </w:tcPr>
          <w:p w14:paraId="21DE2376">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同比</w:t>
            </w:r>
          </w:p>
        </w:tc>
      </w:tr>
      <w:tr w14:paraId="7A2C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vAlign w:val="center"/>
          </w:tcPr>
          <w:p w14:paraId="3B41B3C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线路数量（条）</w:t>
            </w:r>
          </w:p>
        </w:tc>
        <w:tc>
          <w:tcPr>
            <w:tcW w:w="816" w:type="dxa"/>
            <w:vAlign w:val="center"/>
          </w:tcPr>
          <w:p w14:paraId="1E95AE0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4</w:t>
            </w:r>
          </w:p>
        </w:tc>
        <w:tc>
          <w:tcPr>
            <w:tcW w:w="820" w:type="dxa"/>
            <w:vAlign w:val="center"/>
          </w:tcPr>
          <w:p w14:paraId="532D9D87">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c>
          <w:tcPr>
            <w:tcW w:w="817" w:type="dxa"/>
            <w:vAlign w:val="center"/>
          </w:tcPr>
          <w:p w14:paraId="57DF5E6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4</w:t>
            </w:r>
          </w:p>
        </w:tc>
        <w:tc>
          <w:tcPr>
            <w:tcW w:w="820" w:type="dxa"/>
            <w:vAlign w:val="center"/>
          </w:tcPr>
          <w:p w14:paraId="43CA682B">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c>
          <w:tcPr>
            <w:tcW w:w="1417" w:type="dxa"/>
            <w:vAlign w:val="center"/>
          </w:tcPr>
          <w:p w14:paraId="49D9BC6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w:t>
            </w:r>
          </w:p>
        </w:tc>
        <w:tc>
          <w:tcPr>
            <w:tcW w:w="817" w:type="dxa"/>
            <w:vAlign w:val="center"/>
          </w:tcPr>
          <w:p w14:paraId="4C35BBD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6</w:t>
            </w:r>
          </w:p>
        </w:tc>
        <w:tc>
          <w:tcPr>
            <w:tcW w:w="1393" w:type="dxa"/>
            <w:vAlign w:val="center"/>
          </w:tcPr>
          <w:p w14:paraId="0D64562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w:t>
            </w:r>
          </w:p>
        </w:tc>
      </w:tr>
      <w:tr w14:paraId="541A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vAlign w:val="center"/>
          </w:tcPr>
          <w:p w14:paraId="6F473C2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线路长度（km）</w:t>
            </w:r>
          </w:p>
        </w:tc>
        <w:tc>
          <w:tcPr>
            <w:tcW w:w="816" w:type="dxa"/>
            <w:vAlign w:val="center"/>
          </w:tcPr>
          <w:p w14:paraId="78FC6789">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00.7</w:t>
            </w:r>
          </w:p>
        </w:tc>
        <w:tc>
          <w:tcPr>
            <w:tcW w:w="820" w:type="dxa"/>
            <w:vAlign w:val="center"/>
          </w:tcPr>
          <w:p w14:paraId="0E85CCF6">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c>
          <w:tcPr>
            <w:tcW w:w="817" w:type="dxa"/>
            <w:vAlign w:val="center"/>
          </w:tcPr>
          <w:p w14:paraId="277EE03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99.9</w:t>
            </w:r>
          </w:p>
        </w:tc>
        <w:tc>
          <w:tcPr>
            <w:tcW w:w="820" w:type="dxa"/>
            <w:vAlign w:val="center"/>
          </w:tcPr>
          <w:p w14:paraId="1617547F">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c>
          <w:tcPr>
            <w:tcW w:w="1417" w:type="dxa"/>
            <w:vAlign w:val="center"/>
          </w:tcPr>
          <w:p w14:paraId="7CBB5E3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w:t>
            </w:r>
          </w:p>
        </w:tc>
        <w:tc>
          <w:tcPr>
            <w:tcW w:w="817" w:type="dxa"/>
            <w:vAlign w:val="center"/>
          </w:tcPr>
          <w:p w14:paraId="4E494A2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28.4</w:t>
            </w:r>
          </w:p>
        </w:tc>
        <w:tc>
          <w:tcPr>
            <w:tcW w:w="1393" w:type="dxa"/>
            <w:vAlign w:val="center"/>
          </w:tcPr>
          <w:p w14:paraId="016C166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w:t>
            </w:r>
          </w:p>
        </w:tc>
      </w:tr>
      <w:tr w14:paraId="081D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vAlign w:val="center"/>
          </w:tcPr>
          <w:p w14:paraId="3BCF23D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运营里程（万km）</w:t>
            </w:r>
          </w:p>
        </w:tc>
        <w:tc>
          <w:tcPr>
            <w:tcW w:w="816" w:type="dxa"/>
            <w:vAlign w:val="center"/>
          </w:tcPr>
          <w:p w14:paraId="41E9959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69.47</w:t>
            </w:r>
          </w:p>
        </w:tc>
        <w:tc>
          <w:tcPr>
            <w:tcW w:w="820" w:type="dxa"/>
            <w:vAlign w:val="center"/>
          </w:tcPr>
          <w:p w14:paraId="093F23CA">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c>
          <w:tcPr>
            <w:tcW w:w="817" w:type="dxa"/>
            <w:vAlign w:val="center"/>
          </w:tcPr>
          <w:p w14:paraId="1158F57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6</w:t>
            </w:r>
            <w:r>
              <w:rPr>
                <w:rFonts w:ascii="Times New Roman" w:hAnsi="Times New Roman" w:eastAsia="仿宋_GB2312" w:cs="Times New Roman"/>
                <w:bCs/>
                <w:color w:val="000000"/>
                <w:kern w:val="0"/>
                <w:sz w:val="21"/>
                <w:szCs w:val="21"/>
              </w:rPr>
              <w:t>40.91</w:t>
            </w:r>
          </w:p>
        </w:tc>
        <w:tc>
          <w:tcPr>
            <w:tcW w:w="820" w:type="dxa"/>
            <w:vAlign w:val="center"/>
          </w:tcPr>
          <w:p w14:paraId="768833E8">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c>
          <w:tcPr>
            <w:tcW w:w="1417" w:type="dxa"/>
            <w:vAlign w:val="center"/>
          </w:tcPr>
          <w:p w14:paraId="16A15CD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7</w:t>
            </w:r>
            <w:r>
              <w:rPr>
                <w:rFonts w:ascii="Times New Roman" w:hAnsi="Times New Roman" w:eastAsia="仿宋_GB2312" w:cs="Times New Roman"/>
                <w:bCs/>
                <w:color w:val="000000"/>
                <w:kern w:val="0"/>
                <w:sz w:val="21"/>
                <w:szCs w:val="21"/>
              </w:rPr>
              <w:t>3.47</w:t>
            </w:r>
            <w:r>
              <w:rPr>
                <w:rFonts w:hint="eastAsia" w:ascii="Times New Roman" w:hAnsi="Times New Roman" w:eastAsia="仿宋_GB2312" w:cs="Times New Roman"/>
                <w:bCs/>
                <w:color w:val="000000"/>
                <w:kern w:val="0"/>
                <w:sz w:val="21"/>
                <w:szCs w:val="21"/>
              </w:rPr>
              <w:t>%</w:t>
            </w:r>
          </w:p>
        </w:tc>
        <w:tc>
          <w:tcPr>
            <w:tcW w:w="817" w:type="dxa"/>
            <w:vAlign w:val="center"/>
          </w:tcPr>
          <w:p w14:paraId="5747746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6</w:t>
            </w:r>
            <w:r>
              <w:rPr>
                <w:rFonts w:ascii="Times New Roman" w:hAnsi="Times New Roman" w:eastAsia="仿宋_GB2312" w:cs="Times New Roman"/>
                <w:bCs/>
                <w:color w:val="000000"/>
                <w:kern w:val="0"/>
                <w:sz w:val="21"/>
                <w:szCs w:val="21"/>
              </w:rPr>
              <w:t>91.43</w:t>
            </w:r>
          </w:p>
        </w:tc>
        <w:tc>
          <w:tcPr>
            <w:tcW w:w="1393" w:type="dxa"/>
            <w:vAlign w:val="center"/>
          </w:tcPr>
          <w:p w14:paraId="54308A7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7</w:t>
            </w:r>
            <w:r>
              <w:rPr>
                <w:rFonts w:ascii="Times New Roman" w:hAnsi="Times New Roman" w:eastAsia="仿宋_GB2312" w:cs="Times New Roman"/>
                <w:bCs/>
                <w:color w:val="000000"/>
                <w:kern w:val="0"/>
                <w:sz w:val="21"/>
                <w:szCs w:val="21"/>
              </w:rPr>
              <w:t>.88</w:t>
            </w:r>
            <w:r>
              <w:rPr>
                <w:rFonts w:hint="eastAsia" w:ascii="Times New Roman" w:hAnsi="Times New Roman" w:eastAsia="仿宋_GB2312" w:cs="Times New Roman"/>
                <w:bCs/>
                <w:color w:val="000000"/>
                <w:kern w:val="0"/>
                <w:sz w:val="21"/>
                <w:szCs w:val="21"/>
              </w:rPr>
              <w:t>%</w:t>
            </w:r>
          </w:p>
        </w:tc>
      </w:tr>
      <w:tr w14:paraId="3A8B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622" w:type="dxa"/>
            <w:vAlign w:val="center"/>
          </w:tcPr>
          <w:p w14:paraId="5E2DAA0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票款收入（万元）</w:t>
            </w:r>
          </w:p>
        </w:tc>
        <w:tc>
          <w:tcPr>
            <w:tcW w:w="816" w:type="dxa"/>
            <w:vAlign w:val="center"/>
          </w:tcPr>
          <w:p w14:paraId="0297533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32.35</w:t>
            </w:r>
          </w:p>
        </w:tc>
        <w:tc>
          <w:tcPr>
            <w:tcW w:w="820" w:type="dxa"/>
            <w:vAlign w:val="center"/>
          </w:tcPr>
          <w:p w14:paraId="79295F67">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0"/>
                <w:szCs w:val="21"/>
                <w:u w:val="single"/>
              </w:rPr>
              <w:t>398.82</w:t>
            </w:r>
          </w:p>
        </w:tc>
        <w:tc>
          <w:tcPr>
            <w:tcW w:w="817" w:type="dxa"/>
            <w:vAlign w:val="center"/>
          </w:tcPr>
          <w:p w14:paraId="5A234EE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04.44</w:t>
            </w:r>
          </w:p>
        </w:tc>
        <w:tc>
          <w:tcPr>
            <w:tcW w:w="820" w:type="dxa"/>
            <w:vAlign w:val="center"/>
          </w:tcPr>
          <w:p w14:paraId="47475FA5">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0"/>
                <w:szCs w:val="21"/>
                <w:u w:val="single"/>
              </w:rPr>
              <w:t>485.33</w:t>
            </w:r>
          </w:p>
        </w:tc>
        <w:tc>
          <w:tcPr>
            <w:tcW w:w="1417" w:type="dxa"/>
            <w:vAlign w:val="center"/>
          </w:tcPr>
          <w:p w14:paraId="3CBA028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
                <w:color w:val="000000"/>
                <w:kern w:val="0"/>
                <w:sz w:val="20"/>
                <w:szCs w:val="21"/>
                <w:u w:val="single"/>
              </w:rPr>
              <w:t>21.69%</w:t>
            </w:r>
          </w:p>
        </w:tc>
        <w:tc>
          <w:tcPr>
            <w:tcW w:w="817" w:type="dxa"/>
            <w:vAlign w:val="center"/>
          </w:tcPr>
          <w:p w14:paraId="33FFFB5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60.20</w:t>
            </w:r>
          </w:p>
        </w:tc>
        <w:tc>
          <w:tcPr>
            <w:tcW w:w="1393" w:type="dxa"/>
            <w:vAlign w:val="center"/>
          </w:tcPr>
          <w:p w14:paraId="7752385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
                <w:color w:val="000000"/>
                <w:kern w:val="0"/>
                <w:sz w:val="20"/>
                <w:szCs w:val="21"/>
                <w:u w:val="single"/>
              </w:rPr>
              <w:t>-</w:t>
            </w:r>
            <w:r>
              <w:rPr>
                <w:rFonts w:ascii="Times New Roman" w:hAnsi="Times New Roman" w:eastAsia="仿宋_GB2312" w:cs="Times New Roman"/>
                <w:b/>
                <w:color w:val="000000"/>
                <w:kern w:val="0"/>
                <w:sz w:val="20"/>
                <w:szCs w:val="21"/>
                <w:u w:val="single"/>
              </w:rPr>
              <w:t>5.18</w:t>
            </w:r>
            <w:r>
              <w:rPr>
                <w:rFonts w:hint="eastAsia" w:ascii="Times New Roman" w:hAnsi="Times New Roman" w:eastAsia="仿宋_GB2312" w:cs="Times New Roman"/>
                <w:b/>
                <w:color w:val="000000"/>
                <w:kern w:val="0"/>
                <w:sz w:val="20"/>
                <w:szCs w:val="21"/>
                <w:u w:val="single"/>
              </w:rPr>
              <w:t>%</w:t>
            </w:r>
          </w:p>
        </w:tc>
      </w:tr>
      <w:tr w14:paraId="6721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vAlign w:val="center"/>
          </w:tcPr>
          <w:p w14:paraId="5C055F1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营业收入（万元）</w:t>
            </w:r>
          </w:p>
        </w:tc>
        <w:tc>
          <w:tcPr>
            <w:tcW w:w="816" w:type="dxa"/>
            <w:vAlign w:val="center"/>
          </w:tcPr>
          <w:p w14:paraId="5939F09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61.54</w:t>
            </w:r>
          </w:p>
        </w:tc>
        <w:tc>
          <w:tcPr>
            <w:tcW w:w="820" w:type="dxa"/>
            <w:vAlign w:val="center"/>
          </w:tcPr>
          <w:p w14:paraId="7F52931D">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0"/>
                <w:szCs w:val="21"/>
                <w:u w:val="single"/>
              </w:rPr>
              <w:t>427.87</w:t>
            </w:r>
          </w:p>
        </w:tc>
        <w:tc>
          <w:tcPr>
            <w:tcW w:w="817" w:type="dxa"/>
            <w:vAlign w:val="center"/>
          </w:tcPr>
          <w:p w14:paraId="22054A7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39.03</w:t>
            </w:r>
          </w:p>
        </w:tc>
        <w:tc>
          <w:tcPr>
            <w:tcW w:w="820" w:type="dxa"/>
            <w:vAlign w:val="center"/>
          </w:tcPr>
          <w:p w14:paraId="0140FB03">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0"/>
                <w:szCs w:val="21"/>
                <w:u w:val="single"/>
              </w:rPr>
              <w:t>516.92</w:t>
            </w:r>
          </w:p>
        </w:tc>
        <w:tc>
          <w:tcPr>
            <w:tcW w:w="1417" w:type="dxa"/>
            <w:vAlign w:val="center"/>
          </w:tcPr>
          <w:p w14:paraId="406AA981">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hint="eastAsia" w:ascii="Times New Roman" w:hAnsi="Times New Roman" w:eastAsia="仿宋_GB2312" w:cs="Times New Roman"/>
                <w:b/>
                <w:color w:val="000000"/>
                <w:kern w:val="0"/>
                <w:sz w:val="20"/>
                <w:szCs w:val="21"/>
                <w:u w:val="single"/>
              </w:rPr>
              <w:t>2</w:t>
            </w:r>
            <w:r>
              <w:rPr>
                <w:rFonts w:ascii="Times New Roman" w:hAnsi="Times New Roman" w:eastAsia="仿宋_GB2312" w:cs="Times New Roman"/>
                <w:b/>
                <w:color w:val="000000"/>
                <w:kern w:val="0"/>
                <w:sz w:val="20"/>
                <w:szCs w:val="21"/>
                <w:u w:val="single"/>
              </w:rPr>
              <w:t>0.81</w:t>
            </w:r>
            <w:r>
              <w:rPr>
                <w:rFonts w:hint="eastAsia" w:ascii="Times New Roman" w:hAnsi="Times New Roman" w:eastAsia="仿宋_GB2312" w:cs="Times New Roman"/>
                <w:b/>
                <w:color w:val="000000"/>
                <w:kern w:val="0"/>
                <w:sz w:val="20"/>
                <w:szCs w:val="21"/>
                <w:u w:val="single"/>
              </w:rPr>
              <w:t>%</w:t>
            </w:r>
          </w:p>
        </w:tc>
        <w:tc>
          <w:tcPr>
            <w:tcW w:w="817" w:type="dxa"/>
            <w:vAlign w:val="center"/>
          </w:tcPr>
          <w:p w14:paraId="533AA93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5</w:t>
            </w:r>
            <w:r>
              <w:rPr>
                <w:rFonts w:ascii="Times New Roman" w:hAnsi="Times New Roman" w:eastAsia="仿宋_GB2312" w:cs="Times New Roman"/>
                <w:bCs/>
                <w:color w:val="000000"/>
                <w:kern w:val="0"/>
                <w:sz w:val="21"/>
                <w:szCs w:val="21"/>
              </w:rPr>
              <w:t>14.91</w:t>
            </w:r>
          </w:p>
        </w:tc>
        <w:tc>
          <w:tcPr>
            <w:tcW w:w="1393" w:type="dxa"/>
            <w:vAlign w:val="center"/>
          </w:tcPr>
          <w:p w14:paraId="4D84B66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
                <w:color w:val="000000"/>
                <w:kern w:val="0"/>
                <w:sz w:val="20"/>
                <w:szCs w:val="21"/>
                <w:u w:val="single"/>
              </w:rPr>
              <w:t>-</w:t>
            </w:r>
            <w:r>
              <w:rPr>
                <w:rFonts w:ascii="Times New Roman" w:hAnsi="Times New Roman" w:eastAsia="仿宋_GB2312" w:cs="Times New Roman"/>
                <w:b/>
                <w:color w:val="000000"/>
                <w:kern w:val="0"/>
                <w:sz w:val="20"/>
                <w:szCs w:val="21"/>
                <w:u w:val="single"/>
              </w:rPr>
              <w:t>0.39</w:t>
            </w:r>
            <w:r>
              <w:rPr>
                <w:rFonts w:hint="eastAsia" w:ascii="Times New Roman" w:hAnsi="Times New Roman" w:eastAsia="仿宋_GB2312" w:cs="Times New Roman"/>
                <w:b/>
                <w:color w:val="000000"/>
                <w:kern w:val="0"/>
                <w:sz w:val="20"/>
                <w:szCs w:val="21"/>
                <w:u w:val="single"/>
              </w:rPr>
              <w:t>%</w:t>
            </w:r>
          </w:p>
        </w:tc>
      </w:tr>
      <w:bookmarkEnd w:id="26"/>
      <w:commentRangeEnd w:id="0"/>
    </w:tbl>
    <w:p w14:paraId="42C409AD">
      <w:pPr>
        <w:spacing w:line="500" w:lineRule="exact"/>
        <w:ind w:firstLine="420" w:firstLineChars="200"/>
        <w:rPr>
          <w:rFonts w:ascii="Times New Roman" w:hAnsi="Times New Roman" w:eastAsia="仿宋_GB2312" w:cs="Times New Roman"/>
          <w:b/>
          <w:bCs/>
          <w:kern w:val="0"/>
          <w:sz w:val="28"/>
          <w:szCs w:val="28"/>
        </w:rPr>
      </w:pPr>
      <w:r>
        <w:rPr>
          <w:rStyle w:val="15"/>
        </w:rPr>
        <w:commentReference w:id="0"/>
      </w:r>
      <w:r>
        <w:rPr>
          <w:rFonts w:hint="eastAsia" w:ascii="Times New Roman" w:hAnsi="Times New Roman" w:eastAsia="仿宋_GB2312" w:cs="Times New Roman"/>
          <w:b/>
          <w:bCs/>
          <w:kern w:val="0"/>
          <w:sz w:val="28"/>
          <w:szCs w:val="28"/>
        </w:rPr>
        <w:t>2</w:t>
      </w:r>
      <w:r>
        <w:rPr>
          <w:rFonts w:ascii="Times New Roman" w:hAnsi="Times New Roman" w:eastAsia="仿宋_GB2312" w:cs="Times New Roman"/>
          <w:b/>
          <w:bCs/>
          <w:kern w:val="0"/>
          <w:sz w:val="28"/>
          <w:szCs w:val="28"/>
        </w:rPr>
        <w:t xml:space="preserve">. </w:t>
      </w:r>
      <w:r>
        <w:rPr>
          <w:rFonts w:hint="eastAsia" w:ascii="Times New Roman" w:hAnsi="Times New Roman" w:eastAsia="仿宋_GB2312" w:cs="Times New Roman"/>
          <w:b/>
          <w:bCs/>
          <w:kern w:val="0"/>
          <w:sz w:val="28"/>
          <w:szCs w:val="28"/>
        </w:rPr>
        <w:t>滑县公交公司成本控制合理性</w:t>
      </w:r>
    </w:p>
    <w:p w14:paraId="413473AA">
      <w:pPr>
        <w:spacing w:line="500" w:lineRule="exact"/>
        <w:ind w:firstLine="562" w:firstLineChars="200"/>
        <w:rPr>
          <w:rFonts w:ascii="Times New Roman" w:hAnsi="Times New Roman" w:eastAsia="仿宋_GB2312" w:cs="Times New Roman"/>
          <w:kern w:val="0"/>
          <w:sz w:val="28"/>
          <w:szCs w:val="28"/>
        </w:rPr>
      </w:pPr>
      <w:commentRangeStart w:id="1"/>
      <w:r>
        <w:rPr>
          <w:rFonts w:hint="eastAsia" w:ascii="Times New Roman" w:hAnsi="Times New Roman" w:eastAsia="仿宋_GB2312" w:cs="Times New Roman"/>
          <w:b/>
          <w:bCs/>
          <w:kern w:val="0"/>
          <w:sz w:val="28"/>
          <w:szCs w:val="28"/>
        </w:rPr>
        <w:t>成本变动与公交运营规模变动相比略有偏差、年度成本变动跳跃性大</w:t>
      </w:r>
      <w:r>
        <w:rPr>
          <w:rFonts w:hint="eastAsia" w:ascii="Times New Roman" w:hAnsi="Times New Roman" w:eastAsia="仿宋_GB2312" w:cs="Times New Roman"/>
          <w:kern w:val="0"/>
          <w:sz w:val="28"/>
          <w:szCs w:val="28"/>
        </w:rPr>
        <w:t>。如表4-</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所示，2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至2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年滑县公交公司年度成本分别为</w:t>
      </w:r>
      <w:r>
        <w:rPr>
          <w:rFonts w:ascii="Times New Roman" w:hAnsi="Times New Roman" w:eastAsia="仿宋_GB2312" w:cs="Times New Roman"/>
          <w:kern w:val="0"/>
          <w:sz w:val="28"/>
          <w:szCs w:val="28"/>
        </w:rPr>
        <w:t>1618.17</w:t>
      </w:r>
      <w:r>
        <w:rPr>
          <w:rFonts w:hint="eastAsia" w:ascii="Times New Roman" w:hAnsi="Times New Roman" w:eastAsia="仿宋_GB2312" w:cs="Times New Roman"/>
          <w:kern w:val="0"/>
          <w:sz w:val="28"/>
          <w:szCs w:val="28"/>
        </w:rPr>
        <w:t>万元、</w:t>
      </w:r>
      <w:r>
        <w:rPr>
          <w:rFonts w:ascii="Times New Roman" w:hAnsi="Times New Roman" w:eastAsia="仿宋_GB2312" w:cs="Times New Roman"/>
          <w:kern w:val="0"/>
          <w:sz w:val="28"/>
          <w:szCs w:val="28"/>
        </w:rPr>
        <w:t>1710.96</w:t>
      </w:r>
      <w:r>
        <w:rPr>
          <w:rFonts w:hint="eastAsia" w:ascii="Times New Roman" w:hAnsi="Times New Roman" w:eastAsia="仿宋_GB2312" w:cs="Times New Roman"/>
          <w:kern w:val="0"/>
          <w:sz w:val="28"/>
          <w:szCs w:val="28"/>
        </w:rPr>
        <w:t>万元及</w:t>
      </w:r>
      <w:r>
        <w:rPr>
          <w:rFonts w:ascii="Times New Roman" w:hAnsi="Times New Roman" w:eastAsia="仿宋_GB2312" w:cs="Times New Roman"/>
          <w:kern w:val="0"/>
          <w:sz w:val="28"/>
          <w:szCs w:val="28"/>
        </w:rPr>
        <w:t>3004.58</w:t>
      </w:r>
      <w:r>
        <w:rPr>
          <w:rFonts w:hint="eastAsia" w:ascii="Times New Roman" w:hAnsi="Times New Roman" w:eastAsia="仿宋_GB2312" w:cs="Times New Roman"/>
          <w:kern w:val="0"/>
          <w:sz w:val="28"/>
          <w:szCs w:val="28"/>
        </w:rPr>
        <w:t>万元，同2</w:t>
      </w:r>
      <w:r>
        <w:rPr>
          <w:rFonts w:ascii="Times New Roman" w:hAnsi="Times New Roman" w:eastAsia="仿宋_GB2312" w:cs="Times New Roman"/>
          <w:kern w:val="0"/>
          <w:sz w:val="28"/>
          <w:szCs w:val="28"/>
        </w:rPr>
        <w:t>017</w:t>
      </w:r>
      <w:r>
        <w:rPr>
          <w:rFonts w:hint="eastAsia" w:ascii="Times New Roman" w:hAnsi="Times New Roman" w:eastAsia="仿宋_GB2312" w:cs="Times New Roman"/>
          <w:kern w:val="0"/>
          <w:sz w:val="28"/>
          <w:szCs w:val="28"/>
        </w:rPr>
        <w:t>年相比，年度整体成本增幅高达7</w:t>
      </w:r>
      <w:r>
        <w:rPr>
          <w:rFonts w:ascii="Times New Roman" w:hAnsi="Times New Roman" w:eastAsia="仿宋_GB2312" w:cs="Times New Roman"/>
          <w:kern w:val="0"/>
          <w:sz w:val="28"/>
          <w:szCs w:val="28"/>
        </w:rPr>
        <w:t>5.61</w:t>
      </w:r>
      <w:r>
        <w:rPr>
          <w:rFonts w:hint="eastAsia" w:ascii="Times New Roman" w:hAnsi="Times New Roman" w:eastAsia="仿宋_GB2312" w:cs="Times New Roman"/>
          <w:kern w:val="0"/>
          <w:sz w:val="28"/>
          <w:szCs w:val="28"/>
        </w:rPr>
        <w:t>%，增幅远远高于运营里程、驾驶员数量、管理人员数量以及运营车辆数量等代表公交运营规模的指标增速。同时，年度成本变动与年度营业收入变动趋势与幅度匹配度也较低，年度成本变动跳跃性大、成本控制不够合理。</w:t>
      </w:r>
    </w:p>
    <w:p w14:paraId="18AA245E">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同时，从各明细成本变动来看：</w:t>
      </w:r>
      <w:r>
        <w:rPr>
          <w:rFonts w:ascii="Times New Roman" w:hAnsi="Times New Roman" w:eastAsia="仿宋_GB2312" w:cs="Times New Roman"/>
          <w:kern w:val="0"/>
          <w:sz w:val="28"/>
          <w:szCs w:val="28"/>
        </w:rPr>
        <w:fldChar w:fldCharType="begin"/>
      </w:r>
      <w:r>
        <w:rPr>
          <w:rFonts w:ascii="Times New Roman" w:hAnsi="Times New Roman" w:eastAsia="仿宋_GB2312" w:cs="Times New Roman"/>
          <w:kern w:val="0"/>
          <w:sz w:val="28"/>
          <w:szCs w:val="28"/>
        </w:rPr>
        <w:instrText xml:space="preserve"> </w:instrText>
      </w:r>
      <w:r>
        <w:rPr>
          <w:rFonts w:hint="eastAsia" w:ascii="Times New Roman" w:hAnsi="Times New Roman" w:eastAsia="仿宋_GB2312" w:cs="Times New Roman"/>
          <w:kern w:val="0"/>
          <w:sz w:val="28"/>
          <w:szCs w:val="28"/>
        </w:rPr>
        <w:instrText xml:space="preserve">= 1 \* GB3</w:instrText>
      </w:r>
      <w:r>
        <w:rPr>
          <w:rFonts w:ascii="Times New Roman" w:hAnsi="Times New Roman" w:eastAsia="仿宋_GB2312" w:cs="Times New Roman"/>
          <w:kern w:val="0"/>
          <w:sz w:val="28"/>
          <w:szCs w:val="28"/>
        </w:rPr>
        <w:instrText xml:space="preserve"> </w:instrText>
      </w:r>
      <w:r>
        <w:rPr>
          <w:rFonts w:ascii="Times New Roman" w:hAnsi="Times New Roman" w:eastAsia="仿宋_GB2312" w:cs="Times New Roman"/>
          <w:kern w:val="0"/>
          <w:sz w:val="28"/>
          <w:szCs w:val="28"/>
        </w:rPr>
        <w:fldChar w:fldCharType="separate"/>
      </w:r>
      <w:r>
        <w:rPr>
          <w:rFonts w:hint="eastAsia" w:ascii="Times New Roman" w:hAnsi="Times New Roman" w:eastAsia="仿宋_GB2312" w:cs="Times New Roman"/>
          <w:kern w:val="0"/>
          <w:sz w:val="28"/>
          <w:szCs w:val="28"/>
        </w:rPr>
        <w:t>①</w:t>
      </w:r>
      <w:r>
        <w:rPr>
          <w:rFonts w:ascii="Times New Roman" w:hAnsi="Times New Roman" w:eastAsia="仿宋_GB2312" w:cs="Times New Roman"/>
          <w:kern w:val="0"/>
          <w:sz w:val="28"/>
          <w:szCs w:val="28"/>
        </w:rPr>
        <w:fldChar w:fldCharType="end"/>
      </w:r>
      <w:r>
        <w:rPr>
          <w:rFonts w:ascii="Times New Roman" w:hAnsi="Times New Roman" w:eastAsia="仿宋_GB2312" w:cs="Times New Roman"/>
          <w:kern w:val="0"/>
          <w:sz w:val="28"/>
          <w:szCs w:val="28"/>
        </w:rPr>
        <w:t>2017-2018年直接成本（人工费、燃料费、折旧费、维修费、保险费） 同比增速分比为12.69%、30.17%。细分来看，综合考虑运营里程、驾驶员数量、车辆变动情况（2017年底新增130辆新能源车和2018年新增30辆新能源车），2018年直接成本增速（主要由燃料费、折旧费、保险费增加导致）基本合理。</w:t>
      </w:r>
      <w:r>
        <w:rPr>
          <w:rFonts w:ascii="Times New Roman" w:hAnsi="Times New Roman" w:eastAsia="仿宋_GB2312" w:cs="Times New Roman"/>
          <w:kern w:val="0"/>
          <w:sz w:val="28"/>
          <w:szCs w:val="28"/>
        </w:rPr>
        <w:fldChar w:fldCharType="begin"/>
      </w:r>
      <w:r>
        <w:rPr>
          <w:rFonts w:ascii="Times New Roman" w:hAnsi="Times New Roman" w:eastAsia="仿宋_GB2312" w:cs="Times New Roman"/>
          <w:kern w:val="0"/>
          <w:sz w:val="28"/>
          <w:szCs w:val="28"/>
        </w:rPr>
        <w:instrText xml:space="preserve"> </w:instrText>
      </w:r>
      <w:r>
        <w:rPr>
          <w:rFonts w:hint="eastAsia" w:ascii="Times New Roman" w:hAnsi="Times New Roman" w:eastAsia="仿宋_GB2312" w:cs="Times New Roman"/>
          <w:kern w:val="0"/>
          <w:sz w:val="28"/>
          <w:szCs w:val="28"/>
        </w:rPr>
        <w:instrText xml:space="preserve">= 2 \* GB3</w:instrText>
      </w:r>
      <w:r>
        <w:rPr>
          <w:rFonts w:ascii="Times New Roman" w:hAnsi="Times New Roman" w:eastAsia="仿宋_GB2312" w:cs="Times New Roman"/>
          <w:kern w:val="0"/>
          <w:sz w:val="28"/>
          <w:szCs w:val="28"/>
        </w:rPr>
        <w:instrText xml:space="preserve"> </w:instrText>
      </w:r>
      <w:r>
        <w:rPr>
          <w:rFonts w:ascii="Times New Roman" w:hAnsi="Times New Roman" w:eastAsia="仿宋_GB2312" w:cs="Times New Roman"/>
          <w:kern w:val="0"/>
          <w:sz w:val="28"/>
          <w:szCs w:val="28"/>
        </w:rPr>
        <w:fldChar w:fldCharType="separate"/>
      </w:r>
      <w:r>
        <w:rPr>
          <w:rFonts w:hint="eastAsia" w:ascii="Times New Roman" w:hAnsi="Times New Roman" w:eastAsia="仿宋_GB2312" w:cs="Times New Roman"/>
          <w:kern w:val="0"/>
          <w:sz w:val="28"/>
          <w:szCs w:val="28"/>
        </w:rPr>
        <w:t>②</w:t>
      </w:r>
      <w:r>
        <w:rPr>
          <w:rFonts w:ascii="Times New Roman" w:hAnsi="Times New Roman" w:eastAsia="仿宋_GB2312" w:cs="Times New Roman"/>
          <w:kern w:val="0"/>
          <w:sz w:val="28"/>
          <w:szCs w:val="28"/>
        </w:rPr>
        <w:fldChar w:fldCharType="end"/>
      </w:r>
      <w:r>
        <w:rPr>
          <w:rFonts w:ascii="Times New Roman" w:hAnsi="Times New Roman" w:eastAsia="仿宋_GB2312" w:cs="Times New Roman"/>
          <w:kern w:val="0"/>
          <w:sz w:val="28"/>
          <w:szCs w:val="28"/>
        </w:rPr>
        <w:t>2018年其他管理费和财务费分别同比激增376.35%和501.35%，导致非直接成本（其他管理费、财务费用、税金及附加）2018年同比增长419.19%。</w:t>
      </w:r>
    </w:p>
    <w:p w14:paraId="14E16F28">
      <w:pPr>
        <w:pStyle w:val="21"/>
        <w:rPr>
          <w:sz w:val="28"/>
        </w:rPr>
      </w:pPr>
      <w:r>
        <w:rPr>
          <w:rFonts w:hint="eastAsia"/>
        </w:rPr>
        <w:t>表4-</w:t>
      </w:r>
      <w:r>
        <w:t>3 2016</w:t>
      </w:r>
      <w:r>
        <w:rPr>
          <w:rFonts w:hint="eastAsia"/>
        </w:rPr>
        <w:t>-</w:t>
      </w:r>
      <w:r>
        <w:t>2018</w:t>
      </w:r>
      <w:r>
        <w:rPr>
          <w:rFonts w:hint="eastAsia"/>
        </w:rPr>
        <w:t xml:space="preserve">年滑县公交公司成本变动情况 </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5"/>
        <w:gridCol w:w="1254"/>
        <w:gridCol w:w="1106"/>
        <w:gridCol w:w="1203"/>
        <w:gridCol w:w="1106"/>
        <w:gridCol w:w="1058"/>
      </w:tblGrid>
      <w:tr w14:paraId="7097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95" w:type="dxa"/>
            <w:vMerge w:val="restart"/>
            <w:shd w:val="clear" w:color="auto" w:fill="BEBEBE" w:themeFill="background1" w:themeFillShade="BF"/>
            <w:vAlign w:val="center"/>
          </w:tcPr>
          <w:p w14:paraId="1419994A">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名称</w:t>
            </w:r>
          </w:p>
        </w:tc>
        <w:tc>
          <w:tcPr>
            <w:tcW w:w="1254" w:type="dxa"/>
            <w:vMerge w:val="restart"/>
            <w:shd w:val="clear" w:color="auto" w:fill="BEBEBE" w:themeFill="background1" w:themeFillShade="BF"/>
            <w:vAlign w:val="center"/>
          </w:tcPr>
          <w:p w14:paraId="192C22DA">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016</w:t>
            </w:r>
            <w:r>
              <w:rPr>
                <w:rFonts w:hint="eastAsia" w:ascii="Times New Roman" w:hAnsi="Times New Roman" w:eastAsia="仿宋_GB2312" w:cs="Times New Roman"/>
                <w:b/>
                <w:color w:val="000000"/>
                <w:kern w:val="0"/>
                <w:sz w:val="21"/>
                <w:szCs w:val="21"/>
              </w:rPr>
              <w:t>年</w:t>
            </w:r>
          </w:p>
        </w:tc>
        <w:tc>
          <w:tcPr>
            <w:tcW w:w="2309" w:type="dxa"/>
            <w:gridSpan w:val="2"/>
            <w:shd w:val="clear" w:color="auto" w:fill="BEBEBE" w:themeFill="background1" w:themeFillShade="BF"/>
            <w:vAlign w:val="center"/>
          </w:tcPr>
          <w:p w14:paraId="284164A8">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017</w:t>
            </w:r>
            <w:r>
              <w:rPr>
                <w:rFonts w:hint="eastAsia" w:ascii="Times New Roman" w:hAnsi="Times New Roman" w:eastAsia="仿宋_GB2312" w:cs="Times New Roman"/>
                <w:b/>
                <w:color w:val="000000"/>
                <w:kern w:val="0"/>
                <w:sz w:val="21"/>
                <w:szCs w:val="21"/>
              </w:rPr>
              <w:t>年</w:t>
            </w:r>
          </w:p>
        </w:tc>
        <w:tc>
          <w:tcPr>
            <w:tcW w:w="2164" w:type="dxa"/>
            <w:gridSpan w:val="2"/>
            <w:shd w:val="clear" w:color="auto" w:fill="BEBEBE" w:themeFill="background1" w:themeFillShade="BF"/>
            <w:vAlign w:val="center"/>
          </w:tcPr>
          <w:p w14:paraId="400E3EDB">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018</w:t>
            </w:r>
            <w:r>
              <w:rPr>
                <w:rFonts w:hint="eastAsia" w:ascii="Times New Roman" w:hAnsi="Times New Roman" w:eastAsia="仿宋_GB2312" w:cs="Times New Roman"/>
                <w:b/>
                <w:color w:val="000000"/>
                <w:kern w:val="0"/>
                <w:sz w:val="21"/>
                <w:szCs w:val="21"/>
              </w:rPr>
              <w:t>年</w:t>
            </w:r>
          </w:p>
        </w:tc>
      </w:tr>
      <w:tr w14:paraId="5FBB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95" w:type="dxa"/>
            <w:vMerge w:val="continue"/>
            <w:shd w:val="clear" w:color="auto" w:fill="BEBEBE" w:themeFill="background1" w:themeFillShade="BF"/>
            <w:vAlign w:val="center"/>
          </w:tcPr>
          <w:p w14:paraId="5EAEBC8A">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p>
        </w:tc>
        <w:tc>
          <w:tcPr>
            <w:tcW w:w="1254" w:type="dxa"/>
            <w:vMerge w:val="continue"/>
            <w:shd w:val="clear" w:color="auto" w:fill="BEBEBE" w:themeFill="background1" w:themeFillShade="BF"/>
            <w:vAlign w:val="center"/>
          </w:tcPr>
          <w:p w14:paraId="6B935A1F">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p>
        </w:tc>
        <w:tc>
          <w:tcPr>
            <w:tcW w:w="1106" w:type="dxa"/>
            <w:shd w:val="clear" w:color="auto" w:fill="BEBEBE" w:themeFill="background1" w:themeFillShade="BF"/>
            <w:vAlign w:val="center"/>
          </w:tcPr>
          <w:p w14:paraId="2EE0C662">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数值</w:t>
            </w:r>
          </w:p>
        </w:tc>
        <w:tc>
          <w:tcPr>
            <w:tcW w:w="1203" w:type="dxa"/>
            <w:shd w:val="clear" w:color="auto" w:fill="BEBEBE" w:themeFill="background1" w:themeFillShade="BF"/>
            <w:vAlign w:val="center"/>
          </w:tcPr>
          <w:p w14:paraId="0415ACDF">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同比</w:t>
            </w:r>
          </w:p>
        </w:tc>
        <w:tc>
          <w:tcPr>
            <w:tcW w:w="1106" w:type="dxa"/>
            <w:shd w:val="clear" w:color="auto" w:fill="BEBEBE" w:themeFill="background1" w:themeFillShade="BF"/>
            <w:vAlign w:val="center"/>
          </w:tcPr>
          <w:p w14:paraId="6F6637EA">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数值</w:t>
            </w:r>
          </w:p>
        </w:tc>
        <w:tc>
          <w:tcPr>
            <w:tcW w:w="1058" w:type="dxa"/>
            <w:shd w:val="clear" w:color="auto" w:fill="BEBEBE" w:themeFill="background1" w:themeFillShade="BF"/>
            <w:vAlign w:val="center"/>
          </w:tcPr>
          <w:p w14:paraId="791C55A7">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同比</w:t>
            </w:r>
          </w:p>
        </w:tc>
      </w:tr>
      <w:tr w14:paraId="4F3D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2CE6170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驾驶员数量</w:t>
            </w:r>
          </w:p>
        </w:tc>
        <w:tc>
          <w:tcPr>
            <w:tcW w:w="1254" w:type="dxa"/>
            <w:vAlign w:val="center"/>
          </w:tcPr>
          <w:p w14:paraId="045074B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9</w:t>
            </w:r>
            <w:r>
              <w:rPr>
                <w:rFonts w:ascii="Times New Roman" w:hAnsi="Times New Roman" w:eastAsia="仿宋_GB2312" w:cs="Times New Roman"/>
                <w:bCs/>
                <w:color w:val="000000"/>
                <w:kern w:val="0"/>
                <w:sz w:val="21"/>
                <w:szCs w:val="21"/>
              </w:rPr>
              <w:t>8</w:t>
            </w:r>
          </w:p>
        </w:tc>
        <w:tc>
          <w:tcPr>
            <w:tcW w:w="1106" w:type="dxa"/>
            <w:vAlign w:val="center"/>
          </w:tcPr>
          <w:p w14:paraId="1C9A251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20</w:t>
            </w:r>
          </w:p>
        </w:tc>
        <w:tc>
          <w:tcPr>
            <w:tcW w:w="1203" w:type="dxa"/>
            <w:vAlign w:val="center"/>
          </w:tcPr>
          <w:p w14:paraId="239BCAD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2.45</w:t>
            </w:r>
            <w:r>
              <w:rPr>
                <w:rFonts w:hint="eastAsia" w:ascii="Times New Roman" w:hAnsi="Times New Roman" w:eastAsia="仿宋_GB2312" w:cs="Times New Roman"/>
                <w:bCs/>
                <w:color w:val="000000"/>
                <w:kern w:val="0"/>
                <w:sz w:val="21"/>
                <w:szCs w:val="21"/>
              </w:rPr>
              <w:t>%</w:t>
            </w:r>
          </w:p>
        </w:tc>
        <w:tc>
          <w:tcPr>
            <w:tcW w:w="1106" w:type="dxa"/>
            <w:vAlign w:val="center"/>
          </w:tcPr>
          <w:p w14:paraId="3C01C44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40</w:t>
            </w:r>
          </w:p>
        </w:tc>
        <w:tc>
          <w:tcPr>
            <w:tcW w:w="1058" w:type="dxa"/>
            <w:vAlign w:val="center"/>
          </w:tcPr>
          <w:p w14:paraId="4A61FD2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6.67</w:t>
            </w:r>
            <w:r>
              <w:rPr>
                <w:rFonts w:hint="eastAsia" w:ascii="Times New Roman" w:hAnsi="Times New Roman" w:eastAsia="仿宋_GB2312" w:cs="Times New Roman"/>
                <w:bCs/>
                <w:color w:val="000000"/>
                <w:kern w:val="0"/>
                <w:sz w:val="21"/>
                <w:szCs w:val="21"/>
              </w:rPr>
              <w:t>%</w:t>
            </w:r>
          </w:p>
        </w:tc>
      </w:tr>
      <w:tr w14:paraId="2830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73075F0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管理人员数量</w:t>
            </w:r>
          </w:p>
        </w:tc>
        <w:tc>
          <w:tcPr>
            <w:tcW w:w="1254" w:type="dxa"/>
            <w:vAlign w:val="center"/>
          </w:tcPr>
          <w:p w14:paraId="1528B37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3</w:t>
            </w:r>
          </w:p>
        </w:tc>
        <w:tc>
          <w:tcPr>
            <w:tcW w:w="1106" w:type="dxa"/>
            <w:vAlign w:val="center"/>
          </w:tcPr>
          <w:p w14:paraId="61766B4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5</w:t>
            </w:r>
          </w:p>
        </w:tc>
        <w:tc>
          <w:tcPr>
            <w:tcW w:w="1203" w:type="dxa"/>
            <w:vAlign w:val="center"/>
          </w:tcPr>
          <w:p w14:paraId="3FA46D6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5.38</w:t>
            </w:r>
            <w:r>
              <w:rPr>
                <w:rFonts w:hint="eastAsia" w:ascii="Times New Roman" w:hAnsi="Times New Roman" w:eastAsia="仿宋_GB2312" w:cs="Times New Roman"/>
                <w:bCs/>
                <w:color w:val="000000"/>
                <w:kern w:val="0"/>
                <w:sz w:val="21"/>
                <w:szCs w:val="21"/>
              </w:rPr>
              <w:t>%</w:t>
            </w:r>
          </w:p>
        </w:tc>
        <w:tc>
          <w:tcPr>
            <w:tcW w:w="1106" w:type="dxa"/>
            <w:vAlign w:val="center"/>
          </w:tcPr>
          <w:p w14:paraId="029C3D1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7</w:t>
            </w:r>
          </w:p>
        </w:tc>
        <w:tc>
          <w:tcPr>
            <w:tcW w:w="1058" w:type="dxa"/>
            <w:vAlign w:val="center"/>
          </w:tcPr>
          <w:p w14:paraId="38E19DB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3.33</w:t>
            </w:r>
            <w:r>
              <w:rPr>
                <w:rFonts w:hint="eastAsia" w:ascii="Times New Roman" w:hAnsi="Times New Roman" w:eastAsia="仿宋_GB2312" w:cs="Times New Roman"/>
                <w:bCs/>
                <w:color w:val="000000"/>
                <w:kern w:val="0"/>
                <w:sz w:val="21"/>
                <w:szCs w:val="21"/>
              </w:rPr>
              <w:t>%</w:t>
            </w:r>
          </w:p>
        </w:tc>
      </w:tr>
      <w:tr w14:paraId="4F8B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223ACBD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运营里程（万km）</w:t>
            </w:r>
          </w:p>
        </w:tc>
        <w:tc>
          <w:tcPr>
            <w:tcW w:w="1254" w:type="dxa"/>
            <w:vAlign w:val="center"/>
          </w:tcPr>
          <w:p w14:paraId="004DF7D9">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69.47</w:t>
            </w:r>
          </w:p>
        </w:tc>
        <w:tc>
          <w:tcPr>
            <w:tcW w:w="1106" w:type="dxa"/>
            <w:vAlign w:val="center"/>
          </w:tcPr>
          <w:p w14:paraId="75ECB24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6</w:t>
            </w:r>
            <w:r>
              <w:rPr>
                <w:rFonts w:ascii="Times New Roman" w:hAnsi="Times New Roman" w:eastAsia="仿宋_GB2312" w:cs="Times New Roman"/>
                <w:bCs/>
                <w:color w:val="000000"/>
                <w:kern w:val="0"/>
                <w:sz w:val="21"/>
                <w:szCs w:val="21"/>
              </w:rPr>
              <w:t>40.91</w:t>
            </w:r>
          </w:p>
        </w:tc>
        <w:tc>
          <w:tcPr>
            <w:tcW w:w="1203" w:type="dxa"/>
            <w:vAlign w:val="center"/>
          </w:tcPr>
          <w:p w14:paraId="3542CDE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7</w:t>
            </w:r>
            <w:r>
              <w:rPr>
                <w:rFonts w:ascii="Times New Roman" w:hAnsi="Times New Roman" w:eastAsia="仿宋_GB2312" w:cs="Times New Roman"/>
                <w:bCs/>
                <w:color w:val="000000"/>
                <w:kern w:val="0"/>
                <w:sz w:val="21"/>
                <w:szCs w:val="21"/>
              </w:rPr>
              <w:t>3.47</w:t>
            </w:r>
            <w:r>
              <w:rPr>
                <w:rFonts w:hint="eastAsia" w:ascii="Times New Roman" w:hAnsi="Times New Roman" w:eastAsia="仿宋_GB2312" w:cs="Times New Roman"/>
                <w:bCs/>
                <w:color w:val="000000"/>
                <w:kern w:val="0"/>
                <w:sz w:val="21"/>
                <w:szCs w:val="21"/>
              </w:rPr>
              <w:t>%</w:t>
            </w:r>
          </w:p>
        </w:tc>
        <w:tc>
          <w:tcPr>
            <w:tcW w:w="1106" w:type="dxa"/>
            <w:vAlign w:val="center"/>
          </w:tcPr>
          <w:p w14:paraId="087A1B2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6</w:t>
            </w:r>
            <w:r>
              <w:rPr>
                <w:rFonts w:ascii="Times New Roman" w:hAnsi="Times New Roman" w:eastAsia="仿宋_GB2312" w:cs="Times New Roman"/>
                <w:bCs/>
                <w:color w:val="000000"/>
                <w:kern w:val="0"/>
                <w:sz w:val="21"/>
                <w:szCs w:val="21"/>
              </w:rPr>
              <w:t>91.43</w:t>
            </w:r>
          </w:p>
        </w:tc>
        <w:tc>
          <w:tcPr>
            <w:tcW w:w="1058" w:type="dxa"/>
            <w:vAlign w:val="center"/>
          </w:tcPr>
          <w:p w14:paraId="0F56203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7</w:t>
            </w:r>
            <w:r>
              <w:rPr>
                <w:rFonts w:ascii="Times New Roman" w:hAnsi="Times New Roman" w:eastAsia="仿宋_GB2312" w:cs="Times New Roman"/>
                <w:bCs/>
                <w:color w:val="000000"/>
                <w:kern w:val="0"/>
                <w:sz w:val="21"/>
                <w:szCs w:val="21"/>
              </w:rPr>
              <w:t>.88</w:t>
            </w:r>
            <w:r>
              <w:rPr>
                <w:rFonts w:hint="eastAsia" w:ascii="Times New Roman" w:hAnsi="Times New Roman" w:eastAsia="仿宋_GB2312" w:cs="Times New Roman"/>
                <w:bCs/>
                <w:color w:val="000000"/>
                <w:kern w:val="0"/>
                <w:sz w:val="21"/>
                <w:szCs w:val="21"/>
              </w:rPr>
              <w:t>%</w:t>
            </w:r>
          </w:p>
        </w:tc>
      </w:tr>
      <w:tr w14:paraId="6A4F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795" w:type="dxa"/>
            <w:tcBorders>
              <w:top w:val="single" w:color="auto" w:sz="4" w:space="0"/>
              <w:left w:val="single" w:color="auto" w:sz="4" w:space="0"/>
              <w:bottom w:val="single" w:color="auto" w:sz="4" w:space="0"/>
              <w:right w:val="single" w:color="auto" w:sz="4" w:space="0"/>
            </w:tcBorders>
          </w:tcPr>
          <w:p w14:paraId="52A447F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人工费</w:t>
            </w:r>
          </w:p>
        </w:tc>
        <w:tc>
          <w:tcPr>
            <w:tcW w:w="1254" w:type="dxa"/>
            <w:tcBorders>
              <w:top w:val="single" w:color="auto" w:sz="4" w:space="0"/>
              <w:left w:val="single" w:color="auto" w:sz="4" w:space="0"/>
              <w:bottom w:val="single" w:color="auto" w:sz="4" w:space="0"/>
              <w:right w:val="single" w:color="auto" w:sz="4" w:space="0"/>
            </w:tcBorders>
            <w:vAlign w:val="center"/>
          </w:tcPr>
          <w:p w14:paraId="08B91CD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367.37</w:t>
            </w:r>
          </w:p>
        </w:tc>
        <w:tc>
          <w:tcPr>
            <w:tcW w:w="1106" w:type="dxa"/>
            <w:tcBorders>
              <w:top w:val="single" w:color="auto" w:sz="4" w:space="0"/>
              <w:left w:val="single" w:color="auto" w:sz="4" w:space="0"/>
              <w:bottom w:val="single" w:color="auto" w:sz="4" w:space="0"/>
              <w:right w:val="single" w:color="auto" w:sz="4" w:space="0"/>
            </w:tcBorders>
            <w:vAlign w:val="center"/>
          </w:tcPr>
          <w:p w14:paraId="798A55C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499.08</w:t>
            </w:r>
          </w:p>
        </w:tc>
        <w:tc>
          <w:tcPr>
            <w:tcW w:w="1203" w:type="dxa"/>
            <w:tcBorders>
              <w:top w:val="single" w:color="auto" w:sz="4" w:space="0"/>
              <w:left w:val="nil"/>
              <w:bottom w:val="single" w:color="auto" w:sz="4" w:space="0"/>
              <w:right w:val="single" w:color="auto" w:sz="4" w:space="0"/>
            </w:tcBorders>
            <w:vAlign w:val="bottom"/>
          </w:tcPr>
          <w:p w14:paraId="65AFF2D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35.85%</w:t>
            </w:r>
          </w:p>
        </w:tc>
        <w:tc>
          <w:tcPr>
            <w:tcW w:w="1106" w:type="dxa"/>
            <w:tcBorders>
              <w:top w:val="single" w:color="auto" w:sz="4" w:space="0"/>
              <w:left w:val="single" w:color="auto" w:sz="4" w:space="0"/>
              <w:bottom w:val="single" w:color="auto" w:sz="4" w:space="0"/>
              <w:right w:val="single" w:color="auto" w:sz="4" w:space="0"/>
            </w:tcBorders>
            <w:vAlign w:val="center"/>
          </w:tcPr>
          <w:p w14:paraId="67F53C2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525.07</w:t>
            </w:r>
          </w:p>
        </w:tc>
        <w:tc>
          <w:tcPr>
            <w:tcW w:w="1058" w:type="dxa"/>
            <w:tcBorders>
              <w:top w:val="single" w:color="auto" w:sz="4" w:space="0"/>
              <w:left w:val="single" w:color="auto" w:sz="4" w:space="0"/>
              <w:bottom w:val="single" w:color="auto" w:sz="4" w:space="0"/>
              <w:right w:val="single" w:color="auto" w:sz="4" w:space="0"/>
            </w:tcBorders>
            <w:vAlign w:val="bottom"/>
          </w:tcPr>
          <w:p w14:paraId="69F2E5E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5.21%</w:t>
            </w:r>
          </w:p>
        </w:tc>
      </w:tr>
      <w:tr w14:paraId="3B79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14:paraId="764495A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燃料费</w:t>
            </w:r>
          </w:p>
        </w:tc>
        <w:tc>
          <w:tcPr>
            <w:tcW w:w="1254" w:type="dxa"/>
            <w:tcBorders>
              <w:top w:val="single" w:color="auto" w:sz="4" w:space="0"/>
              <w:left w:val="single" w:color="auto" w:sz="4" w:space="0"/>
              <w:bottom w:val="single" w:color="auto" w:sz="4" w:space="0"/>
              <w:right w:val="single" w:color="auto" w:sz="4" w:space="0"/>
            </w:tcBorders>
            <w:vAlign w:val="center"/>
          </w:tcPr>
          <w:p w14:paraId="3E9AF87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124.86</w:t>
            </w:r>
          </w:p>
        </w:tc>
        <w:tc>
          <w:tcPr>
            <w:tcW w:w="1106" w:type="dxa"/>
            <w:tcBorders>
              <w:top w:val="single" w:color="auto" w:sz="4" w:space="0"/>
              <w:left w:val="single" w:color="auto" w:sz="4" w:space="0"/>
              <w:bottom w:val="single" w:color="auto" w:sz="4" w:space="0"/>
              <w:right w:val="single" w:color="auto" w:sz="4" w:space="0"/>
            </w:tcBorders>
            <w:vAlign w:val="center"/>
          </w:tcPr>
          <w:p w14:paraId="53115D1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131.64</w:t>
            </w:r>
          </w:p>
        </w:tc>
        <w:tc>
          <w:tcPr>
            <w:tcW w:w="1203" w:type="dxa"/>
            <w:tcBorders>
              <w:top w:val="single" w:color="auto" w:sz="4" w:space="0"/>
              <w:left w:val="nil"/>
              <w:bottom w:val="single" w:color="auto" w:sz="4" w:space="0"/>
              <w:right w:val="single" w:color="auto" w:sz="4" w:space="0"/>
            </w:tcBorders>
            <w:vAlign w:val="bottom"/>
          </w:tcPr>
          <w:p w14:paraId="25A3DC52">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5.43%</w:t>
            </w:r>
          </w:p>
        </w:tc>
        <w:tc>
          <w:tcPr>
            <w:tcW w:w="1106" w:type="dxa"/>
            <w:tcBorders>
              <w:top w:val="single" w:color="auto" w:sz="4" w:space="0"/>
              <w:left w:val="single" w:color="auto" w:sz="4" w:space="0"/>
              <w:bottom w:val="single" w:color="auto" w:sz="4" w:space="0"/>
              <w:right w:val="single" w:color="auto" w:sz="4" w:space="0"/>
            </w:tcBorders>
            <w:vAlign w:val="center"/>
          </w:tcPr>
          <w:p w14:paraId="70B19FC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174.73</w:t>
            </w:r>
          </w:p>
        </w:tc>
        <w:tc>
          <w:tcPr>
            <w:tcW w:w="1058" w:type="dxa"/>
            <w:tcBorders>
              <w:top w:val="single" w:color="auto" w:sz="4" w:space="0"/>
              <w:left w:val="single" w:color="auto" w:sz="4" w:space="0"/>
              <w:bottom w:val="single" w:color="auto" w:sz="4" w:space="0"/>
              <w:right w:val="single" w:color="auto" w:sz="4" w:space="0"/>
            </w:tcBorders>
            <w:vAlign w:val="bottom"/>
          </w:tcPr>
          <w:p w14:paraId="2F73738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32.73%</w:t>
            </w:r>
          </w:p>
        </w:tc>
      </w:tr>
      <w:tr w14:paraId="3354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14:paraId="4AD6084B">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折旧费</w:t>
            </w:r>
          </w:p>
        </w:tc>
        <w:tc>
          <w:tcPr>
            <w:tcW w:w="1254" w:type="dxa"/>
            <w:tcBorders>
              <w:top w:val="single" w:color="auto" w:sz="4" w:space="0"/>
              <w:left w:val="single" w:color="auto" w:sz="4" w:space="0"/>
              <w:bottom w:val="single" w:color="auto" w:sz="4" w:space="0"/>
              <w:right w:val="single" w:color="auto" w:sz="4" w:space="0"/>
            </w:tcBorders>
            <w:vAlign w:val="center"/>
          </w:tcPr>
          <w:p w14:paraId="4A1A9A92">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796.12</w:t>
            </w:r>
          </w:p>
        </w:tc>
        <w:tc>
          <w:tcPr>
            <w:tcW w:w="1106" w:type="dxa"/>
            <w:tcBorders>
              <w:top w:val="single" w:color="auto" w:sz="4" w:space="0"/>
              <w:left w:val="single" w:color="auto" w:sz="4" w:space="0"/>
              <w:bottom w:val="single" w:color="auto" w:sz="4" w:space="0"/>
              <w:right w:val="single" w:color="auto" w:sz="4" w:space="0"/>
            </w:tcBorders>
            <w:vAlign w:val="center"/>
          </w:tcPr>
          <w:p w14:paraId="7C052D2C">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821.50</w:t>
            </w:r>
          </w:p>
        </w:tc>
        <w:tc>
          <w:tcPr>
            <w:tcW w:w="1203" w:type="dxa"/>
            <w:tcBorders>
              <w:top w:val="single" w:color="auto" w:sz="4" w:space="0"/>
              <w:left w:val="nil"/>
              <w:bottom w:val="single" w:color="auto" w:sz="4" w:space="0"/>
              <w:right w:val="single" w:color="auto" w:sz="4" w:space="0"/>
            </w:tcBorders>
            <w:vAlign w:val="bottom"/>
          </w:tcPr>
          <w:p w14:paraId="2E053C42">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3.19%</w:t>
            </w:r>
          </w:p>
        </w:tc>
        <w:tc>
          <w:tcPr>
            <w:tcW w:w="1106" w:type="dxa"/>
            <w:tcBorders>
              <w:top w:val="single" w:color="auto" w:sz="4" w:space="0"/>
              <w:left w:val="single" w:color="auto" w:sz="4" w:space="0"/>
              <w:bottom w:val="single" w:color="auto" w:sz="4" w:space="0"/>
              <w:right w:val="single" w:color="auto" w:sz="4" w:space="0"/>
            </w:tcBorders>
            <w:vAlign w:val="center"/>
          </w:tcPr>
          <w:p w14:paraId="35E79680">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1130.30</w:t>
            </w:r>
          </w:p>
        </w:tc>
        <w:tc>
          <w:tcPr>
            <w:tcW w:w="1058" w:type="dxa"/>
            <w:tcBorders>
              <w:top w:val="single" w:color="auto" w:sz="4" w:space="0"/>
              <w:left w:val="single" w:color="auto" w:sz="4" w:space="0"/>
              <w:bottom w:val="single" w:color="auto" w:sz="4" w:space="0"/>
              <w:right w:val="single" w:color="auto" w:sz="4" w:space="0"/>
            </w:tcBorders>
            <w:vAlign w:val="bottom"/>
          </w:tcPr>
          <w:p w14:paraId="3ED9B783">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37.59%</w:t>
            </w:r>
          </w:p>
        </w:tc>
      </w:tr>
      <w:tr w14:paraId="13B5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14:paraId="708D9127">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维修费</w:t>
            </w:r>
          </w:p>
        </w:tc>
        <w:tc>
          <w:tcPr>
            <w:tcW w:w="1254" w:type="dxa"/>
            <w:tcBorders>
              <w:top w:val="single" w:color="auto" w:sz="4" w:space="0"/>
              <w:left w:val="single" w:color="auto" w:sz="4" w:space="0"/>
              <w:bottom w:val="single" w:color="auto" w:sz="4" w:space="0"/>
              <w:right w:val="single" w:color="auto" w:sz="4" w:space="0"/>
            </w:tcBorders>
            <w:vAlign w:val="center"/>
          </w:tcPr>
          <w:p w14:paraId="1DC5B2E7">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10.12</w:t>
            </w:r>
          </w:p>
        </w:tc>
        <w:tc>
          <w:tcPr>
            <w:tcW w:w="1106" w:type="dxa"/>
            <w:tcBorders>
              <w:top w:val="single" w:color="auto" w:sz="4" w:space="0"/>
              <w:left w:val="single" w:color="auto" w:sz="4" w:space="0"/>
              <w:bottom w:val="single" w:color="auto" w:sz="4" w:space="0"/>
              <w:right w:val="single" w:color="auto" w:sz="4" w:space="0"/>
            </w:tcBorders>
            <w:vAlign w:val="center"/>
          </w:tcPr>
          <w:p w14:paraId="46AF7FD9">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24.07</w:t>
            </w:r>
          </w:p>
        </w:tc>
        <w:tc>
          <w:tcPr>
            <w:tcW w:w="1203" w:type="dxa"/>
            <w:tcBorders>
              <w:top w:val="single" w:color="auto" w:sz="4" w:space="0"/>
              <w:left w:val="nil"/>
              <w:bottom w:val="single" w:color="auto" w:sz="4" w:space="0"/>
              <w:right w:val="single" w:color="auto" w:sz="4" w:space="0"/>
            </w:tcBorders>
            <w:vAlign w:val="bottom"/>
          </w:tcPr>
          <w:p w14:paraId="5AD1135E">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137.85%</w:t>
            </w:r>
          </w:p>
        </w:tc>
        <w:tc>
          <w:tcPr>
            <w:tcW w:w="1106" w:type="dxa"/>
            <w:tcBorders>
              <w:top w:val="single" w:color="auto" w:sz="4" w:space="0"/>
              <w:left w:val="single" w:color="auto" w:sz="4" w:space="0"/>
              <w:bottom w:val="single" w:color="auto" w:sz="4" w:space="0"/>
              <w:right w:val="single" w:color="auto" w:sz="4" w:space="0"/>
            </w:tcBorders>
            <w:vAlign w:val="center"/>
          </w:tcPr>
          <w:p w14:paraId="03F4C5D4">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18.65</w:t>
            </w:r>
          </w:p>
        </w:tc>
        <w:tc>
          <w:tcPr>
            <w:tcW w:w="1058" w:type="dxa"/>
            <w:tcBorders>
              <w:top w:val="single" w:color="auto" w:sz="4" w:space="0"/>
              <w:left w:val="single" w:color="auto" w:sz="4" w:space="0"/>
              <w:bottom w:val="single" w:color="auto" w:sz="4" w:space="0"/>
              <w:right w:val="single" w:color="auto" w:sz="4" w:space="0"/>
            </w:tcBorders>
            <w:vAlign w:val="bottom"/>
          </w:tcPr>
          <w:p w14:paraId="2F8BEE4A">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-22.52%</w:t>
            </w:r>
          </w:p>
        </w:tc>
      </w:tr>
      <w:tr w14:paraId="7987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14:paraId="50DC0A16">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保险费</w:t>
            </w:r>
          </w:p>
        </w:tc>
        <w:tc>
          <w:tcPr>
            <w:tcW w:w="1254" w:type="dxa"/>
            <w:tcBorders>
              <w:top w:val="single" w:color="auto" w:sz="4" w:space="0"/>
              <w:left w:val="single" w:color="auto" w:sz="4" w:space="0"/>
              <w:bottom w:val="single" w:color="auto" w:sz="4" w:space="0"/>
              <w:right w:val="single" w:color="auto" w:sz="4" w:space="0"/>
            </w:tcBorders>
            <w:vAlign w:val="center"/>
          </w:tcPr>
          <w:p w14:paraId="10FCAC65">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42.42</w:t>
            </w:r>
          </w:p>
        </w:tc>
        <w:tc>
          <w:tcPr>
            <w:tcW w:w="1106" w:type="dxa"/>
            <w:tcBorders>
              <w:top w:val="single" w:color="auto" w:sz="4" w:space="0"/>
              <w:left w:val="single" w:color="auto" w:sz="4" w:space="0"/>
              <w:bottom w:val="single" w:color="auto" w:sz="4" w:space="0"/>
              <w:right w:val="single" w:color="auto" w:sz="4" w:space="0"/>
            </w:tcBorders>
            <w:vAlign w:val="center"/>
          </w:tcPr>
          <w:p w14:paraId="4377DBC8">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34.82</w:t>
            </w:r>
          </w:p>
        </w:tc>
        <w:tc>
          <w:tcPr>
            <w:tcW w:w="1203" w:type="dxa"/>
            <w:tcBorders>
              <w:top w:val="single" w:color="auto" w:sz="4" w:space="0"/>
              <w:left w:val="nil"/>
              <w:bottom w:val="single" w:color="auto" w:sz="4" w:space="0"/>
              <w:right w:val="single" w:color="auto" w:sz="4" w:space="0"/>
            </w:tcBorders>
            <w:vAlign w:val="bottom"/>
          </w:tcPr>
          <w:p w14:paraId="56030FA8">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-17.92%</w:t>
            </w:r>
          </w:p>
        </w:tc>
        <w:tc>
          <w:tcPr>
            <w:tcW w:w="1106" w:type="dxa"/>
            <w:tcBorders>
              <w:top w:val="single" w:color="auto" w:sz="4" w:space="0"/>
              <w:left w:val="single" w:color="auto" w:sz="4" w:space="0"/>
              <w:bottom w:val="single" w:color="auto" w:sz="4" w:space="0"/>
              <w:right w:val="single" w:color="auto" w:sz="4" w:space="0"/>
            </w:tcBorders>
            <w:vAlign w:val="center"/>
          </w:tcPr>
          <w:p w14:paraId="333DEFBE">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118.23</w:t>
            </w:r>
          </w:p>
        </w:tc>
        <w:tc>
          <w:tcPr>
            <w:tcW w:w="1058" w:type="dxa"/>
            <w:tcBorders>
              <w:top w:val="single" w:color="auto" w:sz="4" w:space="0"/>
              <w:left w:val="single" w:color="auto" w:sz="4" w:space="0"/>
              <w:bottom w:val="single" w:color="auto" w:sz="4" w:space="0"/>
              <w:right w:val="single" w:color="auto" w:sz="4" w:space="0"/>
            </w:tcBorders>
            <w:vAlign w:val="bottom"/>
          </w:tcPr>
          <w:p w14:paraId="4AA05B9A">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239.55%</w:t>
            </w:r>
          </w:p>
        </w:tc>
      </w:tr>
      <w:tr w14:paraId="1376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vAlign w:val="center"/>
          </w:tcPr>
          <w:p w14:paraId="13BCEBD2">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0"/>
                <w:szCs w:val="21"/>
              </w:rPr>
              <w:t>直接成本小计</w:t>
            </w:r>
          </w:p>
        </w:tc>
        <w:tc>
          <w:tcPr>
            <w:tcW w:w="1254" w:type="dxa"/>
            <w:vAlign w:val="center"/>
          </w:tcPr>
          <w:p w14:paraId="3B9A0C81">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1340.89</w:t>
            </w:r>
          </w:p>
        </w:tc>
        <w:tc>
          <w:tcPr>
            <w:tcW w:w="1106" w:type="dxa"/>
            <w:vAlign w:val="center"/>
          </w:tcPr>
          <w:p w14:paraId="007F2D59">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1511.11</w:t>
            </w:r>
          </w:p>
        </w:tc>
        <w:tc>
          <w:tcPr>
            <w:tcW w:w="1203" w:type="dxa"/>
            <w:vAlign w:val="center"/>
          </w:tcPr>
          <w:p w14:paraId="2E047D72">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12.69%</w:t>
            </w:r>
          </w:p>
        </w:tc>
        <w:tc>
          <w:tcPr>
            <w:tcW w:w="1106" w:type="dxa"/>
            <w:vAlign w:val="center"/>
          </w:tcPr>
          <w:p w14:paraId="46772FF8">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1966.98</w:t>
            </w:r>
          </w:p>
        </w:tc>
        <w:tc>
          <w:tcPr>
            <w:tcW w:w="1058" w:type="dxa"/>
            <w:vAlign w:val="center"/>
          </w:tcPr>
          <w:p w14:paraId="67E0956E">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30.17%</w:t>
            </w:r>
          </w:p>
        </w:tc>
      </w:tr>
      <w:tr w14:paraId="1BF9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14:paraId="360AE13D">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其他管理费</w:t>
            </w:r>
          </w:p>
        </w:tc>
        <w:tc>
          <w:tcPr>
            <w:tcW w:w="1254" w:type="dxa"/>
            <w:tcBorders>
              <w:top w:val="single" w:color="auto" w:sz="4" w:space="0"/>
              <w:left w:val="single" w:color="auto" w:sz="4" w:space="0"/>
              <w:bottom w:val="single" w:color="auto" w:sz="4" w:space="0"/>
              <w:right w:val="single" w:color="auto" w:sz="4" w:space="0"/>
            </w:tcBorders>
            <w:vAlign w:val="center"/>
          </w:tcPr>
          <w:p w14:paraId="1F31064C">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107.24</w:t>
            </w:r>
          </w:p>
        </w:tc>
        <w:tc>
          <w:tcPr>
            <w:tcW w:w="1106" w:type="dxa"/>
            <w:tcBorders>
              <w:top w:val="single" w:color="auto" w:sz="4" w:space="0"/>
              <w:left w:val="single" w:color="auto" w:sz="4" w:space="0"/>
              <w:bottom w:val="single" w:color="auto" w:sz="4" w:space="0"/>
              <w:right w:val="single" w:color="auto" w:sz="4" w:space="0"/>
            </w:tcBorders>
            <w:vAlign w:val="center"/>
          </w:tcPr>
          <w:p w14:paraId="462A14B1">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84.86</w:t>
            </w:r>
          </w:p>
        </w:tc>
        <w:tc>
          <w:tcPr>
            <w:tcW w:w="1203" w:type="dxa"/>
            <w:tcBorders>
              <w:top w:val="single" w:color="auto" w:sz="4" w:space="0"/>
              <w:left w:val="nil"/>
              <w:bottom w:val="single" w:color="auto" w:sz="4" w:space="0"/>
              <w:right w:val="single" w:color="auto" w:sz="4" w:space="0"/>
            </w:tcBorders>
            <w:vAlign w:val="bottom"/>
          </w:tcPr>
          <w:p w14:paraId="28C1E06E">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-20.87%</w:t>
            </w:r>
          </w:p>
        </w:tc>
        <w:tc>
          <w:tcPr>
            <w:tcW w:w="1106" w:type="dxa"/>
            <w:tcBorders>
              <w:top w:val="single" w:color="auto" w:sz="4" w:space="0"/>
              <w:left w:val="single" w:color="auto" w:sz="4" w:space="0"/>
              <w:bottom w:val="single" w:color="auto" w:sz="4" w:space="0"/>
              <w:right w:val="single" w:color="auto" w:sz="4" w:space="0"/>
            </w:tcBorders>
            <w:vAlign w:val="center"/>
          </w:tcPr>
          <w:p w14:paraId="535D199E">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404.23</w:t>
            </w:r>
          </w:p>
        </w:tc>
        <w:tc>
          <w:tcPr>
            <w:tcW w:w="1058" w:type="dxa"/>
            <w:tcBorders>
              <w:top w:val="single" w:color="auto" w:sz="4" w:space="0"/>
              <w:left w:val="single" w:color="auto" w:sz="4" w:space="0"/>
              <w:bottom w:val="single" w:color="auto" w:sz="4" w:space="0"/>
              <w:right w:val="single" w:color="auto" w:sz="4" w:space="0"/>
            </w:tcBorders>
            <w:vAlign w:val="bottom"/>
          </w:tcPr>
          <w:p w14:paraId="04D4FF96">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376.35%</w:t>
            </w:r>
          </w:p>
        </w:tc>
      </w:tr>
      <w:tr w14:paraId="6894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14:paraId="5EB1579B">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财务费用</w:t>
            </w:r>
          </w:p>
        </w:tc>
        <w:tc>
          <w:tcPr>
            <w:tcW w:w="1254" w:type="dxa"/>
            <w:tcBorders>
              <w:top w:val="single" w:color="auto" w:sz="4" w:space="0"/>
              <w:left w:val="single" w:color="auto" w:sz="4" w:space="0"/>
              <w:bottom w:val="single" w:color="auto" w:sz="4" w:space="0"/>
              <w:right w:val="single" w:color="auto" w:sz="4" w:space="0"/>
            </w:tcBorders>
            <w:vAlign w:val="center"/>
          </w:tcPr>
          <w:p w14:paraId="7F1A4A4C">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162.95</w:t>
            </w:r>
          </w:p>
        </w:tc>
        <w:tc>
          <w:tcPr>
            <w:tcW w:w="1106" w:type="dxa"/>
            <w:tcBorders>
              <w:top w:val="single" w:color="auto" w:sz="4" w:space="0"/>
              <w:left w:val="single" w:color="auto" w:sz="4" w:space="0"/>
              <w:bottom w:val="single" w:color="auto" w:sz="4" w:space="0"/>
              <w:right w:val="single" w:color="auto" w:sz="4" w:space="0"/>
            </w:tcBorders>
            <w:vAlign w:val="center"/>
          </w:tcPr>
          <w:p w14:paraId="79A7C21F">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102.28</w:t>
            </w:r>
          </w:p>
        </w:tc>
        <w:tc>
          <w:tcPr>
            <w:tcW w:w="1203" w:type="dxa"/>
            <w:tcBorders>
              <w:top w:val="single" w:color="auto" w:sz="4" w:space="0"/>
              <w:left w:val="nil"/>
              <w:bottom w:val="single" w:color="auto" w:sz="4" w:space="0"/>
              <w:right w:val="single" w:color="auto" w:sz="4" w:space="0"/>
            </w:tcBorders>
            <w:vAlign w:val="bottom"/>
          </w:tcPr>
          <w:p w14:paraId="427F1E61">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-37.23%</w:t>
            </w:r>
          </w:p>
        </w:tc>
        <w:tc>
          <w:tcPr>
            <w:tcW w:w="1106" w:type="dxa"/>
            <w:tcBorders>
              <w:top w:val="single" w:color="auto" w:sz="4" w:space="0"/>
              <w:left w:val="single" w:color="auto" w:sz="4" w:space="0"/>
              <w:bottom w:val="single" w:color="auto" w:sz="4" w:space="0"/>
              <w:right w:val="single" w:color="auto" w:sz="4" w:space="0"/>
            </w:tcBorders>
            <w:vAlign w:val="center"/>
          </w:tcPr>
          <w:p w14:paraId="2D432A5A">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615.06</w:t>
            </w:r>
          </w:p>
        </w:tc>
        <w:tc>
          <w:tcPr>
            <w:tcW w:w="1058" w:type="dxa"/>
            <w:tcBorders>
              <w:top w:val="single" w:color="auto" w:sz="4" w:space="0"/>
              <w:left w:val="single" w:color="auto" w:sz="4" w:space="0"/>
              <w:bottom w:val="single" w:color="auto" w:sz="4" w:space="0"/>
              <w:right w:val="single" w:color="auto" w:sz="4" w:space="0"/>
            </w:tcBorders>
            <w:vAlign w:val="bottom"/>
          </w:tcPr>
          <w:p w14:paraId="0AA89BCC">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501.35%</w:t>
            </w:r>
          </w:p>
        </w:tc>
      </w:tr>
      <w:tr w14:paraId="34580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14:paraId="614A46BA">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税金及附加</w:t>
            </w:r>
          </w:p>
        </w:tc>
        <w:tc>
          <w:tcPr>
            <w:tcW w:w="1254" w:type="dxa"/>
            <w:tcBorders>
              <w:top w:val="single" w:color="auto" w:sz="4" w:space="0"/>
              <w:left w:val="single" w:color="auto" w:sz="4" w:space="0"/>
              <w:bottom w:val="single" w:color="auto" w:sz="4" w:space="0"/>
              <w:right w:val="single" w:color="auto" w:sz="4" w:space="0"/>
            </w:tcBorders>
            <w:vAlign w:val="center"/>
          </w:tcPr>
          <w:p w14:paraId="0E0BF4B3">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7.09</w:t>
            </w:r>
          </w:p>
        </w:tc>
        <w:tc>
          <w:tcPr>
            <w:tcW w:w="1106" w:type="dxa"/>
            <w:tcBorders>
              <w:top w:val="single" w:color="auto" w:sz="4" w:space="0"/>
              <w:left w:val="single" w:color="auto" w:sz="4" w:space="0"/>
              <w:bottom w:val="single" w:color="auto" w:sz="4" w:space="0"/>
              <w:right w:val="single" w:color="auto" w:sz="4" w:space="0"/>
            </w:tcBorders>
            <w:vAlign w:val="center"/>
          </w:tcPr>
          <w:p w14:paraId="058194E3">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12.71</w:t>
            </w:r>
          </w:p>
        </w:tc>
        <w:tc>
          <w:tcPr>
            <w:tcW w:w="1203" w:type="dxa"/>
            <w:tcBorders>
              <w:top w:val="single" w:color="auto" w:sz="4" w:space="0"/>
              <w:left w:val="nil"/>
              <w:bottom w:val="single" w:color="auto" w:sz="4" w:space="0"/>
              <w:right w:val="single" w:color="auto" w:sz="4" w:space="0"/>
            </w:tcBorders>
            <w:vAlign w:val="bottom"/>
          </w:tcPr>
          <w:p w14:paraId="40B6825D">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Cs/>
                <w:color w:val="000000"/>
                <w:kern w:val="0"/>
                <w:sz w:val="21"/>
                <w:szCs w:val="21"/>
              </w:rPr>
              <w:t>79.27%</w:t>
            </w:r>
          </w:p>
        </w:tc>
        <w:tc>
          <w:tcPr>
            <w:tcW w:w="1106" w:type="dxa"/>
            <w:tcBorders>
              <w:top w:val="single" w:color="auto" w:sz="4" w:space="0"/>
              <w:left w:val="single" w:color="auto" w:sz="4" w:space="0"/>
              <w:bottom w:val="single" w:color="auto" w:sz="4" w:space="0"/>
              <w:right w:val="single" w:color="auto" w:sz="4" w:space="0"/>
            </w:tcBorders>
            <w:vAlign w:val="center"/>
          </w:tcPr>
          <w:p w14:paraId="7D80263A">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18.31</w:t>
            </w:r>
          </w:p>
        </w:tc>
        <w:tc>
          <w:tcPr>
            <w:tcW w:w="1058" w:type="dxa"/>
            <w:tcBorders>
              <w:top w:val="single" w:color="auto" w:sz="4" w:space="0"/>
              <w:left w:val="single" w:color="auto" w:sz="4" w:space="0"/>
              <w:bottom w:val="single" w:color="auto" w:sz="4" w:space="0"/>
              <w:right w:val="single" w:color="auto" w:sz="4" w:space="0"/>
            </w:tcBorders>
            <w:vAlign w:val="bottom"/>
          </w:tcPr>
          <w:p w14:paraId="3B860782">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ascii="Times New Roman" w:hAnsi="Times New Roman" w:eastAsia="仿宋_GB2312" w:cs="Times New Roman"/>
                <w:bCs/>
                <w:color w:val="000000"/>
                <w:kern w:val="0"/>
                <w:sz w:val="21"/>
                <w:szCs w:val="21"/>
              </w:rPr>
              <w:t>44.06%</w:t>
            </w:r>
          </w:p>
        </w:tc>
      </w:tr>
      <w:tr w14:paraId="72C0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14:paraId="782F9DD4">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
                <w:color w:val="000000"/>
                <w:kern w:val="0"/>
                <w:sz w:val="20"/>
                <w:szCs w:val="21"/>
              </w:rPr>
              <w:t>非直接成本小计</w:t>
            </w:r>
          </w:p>
        </w:tc>
        <w:tc>
          <w:tcPr>
            <w:tcW w:w="1254" w:type="dxa"/>
            <w:tcBorders>
              <w:top w:val="single" w:color="auto" w:sz="4" w:space="0"/>
              <w:left w:val="single" w:color="auto" w:sz="4" w:space="0"/>
              <w:bottom w:val="single" w:color="auto" w:sz="4" w:space="0"/>
              <w:right w:val="single" w:color="auto" w:sz="4" w:space="0"/>
            </w:tcBorders>
            <w:vAlign w:val="center"/>
          </w:tcPr>
          <w:p w14:paraId="6D8AE319">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1"/>
                <w:szCs w:val="21"/>
              </w:rPr>
              <w:t>277.28</w:t>
            </w:r>
          </w:p>
        </w:tc>
        <w:tc>
          <w:tcPr>
            <w:tcW w:w="1106" w:type="dxa"/>
            <w:tcBorders>
              <w:top w:val="single" w:color="auto" w:sz="4" w:space="0"/>
              <w:left w:val="single" w:color="auto" w:sz="4" w:space="0"/>
              <w:bottom w:val="single" w:color="auto" w:sz="4" w:space="0"/>
              <w:right w:val="single" w:color="auto" w:sz="4" w:space="0"/>
            </w:tcBorders>
            <w:vAlign w:val="center"/>
          </w:tcPr>
          <w:p w14:paraId="582E60B5">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1"/>
                <w:szCs w:val="21"/>
              </w:rPr>
              <w:t>199.85</w:t>
            </w:r>
          </w:p>
        </w:tc>
        <w:tc>
          <w:tcPr>
            <w:tcW w:w="1203" w:type="dxa"/>
            <w:tcBorders>
              <w:top w:val="single" w:color="auto" w:sz="4" w:space="0"/>
              <w:left w:val="nil"/>
              <w:bottom w:val="single" w:color="auto" w:sz="4" w:space="0"/>
              <w:right w:val="single" w:color="auto" w:sz="4" w:space="0"/>
            </w:tcBorders>
            <w:vAlign w:val="bottom"/>
          </w:tcPr>
          <w:p w14:paraId="528FB240">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0"/>
                <w:szCs w:val="21"/>
              </w:rPr>
              <w:t>-</w:t>
            </w:r>
            <w:r>
              <w:rPr>
                <w:rFonts w:ascii="Times New Roman" w:hAnsi="Times New Roman" w:eastAsia="仿宋_GB2312" w:cs="Times New Roman"/>
                <w:b/>
                <w:color w:val="000000"/>
                <w:kern w:val="0"/>
                <w:sz w:val="20"/>
                <w:szCs w:val="21"/>
              </w:rPr>
              <w:t>27.92</w:t>
            </w:r>
            <w:r>
              <w:rPr>
                <w:rFonts w:hint="eastAsia" w:ascii="Times New Roman" w:hAnsi="Times New Roman" w:eastAsia="仿宋_GB2312" w:cs="Times New Roman"/>
                <w:b/>
                <w:color w:val="000000"/>
                <w:kern w:val="0"/>
                <w:sz w:val="20"/>
                <w:szCs w:val="21"/>
              </w:rPr>
              <w:t>%</w:t>
            </w:r>
          </w:p>
        </w:tc>
        <w:tc>
          <w:tcPr>
            <w:tcW w:w="1106" w:type="dxa"/>
            <w:tcBorders>
              <w:top w:val="single" w:color="auto" w:sz="4" w:space="0"/>
              <w:left w:val="single" w:color="auto" w:sz="4" w:space="0"/>
              <w:bottom w:val="single" w:color="auto" w:sz="4" w:space="0"/>
              <w:right w:val="single" w:color="auto" w:sz="4" w:space="0"/>
            </w:tcBorders>
            <w:vAlign w:val="center"/>
          </w:tcPr>
          <w:p w14:paraId="3D1E2E2A">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1037.60</w:t>
            </w:r>
          </w:p>
        </w:tc>
        <w:tc>
          <w:tcPr>
            <w:tcW w:w="1058" w:type="dxa"/>
            <w:tcBorders>
              <w:top w:val="single" w:color="auto" w:sz="4" w:space="0"/>
              <w:left w:val="single" w:color="auto" w:sz="4" w:space="0"/>
              <w:bottom w:val="single" w:color="auto" w:sz="4" w:space="0"/>
              <w:right w:val="single" w:color="auto" w:sz="4" w:space="0"/>
            </w:tcBorders>
            <w:vAlign w:val="bottom"/>
          </w:tcPr>
          <w:p w14:paraId="59B0CBDF">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ascii="Times New Roman" w:hAnsi="Times New Roman" w:eastAsia="仿宋_GB2312" w:cs="Times New Roman"/>
                <w:b/>
                <w:color w:val="000000"/>
                <w:kern w:val="0"/>
                <w:sz w:val="20"/>
                <w:szCs w:val="21"/>
              </w:rPr>
              <w:t>419.19%</w:t>
            </w:r>
          </w:p>
        </w:tc>
      </w:tr>
      <w:tr w14:paraId="7858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5" w:type="dxa"/>
            <w:tcBorders>
              <w:top w:val="single" w:color="auto" w:sz="4" w:space="0"/>
              <w:left w:val="single" w:color="auto" w:sz="4" w:space="0"/>
              <w:bottom w:val="single" w:color="auto" w:sz="4" w:space="0"/>
              <w:right w:val="single" w:color="auto" w:sz="4" w:space="0"/>
            </w:tcBorders>
          </w:tcPr>
          <w:p w14:paraId="2316C315">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1"/>
                <w:szCs w:val="21"/>
                <w:u w:val="single"/>
              </w:rPr>
              <w:t>成本合计</w:t>
            </w:r>
          </w:p>
        </w:tc>
        <w:tc>
          <w:tcPr>
            <w:tcW w:w="1254" w:type="dxa"/>
            <w:tcBorders>
              <w:top w:val="single" w:color="auto" w:sz="4" w:space="0"/>
              <w:left w:val="single" w:color="auto" w:sz="4" w:space="0"/>
              <w:bottom w:val="single" w:color="auto" w:sz="4" w:space="0"/>
              <w:right w:val="single" w:color="auto" w:sz="4" w:space="0"/>
            </w:tcBorders>
            <w:vAlign w:val="center"/>
          </w:tcPr>
          <w:p w14:paraId="1A4A2914">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1"/>
                <w:szCs w:val="21"/>
                <w:u w:val="single"/>
              </w:rPr>
              <w:t>1618.17</w:t>
            </w:r>
          </w:p>
        </w:tc>
        <w:tc>
          <w:tcPr>
            <w:tcW w:w="1106" w:type="dxa"/>
            <w:tcBorders>
              <w:top w:val="single" w:color="auto" w:sz="4" w:space="0"/>
              <w:left w:val="single" w:color="auto" w:sz="4" w:space="0"/>
              <w:bottom w:val="single" w:color="auto" w:sz="4" w:space="0"/>
              <w:right w:val="single" w:color="auto" w:sz="4" w:space="0"/>
            </w:tcBorders>
            <w:vAlign w:val="center"/>
          </w:tcPr>
          <w:p w14:paraId="65B49E33">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1"/>
                <w:szCs w:val="21"/>
                <w:u w:val="single"/>
              </w:rPr>
              <w:t>1710.96</w:t>
            </w:r>
          </w:p>
        </w:tc>
        <w:tc>
          <w:tcPr>
            <w:tcW w:w="1203" w:type="dxa"/>
            <w:vAlign w:val="center"/>
          </w:tcPr>
          <w:p w14:paraId="48353F3B">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1"/>
                <w:szCs w:val="21"/>
                <w:u w:val="single"/>
              </w:rPr>
              <w:t>5.73%</w:t>
            </w:r>
          </w:p>
        </w:tc>
        <w:tc>
          <w:tcPr>
            <w:tcW w:w="1106" w:type="dxa"/>
            <w:tcBorders>
              <w:top w:val="single" w:color="auto" w:sz="4" w:space="0"/>
              <w:left w:val="single" w:color="auto" w:sz="4" w:space="0"/>
              <w:bottom w:val="single" w:color="auto" w:sz="4" w:space="0"/>
              <w:right w:val="single" w:color="auto" w:sz="4" w:space="0"/>
            </w:tcBorders>
            <w:vAlign w:val="center"/>
          </w:tcPr>
          <w:p w14:paraId="13F1F711">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bookmarkStart w:id="27" w:name="_Hlk25052900"/>
            <w:r>
              <w:rPr>
                <w:rFonts w:ascii="Times New Roman" w:hAnsi="Times New Roman" w:eastAsia="仿宋_GB2312" w:cs="Times New Roman"/>
                <w:b/>
                <w:color w:val="000000"/>
                <w:kern w:val="0"/>
                <w:sz w:val="21"/>
                <w:szCs w:val="21"/>
                <w:u w:val="single"/>
              </w:rPr>
              <w:t>3004.58</w:t>
            </w:r>
            <w:bookmarkEnd w:id="27"/>
          </w:p>
        </w:tc>
        <w:tc>
          <w:tcPr>
            <w:tcW w:w="1058" w:type="dxa"/>
            <w:vAlign w:val="center"/>
          </w:tcPr>
          <w:p w14:paraId="60041EA3">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u w:val="single"/>
              </w:rPr>
            </w:pPr>
            <w:r>
              <w:rPr>
                <w:rFonts w:ascii="Times New Roman" w:hAnsi="Times New Roman" w:eastAsia="仿宋_GB2312" w:cs="Times New Roman"/>
                <w:b/>
                <w:color w:val="000000"/>
                <w:kern w:val="0"/>
                <w:sz w:val="20"/>
                <w:szCs w:val="21"/>
                <w:u w:val="single"/>
              </w:rPr>
              <w:t>75.61%</w:t>
            </w:r>
          </w:p>
        </w:tc>
      </w:tr>
      <w:commentRangeEnd w:id="1"/>
    </w:tbl>
    <w:p w14:paraId="3F31DD2D">
      <w:pPr>
        <w:spacing w:line="500" w:lineRule="exact"/>
        <w:ind w:firstLine="420" w:firstLineChars="200"/>
        <w:rPr>
          <w:rFonts w:ascii="Times New Roman" w:hAnsi="Times New Roman" w:eastAsia="仿宋_GB2312" w:cs="Times New Roman"/>
          <w:kern w:val="0"/>
          <w:sz w:val="28"/>
          <w:szCs w:val="28"/>
        </w:rPr>
      </w:pPr>
      <w:r>
        <w:rPr>
          <w:rStyle w:val="15"/>
        </w:rPr>
        <w:commentReference w:id="1"/>
      </w:r>
      <w:bookmarkStart w:id="28" w:name="_Toc25166475"/>
      <w:r>
        <w:rPr>
          <w:rFonts w:hint="eastAsia" w:ascii="Times New Roman" w:hAnsi="Times New Roman" w:eastAsia="仿宋_GB2312" w:cs="Times New Roman"/>
          <w:kern w:val="0"/>
          <w:sz w:val="28"/>
          <w:szCs w:val="28"/>
        </w:rPr>
        <w:t>经与滑县公交公司财务人员确认，其他管理费用激增主要原因是2</w:t>
      </w:r>
      <w:r>
        <w:rPr>
          <w:rFonts w:ascii="Times New Roman" w:hAnsi="Times New Roman" w:eastAsia="仿宋_GB2312" w:cs="Times New Roman"/>
          <w:kern w:val="0"/>
          <w:sz w:val="28"/>
          <w:szCs w:val="28"/>
        </w:rPr>
        <w:t>013</w:t>
      </w:r>
      <w:r>
        <w:rPr>
          <w:rFonts w:hint="eastAsia" w:ascii="Times New Roman" w:hAnsi="Times New Roman" w:eastAsia="仿宋_GB2312" w:cs="Times New Roman"/>
          <w:kern w:val="0"/>
          <w:sz w:val="28"/>
          <w:szCs w:val="28"/>
        </w:rPr>
        <w:t>年以来，滑县公交公司从未按权责发生制按时计提公交公司管理人员社保福利费用，2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年度统一补缴计提管理人员社保费用2</w:t>
      </w:r>
      <w:r>
        <w:rPr>
          <w:rFonts w:ascii="Times New Roman" w:hAnsi="Times New Roman" w:eastAsia="仿宋_GB2312" w:cs="Times New Roman"/>
          <w:kern w:val="0"/>
          <w:sz w:val="28"/>
          <w:szCs w:val="28"/>
        </w:rPr>
        <w:t>83.55</w:t>
      </w:r>
      <w:r>
        <w:rPr>
          <w:rFonts w:hint="eastAsia" w:ascii="Times New Roman" w:hAnsi="Times New Roman" w:eastAsia="仿宋_GB2312" w:cs="Times New Roman"/>
          <w:kern w:val="0"/>
          <w:sz w:val="28"/>
          <w:szCs w:val="28"/>
        </w:rPr>
        <w:t>万元（各年度明细见表4-</w:t>
      </w:r>
      <w:r>
        <w:rPr>
          <w:rFonts w:ascii="Times New Roman" w:hAnsi="Times New Roman" w:eastAsia="仿宋_GB2312" w:cs="Times New Roman"/>
          <w:kern w:val="0"/>
          <w:sz w:val="28"/>
          <w:szCs w:val="28"/>
        </w:rPr>
        <w:t>4</w:t>
      </w:r>
      <w:r>
        <w:rPr>
          <w:rFonts w:hint="eastAsia" w:ascii="Times New Roman" w:hAnsi="Times New Roman" w:eastAsia="仿宋_GB2312" w:cs="Times New Roman"/>
          <w:kern w:val="0"/>
          <w:sz w:val="28"/>
          <w:szCs w:val="28"/>
        </w:rPr>
        <w:t>）。根据《企业会计准则-基本准则》的要求，</w:t>
      </w:r>
      <w:bookmarkStart w:id="29" w:name="_Hlk26174069"/>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013</w:t>
      </w:r>
      <w:r>
        <w:rPr>
          <w:rFonts w:hint="eastAsia" w:ascii="Times New Roman" w:hAnsi="Times New Roman" w:eastAsia="仿宋_GB2312" w:cs="Times New Roman"/>
          <w:kern w:val="0"/>
          <w:sz w:val="28"/>
          <w:szCs w:val="28"/>
        </w:rPr>
        <w:t>年至2</w:t>
      </w:r>
      <w:r>
        <w:rPr>
          <w:rFonts w:ascii="Times New Roman" w:hAnsi="Times New Roman" w:eastAsia="仿宋_GB2312" w:cs="Times New Roman"/>
          <w:kern w:val="0"/>
          <w:sz w:val="28"/>
          <w:szCs w:val="28"/>
        </w:rPr>
        <w:t>017</w:t>
      </w:r>
      <w:r>
        <w:rPr>
          <w:rFonts w:hint="eastAsia" w:ascii="Times New Roman" w:hAnsi="Times New Roman" w:eastAsia="仿宋_GB2312" w:cs="Times New Roman"/>
          <w:kern w:val="0"/>
          <w:sz w:val="28"/>
          <w:szCs w:val="28"/>
        </w:rPr>
        <w:t>年管理费用应按照权责发生制于当年度计提，列入当年度营业成本。因此，滑县公交公司2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年度账面管理费用中有2</w:t>
      </w:r>
      <w:r>
        <w:rPr>
          <w:rFonts w:ascii="Times New Roman" w:hAnsi="Times New Roman" w:eastAsia="仿宋_GB2312" w:cs="Times New Roman"/>
          <w:kern w:val="0"/>
          <w:sz w:val="28"/>
          <w:szCs w:val="28"/>
        </w:rPr>
        <w:t>15</w:t>
      </w:r>
      <w:r>
        <w:rPr>
          <w:rFonts w:hint="eastAsia" w:ascii="Times New Roman" w:hAnsi="Times New Roman" w:eastAsia="仿宋_GB2312" w:cs="Times New Roman"/>
          <w:kern w:val="0"/>
          <w:sz w:val="28"/>
          <w:szCs w:val="28"/>
        </w:rPr>
        <w:t>万不应计入当年度营业成本</w:t>
      </w:r>
      <w:bookmarkEnd w:id="29"/>
      <w:r>
        <w:rPr>
          <w:rFonts w:hint="eastAsia" w:ascii="Times New Roman" w:hAnsi="Times New Roman" w:eastAsia="仿宋_GB2312" w:cs="Times New Roman"/>
          <w:kern w:val="0"/>
          <w:sz w:val="28"/>
          <w:szCs w:val="28"/>
        </w:rPr>
        <w:t>。</w:t>
      </w:r>
    </w:p>
    <w:p w14:paraId="47DCCCCF">
      <w:pPr>
        <w:pStyle w:val="21"/>
      </w:pPr>
      <w:r>
        <w:rPr>
          <w:rFonts w:hint="eastAsia"/>
        </w:rPr>
        <w:t>表4-</w:t>
      </w:r>
      <w:r>
        <w:t xml:space="preserve">4 </w:t>
      </w:r>
      <w:r>
        <w:rPr>
          <w:rFonts w:hint="eastAsia"/>
        </w:rPr>
        <w:t>2</w:t>
      </w:r>
      <w:r>
        <w:t>018</w:t>
      </w:r>
      <w:r>
        <w:rPr>
          <w:rFonts w:hint="eastAsia"/>
        </w:rPr>
        <w:t>年计提管理人员社保费用明细</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274"/>
        <w:gridCol w:w="3274"/>
      </w:tblGrid>
      <w:tr w14:paraId="2B9A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shd w:val="clear" w:color="auto" w:fill="A5A5A5" w:themeFill="background1" w:themeFillShade="A6"/>
          </w:tcPr>
          <w:p w14:paraId="71EDBE99">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年份</w:t>
            </w:r>
          </w:p>
        </w:tc>
        <w:tc>
          <w:tcPr>
            <w:tcW w:w="3274" w:type="dxa"/>
            <w:shd w:val="clear" w:color="auto" w:fill="A5A5A5" w:themeFill="background1" w:themeFillShade="A6"/>
          </w:tcPr>
          <w:p w14:paraId="75D237BB">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计提金额（元）</w:t>
            </w:r>
          </w:p>
        </w:tc>
        <w:tc>
          <w:tcPr>
            <w:tcW w:w="3274" w:type="dxa"/>
            <w:shd w:val="clear" w:color="auto" w:fill="A5A5A5" w:themeFill="background1" w:themeFillShade="A6"/>
          </w:tcPr>
          <w:p w14:paraId="69D9984C">
            <w:pPr>
              <w:tabs>
                <w:tab w:val="left" w:pos="4881"/>
              </w:tabs>
              <w:adjustRightInd w:val="0"/>
              <w:snapToGrid w:val="0"/>
              <w:spacing w:line="400" w:lineRule="exact"/>
              <w:jc w:val="center"/>
              <w:rPr>
                <w:rFonts w:ascii="Times New Roman" w:hAnsi="Times New Roman" w:eastAsia="仿宋_GB2312" w:cs="Times New Roman"/>
                <w:b/>
                <w:color w:val="000000"/>
                <w:kern w:val="0"/>
                <w:sz w:val="20"/>
                <w:szCs w:val="21"/>
              </w:rPr>
            </w:pPr>
            <w:r>
              <w:rPr>
                <w:rFonts w:hint="eastAsia" w:ascii="Times New Roman" w:hAnsi="Times New Roman" w:eastAsia="仿宋_GB2312" w:cs="Times New Roman"/>
                <w:b/>
                <w:color w:val="000000"/>
                <w:kern w:val="0"/>
                <w:sz w:val="20"/>
                <w:szCs w:val="21"/>
              </w:rPr>
              <w:t>备注</w:t>
            </w:r>
          </w:p>
        </w:tc>
      </w:tr>
      <w:tr w14:paraId="50A5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7E1E000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013</w:t>
            </w:r>
            <w:r>
              <w:rPr>
                <w:rFonts w:hint="eastAsia" w:ascii="Times New Roman" w:hAnsi="Times New Roman" w:eastAsia="仿宋_GB2312" w:cs="Times New Roman"/>
                <w:bCs/>
                <w:color w:val="000000"/>
                <w:kern w:val="0"/>
                <w:sz w:val="21"/>
                <w:szCs w:val="21"/>
              </w:rPr>
              <w:t>年</w:t>
            </w:r>
          </w:p>
        </w:tc>
        <w:tc>
          <w:tcPr>
            <w:tcW w:w="3274" w:type="dxa"/>
          </w:tcPr>
          <w:p w14:paraId="4419117A">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1</w:t>
            </w:r>
            <w:r>
              <w:rPr>
                <w:rFonts w:ascii="Times New Roman" w:hAnsi="Times New Roman" w:eastAsia="仿宋_GB2312" w:cs="Times New Roman"/>
                <w:bCs/>
                <w:color w:val="000000"/>
                <w:kern w:val="0"/>
                <w:sz w:val="21"/>
                <w:szCs w:val="21"/>
              </w:rPr>
              <w:t>03037</w:t>
            </w:r>
          </w:p>
        </w:tc>
        <w:tc>
          <w:tcPr>
            <w:tcW w:w="3274" w:type="dxa"/>
          </w:tcPr>
          <w:p w14:paraId="26EF9BE8">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计提3个月社保福利费</w:t>
            </w:r>
          </w:p>
        </w:tc>
      </w:tr>
      <w:tr w14:paraId="738AC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12CE96D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014</w:t>
            </w:r>
            <w:r>
              <w:rPr>
                <w:rFonts w:hint="eastAsia" w:ascii="Times New Roman" w:hAnsi="Times New Roman" w:eastAsia="仿宋_GB2312" w:cs="Times New Roman"/>
                <w:bCs/>
                <w:color w:val="000000"/>
                <w:kern w:val="0"/>
                <w:sz w:val="21"/>
                <w:szCs w:val="21"/>
              </w:rPr>
              <w:t>年</w:t>
            </w:r>
          </w:p>
        </w:tc>
        <w:tc>
          <w:tcPr>
            <w:tcW w:w="3274" w:type="dxa"/>
          </w:tcPr>
          <w:p w14:paraId="7CBFC1D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36884</w:t>
            </w:r>
          </w:p>
        </w:tc>
        <w:tc>
          <w:tcPr>
            <w:tcW w:w="3274" w:type="dxa"/>
          </w:tcPr>
          <w:p w14:paraId="0CB9C8F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计提全年</w:t>
            </w:r>
          </w:p>
        </w:tc>
      </w:tr>
      <w:tr w14:paraId="2235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45A81A8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015</w:t>
            </w:r>
            <w:r>
              <w:rPr>
                <w:rFonts w:hint="eastAsia" w:ascii="Times New Roman" w:hAnsi="Times New Roman" w:eastAsia="仿宋_GB2312" w:cs="Times New Roman"/>
                <w:bCs/>
                <w:color w:val="000000"/>
                <w:kern w:val="0"/>
                <w:sz w:val="21"/>
                <w:szCs w:val="21"/>
              </w:rPr>
              <w:t>年</w:t>
            </w:r>
          </w:p>
        </w:tc>
        <w:tc>
          <w:tcPr>
            <w:tcW w:w="3274" w:type="dxa"/>
          </w:tcPr>
          <w:p w14:paraId="1EE38A3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87008</w:t>
            </w:r>
          </w:p>
        </w:tc>
        <w:tc>
          <w:tcPr>
            <w:tcW w:w="3274" w:type="dxa"/>
          </w:tcPr>
          <w:p w14:paraId="6FD8B39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计提全年</w:t>
            </w:r>
          </w:p>
        </w:tc>
      </w:tr>
      <w:tr w14:paraId="3D7C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7CC201D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016</w:t>
            </w:r>
            <w:r>
              <w:rPr>
                <w:rFonts w:hint="eastAsia" w:ascii="Times New Roman" w:hAnsi="Times New Roman" w:eastAsia="仿宋_GB2312" w:cs="Times New Roman"/>
                <w:bCs/>
                <w:color w:val="000000"/>
                <w:kern w:val="0"/>
                <w:sz w:val="21"/>
                <w:szCs w:val="21"/>
              </w:rPr>
              <w:t>年</w:t>
            </w:r>
          </w:p>
        </w:tc>
        <w:tc>
          <w:tcPr>
            <w:tcW w:w="3274" w:type="dxa"/>
          </w:tcPr>
          <w:p w14:paraId="26D0EC9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5</w:t>
            </w:r>
            <w:r>
              <w:rPr>
                <w:rFonts w:ascii="Times New Roman" w:hAnsi="Times New Roman" w:eastAsia="仿宋_GB2312" w:cs="Times New Roman"/>
                <w:bCs/>
                <w:color w:val="000000"/>
                <w:kern w:val="0"/>
                <w:sz w:val="21"/>
                <w:szCs w:val="21"/>
              </w:rPr>
              <w:t>33848</w:t>
            </w:r>
          </w:p>
        </w:tc>
        <w:tc>
          <w:tcPr>
            <w:tcW w:w="3274" w:type="dxa"/>
          </w:tcPr>
          <w:p w14:paraId="751E668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计提全年</w:t>
            </w:r>
          </w:p>
        </w:tc>
      </w:tr>
      <w:tr w14:paraId="1173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4E9FA73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017</w:t>
            </w:r>
            <w:r>
              <w:rPr>
                <w:rFonts w:hint="eastAsia" w:ascii="Times New Roman" w:hAnsi="Times New Roman" w:eastAsia="仿宋_GB2312" w:cs="Times New Roman"/>
                <w:bCs/>
                <w:color w:val="000000"/>
                <w:kern w:val="0"/>
                <w:sz w:val="21"/>
                <w:szCs w:val="21"/>
              </w:rPr>
              <w:t>年</w:t>
            </w:r>
          </w:p>
        </w:tc>
        <w:tc>
          <w:tcPr>
            <w:tcW w:w="3274" w:type="dxa"/>
          </w:tcPr>
          <w:p w14:paraId="7DF52D8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5</w:t>
            </w:r>
            <w:r>
              <w:rPr>
                <w:rFonts w:ascii="Times New Roman" w:hAnsi="Times New Roman" w:eastAsia="仿宋_GB2312" w:cs="Times New Roman"/>
                <w:bCs/>
                <w:color w:val="000000"/>
                <w:kern w:val="0"/>
                <w:sz w:val="21"/>
                <w:szCs w:val="21"/>
              </w:rPr>
              <w:t>89238</w:t>
            </w:r>
          </w:p>
        </w:tc>
        <w:tc>
          <w:tcPr>
            <w:tcW w:w="3274" w:type="dxa"/>
          </w:tcPr>
          <w:p w14:paraId="7C51759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计提全年</w:t>
            </w:r>
          </w:p>
        </w:tc>
      </w:tr>
      <w:tr w14:paraId="7FB4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2537413A">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018</w:t>
            </w:r>
            <w:r>
              <w:rPr>
                <w:rFonts w:hint="eastAsia" w:ascii="Times New Roman" w:hAnsi="Times New Roman" w:eastAsia="仿宋_GB2312" w:cs="Times New Roman"/>
                <w:bCs/>
                <w:color w:val="000000"/>
                <w:kern w:val="0"/>
                <w:sz w:val="21"/>
                <w:szCs w:val="21"/>
              </w:rPr>
              <w:t>年</w:t>
            </w:r>
          </w:p>
        </w:tc>
        <w:tc>
          <w:tcPr>
            <w:tcW w:w="3274" w:type="dxa"/>
          </w:tcPr>
          <w:p w14:paraId="0EA9973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6</w:t>
            </w:r>
            <w:r>
              <w:rPr>
                <w:rFonts w:ascii="Times New Roman" w:hAnsi="Times New Roman" w:eastAsia="仿宋_GB2312" w:cs="Times New Roman"/>
                <w:bCs/>
                <w:color w:val="000000"/>
                <w:kern w:val="0"/>
                <w:sz w:val="21"/>
                <w:szCs w:val="21"/>
              </w:rPr>
              <w:t>85504</w:t>
            </w:r>
          </w:p>
        </w:tc>
        <w:tc>
          <w:tcPr>
            <w:tcW w:w="3274" w:type="dxa"/>
          </w:tcPr>
          <w:p w14:paraId="026427A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计提全年</w:t>
            </w:r>
          </w:p>
        </w:tc>
      </w:tr>
      <w:tr w14:paraId="29CC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Pr>
          <w:p w14:paraId="75565E60">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合计</w:t>
            </w:r>
          </w:p>
        </w:tc>
        <w:tc>
          <w:tcPr>
            <w:tcW w:w="3274" w:type="dxa"/>
          </w:tcPr>
          <w:p w14:paraId="6556B260">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2</w:t>
            </w:r>
            <w:r>
              <w:rPr>
                <w:rFonts w:ascii="Times New Roman" w:hAnsi="Times New Roman" w:eastAsia="仿宋_GB2312" w:cs="Times New Roman"/>
                <w:bCs/>
                <w:color w:val="000000"/>
                <w:kern w:val="0"/>
                <w:sz w:val="20"/>
                <w:szCs w:val="21"/>
              </w:rPr>
              <w:t>835519</w:t>
            </w:r>
          </w:p>
        </w:tc>
        <w:tc>
          <w:tcPr>
            <w:tcW w:w="3274" w:type="dxa"/>
          </w:tcPr>
          <w:p w14:paraId="3E95D5B5">
            <w:pPr>
              <w:tabs>
                <w:tab w:val="left" w:pos="4881"/>
              </w:tabs>
              <w:adjustRightInd w:val="0"/>
              <w:snapToGrid w:val="0"/>
              <w:spacing w:line="400" w:lineRule="exact"/>
              <w:jc w:val="center"/>
              <w:rPr>
                <w:rFonts w:ascii="Times New Roman" w:hAnsi="Times New Roman" w:eastAsia="仿宋_GB2312" w:cs="Times New Roman"/>
                <w:bCs/>
                <w:color w:val="000000"/>
                <w:kern w:val="0"/>
                <w:sz w:val="20"/>
                <w:szCs w:val="21"/>
              </w:rPr>
            </w:pPr>
            <w:r>
              <w:rPr>
                <w:rFonts w:hint="eastAsia" w:ascii="Times New Roman" w:hAnsi="Times New Roman" w:eastAsia="仿宋_GB2312" w:cs="Times New Roman"/>
                <w:bCs/>
                <w:color w:val="000000"/>
                <w:kern w:val="0"/>
                <w:sz w:val="20"/>
                <w:szCs w:val="21"/>
              </w:rPr>
              <w:t>——</w:t>
            </w:r>
          </w:p>
        </w:tc>
      </w:tr>
    </w:tbl>
    <w:p w14:paraId="485029B1">
      <w:pPr>
        <w:pStyle w:val="20"/>
        <w:ind w:firstLine="562"/>
      </w:pPr>
      <w:r>
        <w:rPr>
          <w:rFonts w:hint="eastAsia"/>
        </w:rPr>
        <w:t>（二）效率性分析</w:t>
      </w:r>
      <w:bookmarkEnd w:id="28"/>
    </w:p>
    <w:p w14:paraId="46F14999">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效率性分析关注于财政资金投入转化为公共服务产出的过程，衡量投入相对于需求满足的保障程度，以及投入产出比的高低。</w:t>
      </w:r>
    </w:p>
    <w:p w14:paraId="576AFF00">
      <w:pPr>
        <w:spacing w:line="500" w:lineRule="exact"/>
        <w:ind w:firstLine="56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1</w:t>
      </w:r>
      <w:r>
        <w:rPr>
          <w:rFonts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rPr>
        <w:t>车辆结构持续优化、线路与运营里程不断增加</w:t>
      </w:r>
    </w:p>
    <w:p w14:paraId="43094C5C">
      <w:pPr>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2016-2018年滑县公交年末在运数量分别为169、299和323辆，其中新能源车辆占比分别为82.84%、90.30%和92.88%，公交车辆结构持续优化。2016-2018年运营路线分别为14、14和16条，年末线路总长度分别为200.7、199.9和228.4公里，年运营总里程数量为369.47、640.91和691.63万公里。2017年的车辆增长率和运营里程增长率均在70%以上，2018年也分别保持着8.03%和7.88%的增长速度，客运里程平稳提升。</w:t>
      </w:r>
    </w:p>
    <w:p w14:paraId="61A32B05">
      <w:pPr>
        <w:spacing w:line="500" w:lineRule="exact"/>
        <w:ind w:firstLine="56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2</w:t>
      </w:r>
      <w:r>
        <w:rPr>
          <w:rFonts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rPr>
        <w:t>公交服务惠民力度逐渐加大、乘坐需求不断提升</w:t>
      </w:r>
    </w:p>
    <w:p w14:paraId="3126F5EC">
      <w:pPr>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滑县公交三年平均车辆票价收入为1.97、1.35、1.42万元/车，平均里程票价收入为0.90、0.63、0.67元/公里。2017年</w:t>
      </w:r>
      <w:r>
        <w:rPr>
          <w:rFonts w:hint="eastAsia" w:ascii="Times New Roman" w:hAnsi="Times New Roman" w:eastAsia="仿宋_GB2312" w:cs="Times New Roman"/>
          <w:sz w:val="28"/>
          <w:szCs w:val="28"/>
        </w:rPr>
        <w:t>单车票务收入、单位里程票价收入</w:t>
      </w:r>
      <w:r>
        <w:rPr>
          <w:rFonts w:ascii="Times New Roman" w:hAnsi="Times New Roman" w:eastAsia="仿宋_GB2312" w:cs="Times New Roman"/>
          <w:sz w:val="28"/>
          <w:szCs w:val="28"/>
        </w:rPr>
        <w:t>分别下降31.22%和29.85%，2018年平均车辆和平均里程票价收入分别上涨5.33%和5.47%。从滑县公交平均车辆票价收入和平均公里票价收入的变动情况，滑县公交乘坐</w:t>
      </w:r>
      <w:r>
        <w:rPr>
          <w:rFonts w:hint="eastAsia" w:ascii="Times New Roman" w:hAnsi="Times New Roman" w:eastAsia="仿宋_GB2312" w:cs="Times New Roman"/>
          <w:sz w:val="28"/>
          <w:szCs w:val="28"/>
        </w:rPr>
        <w:t>惠民力度不断加大</w:t>
      </w:r>
      <w:r>
        <w:rPr>
          <w:rFonts w:ascii="Times New Roman" w:hAnsi="Times New Roman" w:eastAsia="仿宋_GB2312" w:cs="Times New Roman"/>
          <w:sz w:val="28"/>
          <w:szCs w:val="28"/>
        </w:rPr>
        <w:t>。</w:t>
      </w:r>
    </w:p>
    <w:p w14:paraId="18E2EE6A">
      <w:pPr>
        <w:pStyle w:val="21"/>
        <w:rPr>
          <w:rStyle w:val="22"/>
          <w:b/>
        </w:rPr>
      </w:pPr>
      <w:r>
        <w:rPr>
          <w:rStyle w:val="22"/>
          <w:b/>
        </w:rPr>
        <w:t>表4</w:t>
      </w:r>
      <w:r>
        <w:rPr>
          <w:rStyle w:val="22"/>
          <w:rFonts w:hint="eastAsia"/>
          <w:b/>
        </w:rPr>
        <w:t>-</w:t>
      </w:r>
      <w:r>
        <w:rPr>
          <w:rStyle w:val="22"/>
          <w:b/>
        </w:rPr>
        <w:t>5 滑县公交公司2016-2018年平均车辆/里程票价收入</w:t>
      </w:r>
    </w:p>
    <w:tbl>
      <w:tblPr>
        <w:tblStyle w:val="12"/>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220"/>
        <w:gridCol w:w="1263"/>
        <w:gridCol w:w="1263"/>
        <w:gridCol w:w="1263"/>
        <w:gridCol w:w="1351"/>
      </w:tblGrid>
      <w:tr w14:paraId="69CE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93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539BF057">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名称</w:t>
            </w:r>
          </w:p>
        </w:tc>
        <w:tc>
          <w:tcPr>
            <w:tcW w:w="122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326AC241">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2016年</w:t>
            </w:r>
          </w:p>
        </w:tc>
        <w:tc>
          <w:tcPr>
            <w:tcW w:w="1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7DA133BB">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2017年</w:t>
            </w:r>
          </w:p>
        </w:tc>
        <w:tc>
          <w:tcPr>
            <w:tcW w:w="1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43421CD9">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2018年</w:t>
            </w:r>
          </w:p>
        </w:tc>
        <w:tc>
          <w:tcPr>
            <w:tcW w:w="1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A4F0287">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2017年同比增长率</w:t>
            </w:r>
          </w:p>
        </w:tc>
        <w:tc>
          <w:tcPr>
            <w:tcW w:w="1351"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3299B17A">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2018年同比增长率</w:t>
            </w:r>
          </w:p>
        </w:tc>
      </w:tr>
      <w:tr w14:paraId="3B42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5" w:type="dxa"/>
            <w:tcBorders>
              <w:top w:val="single" w:color="auto" w:sz="4" w:space="0"/>
              <w:left w:val="single" w:color="auto" w:sz="4" w:space="0"/>
              <w:bottom w:val="single" w:color="auto" w:sz="4" w:space="0"/>
              <w:right w:val="single" w:color="auto" w:sz="4" w:space="0"/>
            </w:tcBorders>
            <w:vAlign w:val="center"/>
          </w:tcPr>
          <w:p w14:paraId="7EE6D61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票款收入（万元）</w:t>
            </w:r>
          </w:p>
        </w:tc>
        <w:tc>
          <w:tcPr>
            <w:tcW w:w="1220" w:type="dxa"/>
            <w:tcBorders>
              <w:top w:val="single" w:color="auto" w:sz="4" w:space="0"/>
              <w:left w:val="single" w:color="auto" w:sz="4" w:space="0"/>
              <w:bottom w:val="single" w:color="auto" w:sz="4" w:space="0"/>
              <w:right w:val="single" w:color="auto" w:sz="4" w:space="0"/>
            </w:tcBorders>
            <w:vAlign w:val="center"/>
          </w:tcPr>
          <w:p w14:paraId="2745AFC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332.35</w:t>
            </w:r>
          </w:p>
        </w:tc>
        <w:tc>
          <w:tcPr>
            <w:tcW w:w="1263" w:type="dxa"/>
            <w:tcBorders>
              <w:top w:val="single" w:color="auto" w:sz="4" w:space="0"/>
              <w:left w:val="single" w:color="auto" w:sz="4" w:space="0"/>
              <w:bottom w:val="single" w:color="auto" w:sz="4" w:space="0"/>
              <w:right w:val="single" w:color="auto" w:sz="4" w:space="0"/>
            </w:tcBorders>
            <w:vAlign w:val="center"/>
          </w:tcPr>
          <w:p w14:paraId="579FF9B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404.44</w:t>
            </w:r>
          </w:p>
        </w:tc>
        <w:tc>
          <w:tcPr>
            <w:tcW w:w="1263" w:type="dxa"/>
            <w:tcBorders>
              <w:top w:val="single" w:color="auto" w:sz="4" w:space="0"/>
              <w:left w:val="single" w:color="auto" w:sz="4" w:space="0"/>
              <w:bottom w:val="single" w:color="auto" w:sz="4" w:space="0"/>
              <w:right w:val="single" w:color="auto" w:sz="4" w:space="0"/>
            </w:tcBorders>
            <w:vAlign w:val="center"/>
          </w:tcPr>
          <w:p w14:paraId="5A68104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460.20</w:t>
            </w:r>
          </w:p>
        </w:tc>
        <w:tc>
          <w:tcPr>
            <w:tcW w:w="1263" w:type="dxa"/>
            <w:tcBorders>
              <w:top w:val="single" w:color="auto" w:sz="4" w:space="0"/>
              <w:left w:val="single" w:color="auto" w:sz="4" w:space="0"/>
              <w:bottom w:val="single" w:color="auto" w:sz="4" w:space="0"/>
              <w:right w:val="single" w:color="auto" w:sz="4" w:space="0"/>
            </w:tcBorders>
            <w:vAlign w:val="center"/>
          </w:tcPr>
          <w:p w14:paraId="0236A83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21.69%</w:t>
            </w:r>
          </w:p>
        </w:tc>
        <w:tc>
          <w:tcPr>
            <w:tcW w:w="1351" w:type="dxa"/>
            <w:tcBorders>
              <w:top w:val="single" w:color="auto" w:sz="4" w:space="0"/>
              <w:left w:val="single" w:color="auto" w:sz="4" w:space="0"/>
              <w:bottom w:val="single" w:color="auto" w:sz="4" w:space="0"/>
              <w:right w:val="single" w:color="auto" w:sz="4" w:space="0"/>
            </w:tcBorders>
            <w:vAlign w:val="center"/>
          </w:tcPr>
          <w:p w14:paraId="4B957FF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13.79%</w:t>
            </w:r>
          </w:p>
        </w:tc>
      </w:tr>
      <w:tr w14:paraId="4EE6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5" w:type="dxa"/>
            <w:tcBorders>
              <w:top w:val="single" w:color="auto" w:sz="4" w:space="0"/>
              <w:left w:val="single" w:color="auto" w:sz="4" w:space="0"/>
              <w:bottom w:val="single" w:color="auto" w:sz="4" w:space="0"/>
              <w:right w:val="single" w:color="auto" w:sz="4" w:space="0"/>
            </w:tcBorders>
            <w:vAlign w:val="center"/>
          </w:tcPr>
          <w:p w14:paraId="41E35BD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年末车辆（辆）</w:t>
            </w:r>
          </w:p>
        </w:tc>
        <w:tc>
          <w:tcPr>
            <w:tcW w:w="1220" w:type="dxa"/>
            <w:tcBorders>
              <w:top w:val="single" w:color="auto" w:sz="4" w:space="0"/>
              <w:left w:val="single" w:color="auto" w:sz="4" w:space="0"/>
              <w:bottom w:val="single" w:color="auto" w:sz="4" w:space="0"/>
              <w:right w:val="single" w:color="auto" w:sz="4" w:space="0"/>
            </w:tcBorders>
            <w:vAlign w:val="center"/>
          </w:tcPr>
          <w:p w14:paraId="36FA820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169</w:t>
            </w:r>
          </w:p>
        </w:tc>
        <w:tc>
          <w:tcPr>
            <w:tcW w:w="1263" w:type="dxa"/>
            <w:tcBorders>
              <w:top w:val="single" w:color="auto" w:sz="4" w:space="0"/>
              <w:left w:val="single" w:color="auto" w:sz="4" w:space="0"/>
              <w:bottom w:val="single" w:color="auto" w:sz="4" w:space="0"/>
              <w:right w:val="single" w:color="auto" w:sz="4" w:space="0"/>
            </w:tcBorders>
            <w:vAlign w:val="center"/>
          </w:tcPr>
          <w:p w14:paraId="47959EE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299</w:t>
            </w:r>
          </w:p>
        </w:tc>
        <w:tc>
          <w:tcPr>
            <w:tcW w:w="1263" w:type="dxa"/>
            <w:tcBorders>
              <w:top w:val="single" w:color="auto" w:sz="4" w:space="0"/>
              <w:left w:val="single" w:color="auto" w:sz="4" w:space="0"/>
              <w:bottom w:val="single" w:color="auto" w:sz="4" w:space="0"/>
              <w:right w:val="single" w:color="auto" w:sz="4" w:space="0"/>
            </w:tcBorders>
            <w:vAlign w:val="center"/>
          </w:tcPr>
          <w:p w14:paraId="66289C4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323</w:t>
            </w:r>
          </w:p>
        </w:tc>
        <w:tc>
          <w:tcPr>
            <w:tcW w:w="1263" w:type="dxa"/>
            <w:tcBorders>
              <w:top w:val="single" w:color="auto" w:sz="4" w:space="0"/>
              <w:left w:val="single" w:color="auto" w:sz="4" w:space="0"/>
              <w:bottom w:val="single" w:color="auto" w:sz="4" w:space="0"/>
              <w:right w:val="single" w:color="auto" w:sz="4" w:space="0"/>
            </w:tcBorders>
            <w:vAlign w:val="center"/>
          </w:tcPr>
          <w:p w14:paraId="56E02072">
            <w:pPr>
              <w:widowControl/>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76.92%</w:t>
            </w:r>
          </w:p>
        </w:tc>
        <w:tc>
          <w:tcPr>
            <w:tcW w:w="1351" w:type="dxa"/>
            <w:tcBorders>
              <w:top w:val="single" w:color="auto" w:sz="4" w:space="0"/>
              <w:left w:val="single" w:color="auto" w:sz="4" w:space="0"/>
              <w:bottom w:val="single" w:color="auto" w:sz="4" w:space="0"/>
              <w:right w:val="single" w:color="auto" w:sz="4" w:space="0"/>
            </w:tcBorders>
            <w:vAlign w:val="center"/>
          </w:tcPr>
          <w:p w14:paraId="270A542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8.03%</w:t>
            </w:r>
          </w:p>
        </w:tc>
      </w:tr>
      <w:tr w14:paraId="684A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5" w:type="dxa"/>
            <w:tcBorders>
              <w:top w:val="single" w:color="auto" w:sz="4" w:space="0"/>
              <w:left w:val="single" w:color="auto" w:sz="4" w:space="0"/>
              <w:bottom w:val="single" w:color="auto" w:sz="4" w:space="0"/>
              <w:right w:val="single" w:color="auto" w:sz="4" w:space="0"/>
            </w:tcBorders>
            <w:vAlign w:val="center"/>
          </w:tcPr>
          <w:p w14:paraId="1FB03FC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运营里程（万km）</w:t>
            </w:r>
          </w:p>
        </w:tc>
        <w:tc>
          <w:tcPr>
            <w:tcW w:w="1220" w:type="dxa"/>
            <w:tcBorders>
              <w:top w:val="single" w:color="auto" w:sz="4" w:space="0"/>
              <w:left w:val="single" w:color="auto" w:sz="4" w:space="0"/>
              <w:bottom w:val="single" w:color="auto" w:sz="4" w:space="0"/>
              <w:right w:val="single" w:color="auto" w:sz="4" w:space="0"/>
            </w:tcBorders>
            <w:vAlign w:val="center"/>
          </w:tcPr>
          <w:p w14:paraId="3D57D6B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369.47</w:t>
            </w:r>
          </w:p>
        </w:tc>
        <w:tc>
          <w:tcPr>
            <w:tcW w:w="1263" w:type="dxa"/>
            <w:tcBorders>
              <w:top w:val="single" w:color="auto" w:sz="4" w:space="0"/>
              <w:left w:val="single" w:color="auto" w:sz="4" w:space="0"/>
              <w:bottom w:val="single" w:color="auto" w:sz="4" w:space="0"/>
              <w:right w:val="single" w:color="auto" w:sz="4" w:space="0"/>
            </w:tcBorders>
            <w:vAlign w:val="center"/>
          </w:tcPr>
          <w:p w14:paraId="4CB0A70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640.91</w:t>
            </w:r>
          </w:p>
        </w:tc>
        <w:tc>
          <w:tcPr>
            <w:tcW w:w="1263" w:type="dxa"/>
            <w:tcBorders>
              <w:top w:val="single" w:color="auto" w:sz="4" w:space="0"/>
              <w:left w:val="single" w:color="auto" w:sz="4" w:space="0"/>
              <w:bottom w:val="single" w:color="auto" w:sz="4" w:space="0"/>
              <w:right w:val="single" w:color="auto" w:sz="4" w:space="0"/>
            </w:tcBorders>
            <w:vAlign w:val="center"/>
          </w:tcPr>
          <w:p w14:paraId="4DCECE1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691.43</w:t>
            </w:r>
          </w:p>
        </w:tc>
        <w:tc>
          <w:tcPr>
            <w:tcW w:w="1263" w:type="dxa"/>
            <w:tcBorders>
              <w:top w:val="single" w:color="auto" w:sz="4" w:space="0"/>
              <w:left w:val="single" w:color="auto" w:sz="4" w:space="0"/>
              <w:bottom w:val="single" w:color="auto" w:sz="4" w:space="0"/>
              <w:right w:val="single" w:color="auto" w:sz="4" w:space="0"/>
            </w:tcBorders>
            <w:vAlign w:val="center"/>
          </w:tcPr>
          <w:p w14:paraId="5B7D59D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73.47%</w:t>
            </w:r>
          </w:p>
        </w:tc>
        <w:tc>
          <w:tcPr>
            <w:tcW w:w="1351" w:type="dxa"/>
            <w:tcBorders>
              <w:top w:val="single" w:color="auto" w:sz="4" w:space="0"/>
              <w:left w:val="single" w:color="auto" w:sz="4" w:space="0"/>
              <w:bottom w:val="single" w:color="auto" w:sz="4" w:space="0"/>
              <w:right w:val="single" w:color="auto" w:sz="4" w:space="0"/>
            </w:tcBorders>
            <w:vAlign w:val="center"/>
          </w:tcPr>
          <w:p w14:paraId="564FE76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7.88%</w:t>
            </w:r>
          </w:p>
        </w:tc>
      </w:tr>
      <w:tr w14:paraId="11A3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5" w:type="dxa"/>
            <w:tcBorders>
              <w:top w:val="single" w:color="auto" w:sz="4" w:space="0"/>
              <w:left w:val="single" w:color="auto" w:sz="4" w:space="0"/>
              <w:bottom w:val="single" w:color="auto" w:sz="4" w:space="0"/>
              <w:right w:val="single" w:color="auto" w:sz="4" w:space="0"/>
            </w:tcBorders>
            <w:vAlign w:val="center"/>
          </w:tcPr>
          <w:p w14:paraId="7558A0A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平均车辆票价收入</w:t>
            </w:r>
          </w:p>
        </w:tc>
        <w:tc>
          <w:tcPr>
            <w:tcW w:w="1220" w:type="dxa"/>
            <w:tcBorders>
              <w:top w:val="single" w:color="auto" w:sz="4" w:space="0"/>
              <w:left w:val="single" w:color="auto" w:sz="4" w:space="0"/>
              <w:bottom w:val="single" w:color="auto" w:sz="4" w:space="0"/>
              <w:right w:val="single" w:color="auto" w:sz="4" w:space="0"/>
            </w:tcBorders>
            <w:vAlign w:val="center"/>
          </w:tcPr>
          <w:p w14:paraId="2E414B68">
            <w:pPr>
              <w:widowControl/>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1.97</w:t>
            </w:r>
          </w:p>
        </w:tc>
        <w:tc>
          <w:tcPr>
            <w:tcW w:w="1263" w:type="dxa"/>
            <w:tcBorders>
              <w:top w:val="single" w:color="auto" w:sz="4" w:space="0"/>
              <w:left w:val="single" w:color="auto" w:sz="4" w:space="0"/>
              <w:bottom w:val="single" w:color="auto" w:sz="4" w:space="0"/>
              <w:right w:val="single" w:color="auto" w:sz="4" w:space="0"/>
            </w:tcBorders>
            <w:vAlign w:val="center"/>
          </w:tcPr>
          <w:p w14:paraId="405466E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1.35</w:t>
            </w:r>
          </w:p>
        </w:tc>
        <w:tc>
          <w:tcPr>
            <w:tcW w:w="1263" w:type="dxa"/>
            <w:tcBorders>
              <w:top w:val="single" w:color="auto" w:sz="4" w:space="0"/>
              <w:left w:val="single" w:color="auto" w:sz="4" w:space="0"/>
              <w:bottom w:val="single" w:color="auto" w:sz="4" w:space="0"/>
              <w:right w:val="single" w:color="auto" w:sz="4" w:space="0"/>
            </w:tcBorders>
            <w:vAlign w:val="center"/>
          </w:tcPr>
          <w:p w14:paraId="2EAFB8EA">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1.42</w:t>
            </w:r>
          </w:p>
        </w:tc>
        <w:tc>
          <w:tcPr>
            <w:tcW w:w="1263" w:type="dxa"/>
            <w:tcBorders>
              <w:top w:val="single" w:color="auto" w:sz="4" w:space="0"/>
              <w:left w:val="single" w:color="auto" w:sz="4" w:space="0"/>
              <w:bottom w:val="single" w:color="auto" w:sz="4" w:space="0"/>
              <w:right w:val="single" w:color="auto" w:sz="4" w:space="0"/>
            </w:tcBorders>
            <w:vAlign w:val="center"/>
          </w:tcPr>
          <w:p w14:paraId="4AAEEA04">
            <w:pPr>
              <w:widowControl/>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-31.22%</w:t>
            </w:r>
          </w:p>
        </w:tc>
        <w:tc>
          <w:tcPr>
            <w:tcW w:w="1351" w:type="dxa"/>
            <w:tcBorders>
              <w:top w:val="single" w:color="auto" w:sz="4" w:space="0"/>
              <w:left w:val="single" w:color="auto" w:sz="4" w:space="0"/>
              <w:bottom w:val="single" w:color="auto" w:sz="4" w:space="0"/>
              <w:right w:val="single" w:color="auto" w:sz="4" w:space="0"/>
            </w:tcBorders>
            <w:vAlign w:val="center"/>
          </w:tcPr>
          <w:p w14:paraId="05320A6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5.33%</w:t>
            </w:r>
          </w:p>
        </w:tc>
      </w:tr>
      <w:tr w14:paraId="4FC1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35" w:type="dxa"/>
            <w:tcBorders>
              <w:top w:val="single" w:color="auto" w:sz="4" w:space="0"/>
              <w:left w:val="single" w:color="auto" w:sz="4" w:space="0"/>
              <w:bottom w:val="single" w:color="auto" w:sz="4" w:space="0"/>
              <w:right w:val="single" w:color="auto" w:sz="4" w:space="0"/>
            </w:tcBorders>
            <w:vAlign w:val="center"/>
          </w:tcPr>
          <w:p w14:paraId="4D20608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平均里程票价收入</w:t>
            </w:r>
          </w:p>
        </w:tc>
        <w:tc>
          <w:tcPr>
            <w:tcW w:w="1220" w:type="dxa"/>
            <w:tcBorders>
              <w:top w:val="single" w:color="auto" w:sz="4" w:space="0"/>
              <w:left w:val="single" w:color="auto" w:sz="4" w:space="0"/>
              <w:bottom w:val="single" w:color="auto" w:sz="4" w:space="0"/>
              <w:right w:val="single" w:color="auto" w:sz="4" w:space="0"/>
            </w:tcBorders>
            <w:vAlign w:val="center"/>
          </w:tcPr>
          <w:p w14:paraId="07C36E7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0.90</w:t>
            </w:r>
          </w:p>
        </w:tc>
        <w:tc>
          <w:tcPr>
            <w:tcW w:w="1263" w:type="dxa"/>
            <w:tcBorders>
              <w:top w:val="single" w:color="auto" w:sz="4" w:space="0"/>
              <w:left w:val="single" w:color="auto" w:sz="4" w:space="0"/>
              <w:bottom w:val="single" w:color="auto" w:sz="4" w:space="0"/>
              <w:right w:val="single" w:color="auto" w:sz="4" w:space="0"/>
            </w:tcBorders>
            <w:vAlign w:val="center"/>
          </w:tcPr>
          <w:p w14:paraId="26DDE45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0.63</w:t>
            </w:r>
          </w:p>
        </w:tc>
        <w:tc>
          <w:tcPr>
            <w:tcW w:w="1263" w:type="dxa"/>
            <w:tcBorders>
              <w:top w:val="single" w:color="auto" w:sz="4" w:space="0"/>
              <w:left w:val="single" w:color="auto" w:sz="4" w:space="0"/>
              <w:bottom w:val="single" w:color="auto" w:sz="4" w:space="0"/>
              <w:right w:val="single" w:color="auto" w:sz="4" w:space="0"/>
            </w:tcBorders>
            <w:vAlign w:val="center"/>
          </w:tcPr>
          <w:p w14:paraId="63956DB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0.67</w:t>
            </w:r>
          </w:p>
        </w:tc>
        <w:tc>
          <w:tcPr>
            <w:tcW w:w="1263" w:type="dxa"/>
            <w:tcBorders>
              <w:top w:val="single" w:color="auto" w:sz="4" w:space="0"/>
              <w:left w:val="single" w:color="auto" w:sz="4" w:space="0"/>
              <w:bottom w:val="single" w:color="auto" w:sz="4" w:space="0"/>
              <w:right w:val="single" w:color="auto" w:sz="4" w:space="0"/>
            </w:tcBorders>
            <w:vAlign w:val="center"/>
          </w:tcPr>
          <w:p w14:paraId="75EDA22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-29.85%</w:t>
            </w:r>
          </w:p>
        </w:tc>
        <w:tc>
          <w:tcPr>
            <w:tcW w:w="1351" w:type="dxa"/>
            <w:tcBorders>
              <w:top w:val="single" w:color="auto" w:sz="4" w:space="0"/>
              <w:left w:val="single" w:color="auto" w:sz="4" w:space="0"/>
              <w:bottom w:val="single" w:color="auto" w:sz="4" w:space="0"/>
              <w:right w:val="single" w:color="auto" w:sz="4" w:space="0"/>
            </w:tcBorders>
            <w:vAlign w:val="center"/>
          </w:tcPr>
          <w:p w14:paraId="3861963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5.47%</w:t>
            </w:r>
          </w:p>
        </w:tc>
      </w:tr>
    </w:tbl>
    <w:p w14:paraId="2B728276">
      <w:pPr>
        <w:spacing w:line="500" w:lineRule="exact"/>
        <w:ind w:firstLine="562" w:firstLineChars="20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3</w:t>
      </w:r>
      <w:r>
        <w:rPr>
          <w:rFonts w:ascii="Times New Roman" w:hAnsi="Times New Roman" w:eastAsia="仿宋_GB2312" w:cs="Times New Roman"/>
          <w:b/>
          <w:sz w:val="28"/>
          <w:szCs w:val="28"/>
        </w:rPr>
        <w:t xml:space="preserve">. </w:t>
      </w:r>
      <w:r>
        <w:rPr>
          <w:rFonts w:hint="eastAsia" w:ascii="Times New Roman" w:hAnsi="Times New Roman" w:eastAsia="仿宋_GB2312" w:cs="Times New Roman"/>
          <w:b/>
          <w:sz w:val="28"/>
          <w:szCs w:val="28"/>
        </w:rPr>
        <w:t>站点覆盖密度不断增加、乘坐便利性逐渐提高</w:t>
      </w:r>
    </w:p>
    <w:p w14:paraId="78647D0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2016-2018年滑县公交站点总数量分别为389、364和507个，其中2018年城区候车亭数量为325个。根据城市公交行业数据站点覆盖半径300米计算，滑县公交站点应不少于223个，滑县实际城区公交数量325个远大于行业标准，公交覆盖密度较大。2017年和2018年候车厅中港湾式候车亭数量分别为0和210个，</w:t>
      </w:r>
      <w:r>
        <w:rPr>
          <w:rFonts w:hint="eastAsia" w:ascii="Times New Roman" w:hAnsi="Times New Roman" w:eastAsia="仿宋_GB2312" w:cs="Times New Roman"/>
          <w:sz w:val="28"/>
          <w:szCs w:val="28"/>
        </w:rPr>
        <w:t>居民公交候车便利性与舒适性有所提升</w:t>
      </w:r>
      <w:r>
        <w:rPr>
          <w:rFonts w:ascii="Times New Roman" w:hAnsi="Times New Roman" w:eastAsia="仿宋_GB2312" w:cs="Times New Roman"/>
          <w:sz w:val="28"/>
          <w:szCs w:val="28"/>
        </w:rPr>
        <w:t>。</w:t>
      </w:r>
    </w:p>
    <w:p w14:paraId="02225DD9">
      <w:pPr>
        <w:spacing w:line="50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4. </w:t>
      </w:r>
      <w:r>
        <w:rPr>
          <w:rFonts w:hint="eastAsia" w:ascii="Times New Roman" w:hAnsi="Times New Roman" w:eastAsia="仿宋_GB2312" w:cs="Times New Roman"/>
          <w:b/>
          <w:bCs/>
          <w:sz w:val="28"/>
          <w:szCs w:val="28"/>
        </w:rPr>
        <w:t>智慧公交建设初步推进，但整体智慧化水平不高</w:t>
      </w:r>
    </w:p>
    <w:p w14:paraId="6AADB991">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2016-2018年累计公交卡保有量为6120、8630和9721张，其中2017年和2018年的活跃公交卡数量为3124、6712张，占比分别为36.20%和69.05%，活跃公交卡数量占比明显提升。但2017年和2018年电子和刷卡收入占票价收入的比重分别为8.15%和8.35%，占比仍然较小。2017年各月份票价收入电子刷卡占比最高月份为4月的16.39%，最低占比为0；2018年月份票价收入结构中4月份占比最高为13.81%，8月份最低为4.74%。整体上，滑县公交乘车的支付方式仍以传统的投币为主，投币比重仍在90%以上，公交卡支付和电子支付的比例仍然较低，公交乘坐支付多元化和便捷性存在巨大的提升空间。滑县公交卡及支付情况具体如表4</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6和4</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7所示：</w:t>
      </w:r>
    </w:p>
    <w:p w14:paraId="390C3B3D">
      <w:pPr>
        <w:pStyle w:val="21"/>
        <w:rPr>
          <w:sz w:val="28"/>
        </w:rPr>
      </w:pPr>
      <w:r>
        <w:t>表4</w:t>
      </w:r>
      <w:r>
        <w:rPr>
          <w:rFonts w:hint="eastAsia"/>
        </w:rPr>
        <w:t>-</w:t>
      </w:r>
      <w:r>
        <w:t>6 滑县公交公司2016-2018年公交卡及电子支付情况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1019"/>
        <w:gridCol w:w="1019"/>
        <w:gridCol w:w="1019"/>
        <w:gridCol w:w="1456"/>
        <w:gridCol w:w="1539"/>
      </w:tblGrid>
      <w:tr w14:paraId="3365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55CA233D">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项目</w:t>
            </w:r>
          </w:p>
        </w:tc>
        <w:tc>
          <w:tcPr>
            <w:tcW w:w="101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08A1372">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2016年</w:t>
            </w:r>
          </w:p>
        </w:tc>
        <w:tc>
          <w:tcPr>
            <w:tcW w:w="101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264DACD9">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2017年</w:t>
            </w:r>
          </w:p>
        </w:tc>
        <w:tc>
          <w:tcPr>
            <w:tcW w:w="101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59A254C8">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2018年</w:t>
            </w:r>
          </w:p>
        </w:tc>
        <w:tc>
          <w:tcPr>
            <w:tcW w:w="1456"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2B712DF6">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2017年同比增长</w:t>
            </w:r>
          </w:p>
        </w:tc>
        <w:tc>
          <w:tcPr>
            <w:tcW w:w="153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496F6A52">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2018年同比增长</w:t>
            </w:r>
          </w:p>
        </w:tc>
      </w:tr>
      <w:tr w14:paraId="7A83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Borders>
              <w:top w:val="single" w:color="auto" w:sz="4" w:space="0"/>
              <w:left w:val="single" w:color="auto" w:sz="4" w:space="0"/>
              <w:bottom w:val="single" w:color="auto" w:sz="4" w:space="0"/>
              <w:right w:val="single" w:color="auto" w:sz="4" w:space="0"/>
            </w:tcBorders>
          </w:tcPr>
          <w:p w14:paraId="1878D7B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年末累计公交卡保有量</w:t>
            </w:r>
          </w:p>
        </w:tc>
        <w:tc>
          <w:tcPr>
            <w:tcW w:w="1019" w:type="dxa"/>
            <w:tcBorders>
              <w:top w:val="single" w:color="auto" w:sz="4" w:space="0"/>
              <w:left w:val="single" w:color="auto" w:sz="4" w:space="0"/>
              <w:bottom w:val="single" w:color="auto" w:sz="4" w:space="0"/>
              <w:right w:val="single" w:color="auto" w:sz="4" w:space="0"/>
            </w:tcBorders>
            <w:vAlign w:val="center"/>
          </w:tcPr>
          <w:p w14:paraId="2EBB9CA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6120</w:t>
            </w:r>
          </w:p>
        </w:tc>
        <w:tc>
          <w:tcPr>
            <w:tcW w:w="1019" w:type="dxa"/>
            <w:tcBorders>
              <w:top w:val="single" w:color="auto" w:sz="4" w:space="0"/>
              <w:left w:val="single" w:color="auto" w:sz="4" w:space="0"/>
              <w:bottom w:val="single" w:color="auto" w:sz="4" w:space="0"/>
              <w:right w:val="single" w:color="auto" w:sz="4" w:space="0"/>
            </w:tcBorders>
            <w:vAlign w:val="center"/>
          </w:tcPr>
          <w:p w14:paraId="53A05F8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8630</w:t>
            </w:r>
          </w:p>
        </w:tc>
        <w:tc>
          <w:tcPr>
            <w:tcW w:w="1019" w:type="dxa"/>
            <w:tcBorders>
              <w:top w:val="single" w:color="auto" w:sz="4" w:space="0"/>
              <w:left w:val="single" w:color="auto" w:sz="4" w:space="0"/>
              <w:bottom w:val="single" w:color="auto" w:sz="4" w:space="0"/>
              <w:right w:val="single" w:color="auto" w:sz="4" w:space="0"/>
            </w:tcBorders>
            <w:vAlign w:val="center"/>
          </w:tcPr>
          <w:p w14:paraId="54121A6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9721</w:t>
            </w:r>
          </w:p>
        </w:tc>
        <w:tc>
          <w:tcPr>
            <w:tcW w:w="1456" w:type="dxa"/>
            <w:tcBorders>
              <w:top w:val="single" w:color="auto" w:sz="4" w:space="0"/>
              <w:left w:val="single" w:color="auto" w:sz="4" w:space="0"/>
              <w:bottom w:val="single" w:color="auto" w:sz="4" w:space="0"/>
              <w:right w:val="single" w:color="auto" w:sz="4" w:space="0"/>
            </w:tcBorders>
          </w:tcPr>
          <w:p w14:paraId="4ACF8CB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41.01%</w:t>
            </w:r>
          </w:p>
        </w:tc>
        <w:tc>
          <w:tcPr>
            <w:tcW w:w="1539" w:type="dxa"/>
            <w:tcBorders>
              <w:top w:val="single" w:color="auto" w:sz="4" w:space="0"/>
              <w:left w:val="single" w:color="auto" w:sz="4" w:space="0"/>
              <w:bottom w:val="single" w:color="auto" w:sz="4" w:space="0"/>
              <w:right w:val="single" w:color="auto" w:sz="4" w:space="0"/>
            </w:tcBorders>
          </w:tcPr>
          <w:p w14:paraId="10A7FDA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12.64%</w:t>
            </w:r>
          </w:p>
        </w:tc>
      </w:tr>
      <w:tr w14:paraId="4B99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Borders>
              <w:top w:val="single" w:color="auto" w:sz="4" w:space="0"/>
              <w:left w:val="single" w:color="auto" w:sz="4" w:space="0"/>
              <w:bottom w:val="single" w:color="auto" w:sz="4" w:space="0"/>
              <w:right w:val="single" w:color="auto" w:sz="4" w:space="0"/>
            </w:tcBorders>
          </w:tcPr>
          <w:p w14:paraId="688BB24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活跃公交卡数</w:t>
            </w:r>
          </w:p>
        </w:tc>
        <w:tc>
          <w:tcPr>
            <w:tcW w:w="1019" w:type="dxa"/>
            <w:tcBorders>
              <w:top w:val="single" w:color="auto" w:sz="4" w:space="0"/>
              <w:left w:val="single" w:color="auto" w:sz="4" w:space="0"/>
              <w:bottom w:val="single" w:color="auto" w:sz="4" w:space="0"/>
              <w:right w:val="single" w:color="auto" w:sz="4" w:space="0"/>
            </w:tcBorders>
            <w:vAlign w:val="center"/>
          </w:tcPr>
          <w:p w14:paraId="7BA4C9B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0904EE2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3124</w:t>
            </w:r>
          </w:p>
        </w:tc>
        <w:tc>
          <w:tcPr>
            <w:tcW w:w="1019" w:type="dxa"/>
            <w:tcBorders>
              <w:top w:val="single" w:color="auto" w:sz="4" w:space="0"/>
              <w:left w:val="single" w:color="auto" w:sz="4" w:space="0"/>
              <w:bottom w:val="single" w:color="auto" w:sz="4" w:space="0"/>
              <w:right w:val="single" w:color="auto" w:sz="4" w:space="0"/>
            </w:tcBorders>
            <w:vAlign w:val="center"/>
          </w:tcPr>
          <w:p w14:paraId="30582BA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6712</w:t>
            </w:r>
          </w:p>
        </w:tc>
        <w:tc>
          <w:tcPr>
            <w:tcW w:w="1456" w:type="dxa"/>
            <w:tcBorders>
              <w:top w:val="single" w:color="auto" w:sz="4" w:space="0"/>
              <w:left w:val="single" w:color="auto" w:sz="4" w:space="0"/>
              <w:bottom w:val="single" w:color="auto" w:sz="4" w:space="0"/>
              <w:right w:val="single" w:color="auto" w:sz="4" w:space="0"/>
            </w:tcBorders>
          </w:tcPr>
          <w:p w14:paraId="589C3D7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539" w:type="dxa"/>
            <w:tcBorders>
              <w:top w:val="single" w:color="auto" w:sz="4" w:space="0"/>
              <w:left w:val="single" w:color="auto" w:sz="4" w:space="0"/>
              <w:bottom w:val="single" w:color="auto" w:sz="4" w:space="0"/>
              <w:right w:val="single" w:color="auto" w:sz="4" w:space="0"/>
            </w:tcBorders>
          </w:tcPr>
          <w:p w14:paraId="3CB4ECA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114.85%</w:t>
            </w:r>
          </w:p>
        </w:tc>
      </w:tr>
      <w:tr w14:paraId="0CE7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Borders>
              <w:top w:val="single" w:color="auto" w:sz="4" w:space="0"/>
              <w:left w:val="single" w:color="auto" w:sz="4" w:space="0"/>
              <w:bottom w:val="single" w:color="auto" w:sz="4" w:space="0"/>
              <w:right w:val="single" w:color="auto" w:sz="4" w:space="0"/>
            </w:tcBorders>
          </w:tcPr>
          <w:p w14:paraId="0B16FAD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活跃公交卡数占比</w:t>
            </w:r>
          </w:p>
        </w:tc>
        <w:tc>
          <w:tcPr>
            <w:tcW w:w="1019" w:type="dxa"/>
            <w:tcBorders>
              <w:top w:val="single" w:color="auto" w:sz="4" w:space="0"/>
              <w:left w:val="single" w:color="auto" w:sz="4" w:space="0"/>
              <w:bottom w:val="single" w:color="auto" w:sz="4" w:space="0"/>
              <w:right w:val="single" w:color="auto" w:sz="4" w:space="0"/>
            </w:tcBorders>
            <w:vAlign w:val="center"/>
          </w:tcPr>
          <w:p w14:paraId="064D987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45E9610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36.20%</w:t>
            </w:r>
          </w:p>
        </w:tc>
        <w:tc>
          <w:tcPr>
            <w:tcW w:w="1019" w:type="dxa"/>
            <w:tcBorders>
              <w:top w:val="single" w:color="auto" w:sz="4" w:space="0"/>
              <w:left w:val="single" w:color="auto" w:sz="4" w:space="0"/>
              <w:bottom w:val="single" w:color="auto" w:sz="4" w:space="0"/>
              <w:right w:val="single" w:color="auto" w:sz="4" w:space="0"/>
            </w:tcBorders>
            <w:vAlign w:val="center"/>
          </w:tcPr>
          <w:p w14:paraId="412AEBD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69.05%</w:t>
            </w:r>
          </w:p>
        </w:tc>
        <w:tc>
          <w:tcPr>
            <w:tcW w:w="1456" w:type="dxa"/>
            <w:tcBorders>
              <w:top w:val="single" w:color="auto" w:sz="4" w:space="0"/>
              <w:left w:val="single" w:color="auto" w:sz="4" w:space="0"/>
              <w:bottom w:val="single" w:color="auto" w:sz="4" w:space="0"/>
              <w:right w:val="single" w:color="auto" w:sz="4" w:space="0"/>
            </w:tcBorders>
          </w:tcPr>
          <w:p w14:paraId="0294B60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539" w:type="dxa"/>
            <w:tcBorders>
              <w:top w:val="single" w:color="auto" w:sz="4" w:space="0"/>
              <w:left w:val="single" w:color="auto" w:sz="4" w:space="0"/>
              <w:bottom w:val="single" w:color="auto" w:sz="4" w:space="0"/>
              <w:right w:val="single" w:color="auto" w:sz="4" w:space="0"/>
            </w:tcBorders>
          </w:tcPr>
          <w:p w14:paraId="7A4CBCB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r>
      <w:tr w14:paraId="03BD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Borders>
              <w:top w:val="single" w:color="auto" w:sz="4" w:space="0"/>
              <w:left w:val="single" w:color="auto" w:sz="4" w:space="0"/>
              <w:bottom w:val="single" w:color="auto" w:sz="4" w:space="0"/>
              <w:right w:val="single" w:color="auto" w:sz="4" w:space="0"/>
            </w:tcBorders>
          </w:tcPr>
          <w:p w14:paraId="4C716BA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票款收入（万元）</w:t>
            </w:r>
          </w:p>
        </w:tc>
        <w:tc>
          <w:tcPr>
            <w:tcW w:w="1019" w:type="dxa"/>
            <w:tcBorders>
              <w:top w:val="single" w:color="auto" w:sz="4" w:space="0"/>
              <w:left w:val="single" w:color="auto" w:sz="4" w:space="0"/>
              <w:bottom w:val="single" w:color="auto" w:sz="4" w:space="0"/>
              <w:right w:val="single" w:color="auto" w:sz="4" w:space="0"/>
            </w:tcBorders>
            <w:vAlign w:val="center"/>
          </w:tcPr>
          <w:p w14:paraId="0AAFFEFA">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332.35</w:t>
            </w:r>
          </w:p>
        </w:tc>
        <w:tc>
          <w:tcPr>
            <w:tcW w:w="1019" w:type="dxa"/>
            <w:tcBorders>
              <w:top w:val="single" w:color="auto" w:sz="4" w:space="0"/>
              <w:left w:val="single" w:color="auto" w:sz="4" w:space="0"/>
              <w:bottom w:val="single" w:color="auto" w:sz="4" w:space="0"/>
              <w:right w:val="single" w:color="auto" w:sz="4" w:space="0"/>
            </w:tcBorders>
            <w:vAlign w:val="center"/>
          </w:tcPr>
          <w:p w14:paraId="57D4F7F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404.44</w:t>
            </w:r>
          </w:p>
        </w:tc>
        <w:tc>
          <w:tcPr>
            <w:tcW w:w="1019" w:type="dxa"/>
            <w:tcBorders>
              <w:top w:val="single" w:color="auto" w:sz="4" w:space="0"/>
              <w:left w:val="single" w:color="auto" w:sz="4" w:space="0"/>
              <w:bottom w:val="single" w:color="auto" w:sz="4" w:space="0"/>
              <w:right w:val="single" w:color="auto" w:sz="4" w:space="0"/>
            </w:tcBorders>
            <w:vAlign w:val="center"/>
          </w:tcPr>
          <w:p w14:paraId="4DD65139">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460.20</w:t>
            </w:r>
          </w:p>
        </w:tc>
        <w:tc>
          <w:tcPr>
            <w:tcW w:w="1456" w:type="dxa"/>
            <w:tcBorders>
              <w:top w:val="single" w:color="auto" w:sz="4" w:space="0"/>
              <w:left w:val="single" w:color="auto" w:sz="4" w:space="0"/>
              <w:bottom w:val="single" w:color="auto" w:sz="4" w:space="0"/>
              <w:right w:val="single" w:color="auto" w:sz="4" w:space="0"/>
            </w:tcBorders>
            <w:vAlign w:val="bottom"/>
          </w:tcPr>
          <w:p w14:paraId="3DD37D0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21.69%</w:t>
            </w:r>
          </w:p>
        </w:tc>
        <w:tc>
          <w:tcPr>
            <w:tcW w:w="1539" w:type="dxa"/>
            <w:tcBorders>
              <w:top w:val="single" w:color="auto" w:sz="4" w:space="0"/>
              <w:left w:val="single" w:color="auto" w:sz="4" w:space="0"/>
              <w:bottom w:val="single" w:color="auto" w:sz="4" w:space="0"/>
              <w:right w:val="single" w:color="auto" w:sz="4" w:space="0"/>
            </w:tcBorders>
            <w:vAlign w:val="bottom"/>
          </w:tcPr>
          <w:p w14:paraId="4C0A0CE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13.79%</w:t>
            </w:r>
          </w:p>
        </w:tc>
      </w:tr>
      <w:tr w14:paraId="6138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Borders>
              <w:top w:val="single" w:color="auto" w:sz="4" w:space="0"/>
              <w:left w:val="single" w:color="auto" w:sz="4" w:space="0"/>
              <w:bottom w:val="single" w:color="auto" w:sz="4" w:space="0"/>
              <w:right w:val="single" w:color="auto" w:sz="4" w:space="0"/>
            </w:tcBorders>
          </w:tcPr>
          <w:p w14:paraId="0D7AA44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电子刷卡收入（万元）</w:t>
            </w:r>
          </w:p>
        </w:tc>
        <w:tc>
          <w:tcPr>
            <w:tcW w:w="1019" w:type="dxa"/>
            <w:tcBorders>
              <w:top w:val="single" w:color="auto" w:sz="4" w:space="0"/>
              <w:left w:val="single" w:color="auto" w:sz="4" w:space="0"/>
              <w:bottom w:val="single" w:color="auto" w:sz="4" w:space="0"/>
              <w:right w:val="single" w:color="auto" w:sz="4" w:space="0"/>
            </w:tcBorders>
            <w:vAlign w:val="center"/>
          </w:tcPr>
          <w:p w14:paraId="41444F9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4267BD2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32.94</w:t>
            </w:r>
          </w:p>
        </w:tc>
        <w:tc>
          <w:tcPr>
            <w:tcW w:w="1019" w:type="dxa"/>
            <w:tcBorders>
              <w:top w:val="single" w:color="auto" w:sz="4" w:space="0"/>
              <w:left w:val="single" w:color="auto" w:sz="4" w:space="0"/>
              <w:bottom w:val="single" w:color="auto" w:sz="4" w:space="0"/>
              <w:right w:val="single" w:color="auto" w:sz="4" w:space="0"/>
            </w:tcBorders>
            <w:vAlign w:val="center"/>
          </w:tcPr>
          <w:p w14:paraId="3C046D0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38.41</w:t>
            </w:r>
          </w:p>
        </w:tc>
        <w:tc>
          <w:tcPr>
            <w:tcW w:w="1456" w:type="dxa"/>
            <w:tcBorders>
              <w:top w:val="single" w:color="auto" w:sz="4" w:space="0"/>
              <w:left w:val="single" w:color="auto" w:sz="4" w:space="0"/>
              <w:bottom w:val="single" w:color="auto" w:sz="4" w:space="0"/>
              <w:right w:val="single" w:color="auto" w:sz="4" w:space="0"/>
            </w:tcBorders>
          </w:tcPr>
          <w:p w14:paraId="7C58312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539" w:type="dxa"/>
            <w:tcBorders>
              <w:top w:val="single" w:color="auto" w:sz="4" w:space="0"/>
              <w:left w:val="single" w:color="auto" w:sz="4" w:space="0"/>
              <w:bottom w:val="single" w:color="auto" w:sz="4" w:space="0"/>
              <w:right w:val="single" w:color="auto" w:sz="4" w:space="0"/>
            </w:tcBorders>
          </w:tcPr>
          <w:p w14:paraId="2DF0381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16.60%</w:t>
            </w:r>
          </w:p>
        </w:tc>
      </w:tr>
      <w:tr w14:paraId="2E03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tcBorders>
              <w:top w:val="single" w:color="auto" w:sz="4" w:space="0"/>
              <w:left w:val="single" w:color="auto" w:sz="4" w:space="0"/>
              <w:bottom w:val="single" w:color="auto" w:sz="4" w:space="0"/>
              <w:right w:val="single" w:color="auto" w:sz="4" w:space="0"/>
            </w:tcBorders>
          </w:tcPr>
          <w:p w14:paraId="6F06C45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电子刷卡收入占比</w:t>
            </w:r>
          </w:p>
        </w:tc>
        <w:tc>
          <w:tcPr>
            <w:tcW w:w="1019" w:type="dxa"/>
            <w:tcBorders>
              <w:top w:val="single" w:color="auto" w:sz="4" w:space="0"/>
              <w:left w:val="single" w:color="auto" w:sz="4" w:space="0"/>
              <w:bottom w:val="single" w:color="auto" w:sz="4" w:space="0"/>
              <w:right w:val="single" w:color="auto" w:sz="4" w:space="0"/>
            </w:tcBorders>
            <w:vAlign w:val="center"/>
          </w:tcPr>
          <w:p w14:paraId="50BB549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019" w:type="dxa"/>
            <w:tcBorders>
              <w:top w:val="single" w:color="auto" w:sz="4" w:space="0"/>
              <w:left w:val="single" w:color="auto" w:sz="4" w:space="0"/>
              <w:bottom w:val="single" w:color="auto" w:sz="4" w:space="0"/>
              <w:right w:val="single" w:color="auto" w:sz="4" w:space="0"/>
            </w:tcBorders>
            <w:vAlign w:val="center"/>
          </w:tcPr>
          <w:p w14:paraId="4B7C9DF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8.15%</w:t>
            </w:r>
          </w:p>
        </w:tc>
        <w:tc>
          <w:tcPr>
            <w:tcW w:w="1019" w:type="dxa"/>
            <w:tcBorders>
              <w:top w:val="single" w:color="auto" w:sz="4" w:space="0"/>
              <w:left w:val="single" w:color="auto" w:sz="4" w:space="0"/>
              <w:bottom w:val="single" w:color="auto" w:sz="4" w:space="0"/>
              <w:right w:val="single" w:color="auto" w:sz="4" w:space="0"/>
            </w:tcBorders>
            <w:vAlign w:val="center"/>
          </w:tcPr>
          <w:p w14:paraId="1F85D23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8.35%</w:t>
            </w:r>
          </w:p>
        </w:tc>
        <w:tc>
          <w:tcPr>
            <w:tcW w:w="1456" w:type="dxa"/>
            <w:tcBorders>
              <w:top w:val="single" w:color="auto" w:sz="4" w:space="0"/>
              <w:left w:val="single" w:color="auto" w:sz="4" w:space="0"/>
              <w:bottom w:val="single" w:color="auto" w:sz="4" w:space="0"/>
              <w:right w:val="single" w:color="auto" w:sz="4" w:space="0"/>
            </w:tcBorders>
          </w:tcPr>
          <w:p w14:paraId="035CFD9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539" w:type="dxa"/>
            <w:tcBorders>
              <w:top w:val="single" w:color="auto" w:sz="4" w:space="0"/>
              <w:left w:val="single" w:color="auto" w:sz="4" w:space="0"/>
              <w:bottom w:val="single" w:color="auto" w:sz="4" w:space="0"/>
              <w:right w:val="single" w:color="auto" w:sz="4" w:space="0"/>
            </w:tcBorders>
          </w:tcPr>
          <w:p w14:paraId="475810C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2.45%</w:t>
            </w:r>
          </w:p>
        </w:tc>
      </w:tr>
    </w:tbl>
    <w:p w14:paraId="1856C568">
      <w:pPr>
        <w:pStyle w:val="21"/>
      </w:pPr>
      <w:r>
        <w:t>表4</w:t>
      </w:r>
      <w:r>
        <w:rPr>
          <w:rFonts w:hint="eastAsia"/>
        </w:rPr>
        <w:t>-</w:t>
      </w:r>
      <w:r>
        <w:t>7 滑县2017、2018年票款收入构成情况表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282"/>
        <w:gridCol w:w="1282"/>
        <w:gridCol w:w="1283"/>
        <w:gridCol w:w="1282"/>
        <w:gridCol w:w="1282"/>
        <w:gridCol w:w="1280"/>
      </w:tblGrid>
      <w:tr w14:paraId="0542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1"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1CD4B9E7">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月份</w:t>
            </w:r>
          </w:p>
        </w:tc>
        <w:tc>
          <w:tcPr>
            <w:tcW w:w="3847"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4DC59DF0">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2017年（单位：元）</w:t>
            </w:r>
          </w:p>
        </w:tc>
        <w:tc>
          <w:tcPr>
            <w:tcW w:w="3844"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6E434DD2">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2018年（单位：元）</w:t>
            </w:r>
          </w:p>
        </w:tc>
      </w:tr>
      <w:tr w14:paraId="2AA8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1" w:type="dxa"/>
            <w:vMerge w:val="continue"/>
            <w:tcBorders>
              <w:top w:val="single" w:color="auto" w:sz="4" w:space="0"/>
              <w:left w:val="single" w:color="auto" w:sz="4" w:space="0"/>
              <w:bottom w:val="single" w:color="auto" w:sz="4" w:space="0"/>
              <w:right w:val="single" w:color="auto" w:sz="4" w:space="0"/>
            </w:tcBorders>
            <w:vAlign w:val="center"/>
          </w:tcPr>
          <w:p w14:paraId="71A79F7E">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p>
        </w:tc>
        <w:tc>
          <w:tcPr>
            <w:tcW w:w="128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07157F58">
            <w:pPr>
              <w:tabs>
                <w:tab w:val="left" w:pos="4881"/>
              </w:tabs>
              <w:adjustRightInd w:val="0"/>
              <w:snapToGrid w:val="0"/>
              <w:spacing w:line="400" w:lineRule="exact"/>
              <w:jc w:val="center"/>
              <w:textAlignment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票款收入</w:t>
            </w:r>
          </w:p>
        </w:tc>
        <w:tc>
          <w:tcPr>
            <w:tcW w:w="128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276A0062">
            <w:pPr>
              <w:tabs>
                <w:tab w:val="left" w:pos="4881"/>
              </w:tabs>
              <w:adjustRightInd w:val="0"/>
              <w:snapToGrid w:val="0"/>
              <w:spacing w:line="400" w:lineRule="exact"/>
              <w:jc w:val="center"/>
              <w:textAlignment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刷卡收入</w:t>
            </w:r>
          </w:p>
        </w:tc>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2427E9CF">
            <w:pPr>
              <w:tabs>
                <w:tab w:val="left" w:pos="4881"/>
              </w:tabs>
              <w:adjustRightInd w:val="0"/>
              <w:snapToGrid w:val="0"/>
              <w:spacing w:line="400" w:lineRule="exact"/>
              <w:jc w:val="center"/>
              <w:textAlignment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刷卡占比</w:t>
            </w:r>
          </w:p>
        </w:tc>
        <w:tc>
          <w:tcPr>
            <w:tcW w:w="128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4B062077">
            <w:pPr>
              <w:tabs>
                <w:tab w:val="left" w:pos="4881"/>
              </w:tabs>
              <w:adjustRightInd w:val="0"/>
              <w:snapToGrid w:val="0"/>
              <w:spacing w:line="400" w:lineRule="exact"/>
              <w:jc w:val="center"/>
              <w:textAlignment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票款收入</w:t>
            </w:r>
          </w:p>
        </w:tc>
        <w:tc>
          <w:tcPr>
            <w:tcW w:w="1282"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125689A0">
            <w:pPr>
              <w:tabs>
                <w:tab w:val="left" w:pos="4881"/>
              </w:tabs>
              <w:adjustRightInd w:val="0"/>
              <w:snapToGrid w:val="0"/>
              <w:spacing w:line="400" w:lineRule="exact"/>
              <w:jc w:val="center"/>
              <w:textAlignment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刷卡收入</w:t>
            </w:r>
          </w:p>
        </w:tc>
        <w:tc>
          <w:tcPr>
            <w:tcW w:w="128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14:paraId="1C715DDA">
            <w:pPr>
              <w:tabs>
                <w:tab w:val="left" w:pos="4881"/>
              </w:tabs>
              <w:adjustRightInd w:val="0"/>
              <w:snapToGrid w:val="0"/>
              <w:spacing w:line="400" w:lineRule="exact"/>
              <w:jc w:val="center"/>
              <w:textAlignment w:val="center"/>
              <w:rPr>
                <w:rFonts w:ascii="Times New Roman" w:hAnsi="Times New Roman" w:eastAsia="仿宋_GB2312" w:cs="Times New Roman"/>
                <w:b/>
                <w:color w:val="000000"/>
                <w:kern w:val="0"/>
                <w:sz w:val="21"/>
                <w:szCs w:val="21"/>
              </w:rPr>
            </w:pPr>
            <w:r>
              <w:rPr>
                <w:rFonts w:ascii="Times New Roman" w:hAnsi="Times New Roman" w:eastAsia="仿宋_GB2312" w:cs="Times New Roman"/>
                <w:b/>
                <w:color w:val="000000"/>
                <w:kern w:val="0"/>
                <w:sz w:val="21"/>
                <w:szCs w:val="21"/>
              </w:rPr>
              <w:t>刷卡占比</w:t>
            </w:r>
          </w:p>
        </w:tc>
      </w:tr>
      <w:tr w14:paraId="63AC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14:paraId="06C5971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1月</w:t>
            </w:r>
          </w:p>
        </w:tc>
        <w:tc>
          <w:tcPr>
            <w:tcW w:w="1282" w:type="dxa"/>
            <w:tcBorders>
              <w:top w:val="single" w:color="auto" w:sz="4" w:space="0"/>
              <w:left w:val="single" w:color="auto" w:sz="4" w:space="0"/>
              <w:bottom w:val="single" w:color="auto" w:sz="4" w:space="0"/>
              <w:right w:val="single" w:color="auto" w:sz="4" w:space="0"/>
            </w:tcBorders>
            <w:vAlign w:val="center"/>
          </w:tcPr>
          <w:p w14:paraId="2BBE93E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120,995</w:t>
            </w:r>
          </w:p>
        </w:tc>
        <w:tc>
          <w:tcPr>
            <w:tcW w:w="1282" w:type="dxa"/>
            <w:tcBorders>
              <w:top w:val="single" w:color="auto" w:sz="4" w:space="0"/>
              <w:left w:val="single" w:color="auto" w:sz="4" w:space="0"/>
              <w:bottom w:val="single" w:color="auto" w:sz="4" w:space="0"/>
              <w:right w:val="single" w:color="auto" w:sz="4" w:space="0"/>
            </w:tcBorders>
            <w:vAlign w:val="center"/>
          </w:tcPr>
          <w:p w14:paraId="1317CEC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283" w:type="dxa"/>
            <w:tcBorders>
              <w:top w:val="single" w:color="auto" w:sz="4" w:space="0"/>
              <w:left w:val="single" w:color="auto" w:sz="4" w:space="0"/>
              <w:bottom w:val="single" w:color="auto" w:sz="4" w:space="0"/>
              <w:right w:val="single" w:color="auto" w:sz="4" w:space="0"/>
            </w:tcBorders>
            <w:vAlign w:val="center"/>
          </w:tcPr>
          <w:p w14:paraId="20D0838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0.00%</w:t>
            </w:r>
          </w:p>
        </w:tc>
        <w:tc>
          <w:tcPr>
            <w:tcW w:w="1282" w:type="dxa"/>
            <w:tcBorders>
              <w:top w:val="single" w:color="auto" w:sz="4" w:space="0"/>
              <w:left w:val="single" w:color="auto" w:sz="4" w:space="0"/>
              <w:bottom w:val="single" w:color="auto" w:sz="4" w:space="0"/>
              <w:right w:val="single" w:color="auto" w:sz="4" w:space="0"/>
            </w:tcBorders>
            <w:vAlign w:val="center"/>
          </w:tcPr>
          <w:p w14:paraId="5370E5D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454,631</w:t>
            </w:r>
          </w:p>
        </w:tc>
        <w:tc>
          <w:tcPr>
            <w:tcW w:w="1282" w:type="dxa"/>
            <w:tcBorders>
              <w:top w:val="single" w:color="auto" w:sz="4" w:space="0"/>
              <w:left w:val="single" w:color="auto" w:sz="4" w:space="0"/>
              <w:bottom w:val="single" w:color="auto" w:sz="4" w:space="0"/>
              <w:right w:val="single" w:color="auto" w:sz="4" w:space="0"/>
            </w:tcBorders>
            <w:vAlign w:val="center"/>
          </w:tcPr>
          <w:p w14:paraId="6F88A04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36,620</w:t>
            </w:r>
          </w:p>
        </w:tc>
        <w:tc>
          <w:tcPr>
            <w:tcW w:w="1280" w:type="dxa"/>
            <w:tcBorders>
              <w:top w:val="single" w:color="auto" w:sz="4" w:space="0"/>
              <w:left w:val="single" w:color="auto" w:sz="4" w:space="0"/>
              <w:bottom w:val="single" w:color="auto" w:sz="4" w:space="0"/>
              <w:right w:val="single" w:color="auto" w:sz="4" w:space="0"/>
            </w:tcBorders>
            <w:vAlign w:val="center"/>
          </w:tcPr>
          <w:p w14:paraId="3D928F7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8.05%</w:t>
            </w:r>
          </w:p>
        </w:tc>
      </w:tr>
      <w:tr w14:paraId="0C46C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14:paraId="6D8F6C8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2月</w:t>
            </w:r>
          </w:p>
        </w:tc>
        <w:tc>
          <w:tcPr>
            <w:tcW w:w="1282" w:type="dxa"/>
            <w:tcBorders>
              <w:top w:val="single" w:color="auto" w:sz="4" w:space="0"/>
              <w:left w:val="single" w:color="auto" w:sz="4" w:space="0"/>
              <w:bottom w:val="single" w:color="auto" w:sz="4" w:space="0"/>
              <w:right w:val="single" w:color="auto" w:sz="4" w:space="0"/>
            </w:tcBorders>
            <w:vAlign w:val="center"/>
          </w:tcPr>
          <w:p w14:paraId="339C305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104,512</w:t>
            </w:r>
          </w:p>
        </w:tc>
        <w:tc>
          <w:tcPr>
            <w:tcW w:w="1282" w:type="dxa"/>
            <w:tcBorders>
              <w:top w:val="single" w:color="auto" w:sz="4" w:space="0"/>
              <w:left w:val="single" w:color="auto" w:sz="4" w:space="0"/>
              <w:bottom w:val="single" w:color="auto" w:sz="4" w:space="0"/>
              <w:right w:val="single" w:color="auto" w:sz="4" w:space="0"/>
            </w:tcBorders>
            <w:vAlign w:val="center"/>
          </w:tcPr>
          <w:p w14:paraId="0E725BA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283" w:type="dxa"/>
            <w:tcBorders>
              <w:top w:val="single" w:color="auto" w:sz="4" w:space="0"/>
              <w:left w:val="single" w:color="auto" w:sz="4" w:space="0"/>
              <w:bottom w:val="single" w:color="auto" w:sz="4" w:space="0"/>
              <w:right w:val="single" w:color="auto" w:sz="4" w:space="0"/>
            </w:tcBorders>
            <w:vAlign w:val="center"/>
          </w:tcPr>
          <w:p w14:paraId="67E8FDC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0.00%</w:t>
            </w:r>
          </w:p>
        </w:tc>
        <w:tc>
          <w:tcPr>
            <w:tcW w:w="1282" w:type="dxa"/>
            <w:tcBorders>
              <w:top w:val="single" w:color="auto" w:sz="4" w:space="0"/>
              <w:left w:val="single" w:color="auto" w:sz="4" w:space="0"/>
              <w:bottom w:val="single" w:color="auto" w:sz="4" w:space="0"/>
              <w:right w:val="single" w:color="auto" w:sz="4" w:space="0"/>
            </w:tcBorders>
            <w:vAlign w:val="center"/>
          </w:tcPr>
          <w:p w14:paraId="789CD60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358,962</w:t>
            </w:r>
          </w:p>
        </w:tc>
        <w:tc>
          <w:tcPr>
            <w:tcW w:w="1282" w:type="dxa"/>
            <w:tcBorders>
              <w:top w:val="single" w:color="auto" w:sz="4" w:space="0"/>
              <w:left w:val="single" w:color="auto" w:sz="4" w:space="0"/>
              <w:bottom w:val="single" w:color="auto" w:sz="4" w:space="0"/>
              <w:right w:val="single" w:color="auto" w:sz="4" w:space="0"/>
            </w:tcBorders>
            <w:vAlign w:val="center"/>
          </w:tcPr>
          <w:p w14:paraId="32A394B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46,301</w:t>
            </w:r>
          </w:p>
        </w:tc>
        <w:tc>
          <w:tcPr>
            <w:tcW w:w="1280" w:type="dxa"/>
            <w:tcBorders>
              <w:top w:val="single" w:color="auto" w:sz="4" w:space="0"/>
              <w:left w:val="single" w:color="auto" w:sz="4" w:space="0"/>
              <w:bottom w:val="single" w:color="auto" w:sz="4" w:space="0"/>
              <w:right w:val="single" w:color="auto" w:sz="4" w:space="0"/>
            </w:tcBorders>
            <w:vAlign w:val="center"/>
          </w:tcPr>
          <w:p w14:paraId="1480A23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12.90%</w:t>
            </w:r>
          </w:p>
        </w:tc>
      </w:tr>
      <w:tr w14:paraId="3CA1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14:paraId="4166985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3月</w:t>
            </w:r>
          </w:p>
        </w:tc>
        <w:tc>
          <w:tcPr>
            <w:tcW w:w="1282" w:type="dxa"/>
            <w:tcBorders>
              <w:top w:val="single" w:color="auto" w:sz="4" w:space="0"/>
              <w:left w:val="single" w:color="auto" w:sz="4" w:space="0"/>
              <w:bottom w:val="single" w:color="auto" w:sz="4" w:space="0"/>
              <w:right w:val="single" w:color="auto" w:sz="4" w:space="0"/>
            </w:tcBorders>
            <w:vAlign w:val="center"/>
          </w:tcPr>
          <w:p w14:paraId="3D09B76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521,075</w:t>
            </w:r>
          </w:p>
        </w:tc>
        <w:tc>
          <w:tcPr>
            <w:tcW w:w="1282" w:type="dxa"/>
            <w:tcBorders>
              <w:top w:val="single" w:color="auto" w:sz="4" w:space="0"/>
              <w:left w:val="single" w:color="auto" w:sz="4" w:space="0"/>
              <w:bottom w:val="single" w:color="auto" w:sz="4" w:space="0"/>
              <w:right w:val="single" w:color="auto" w:sz="4" w:space="0"/>
            </w:tcBorders>
            <w:vAlign w:val="center"/>
          </w:tcPr>
          <w:p w14:paraId="2B23775A">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85,396</w:t>
            </w:r>
          </w:p>
        </w:tc>
        <w:tc>
          <w:tcPr>
            <w:tcW w:w="1283" w:type="dxa"/>
            <w:tcBorders>
              <w:top w:val="single" w:color="auto" w:sz="4" w:space="0"/>
              <w:left w:val="single" w:color="auto" w:sz="4" w:space="0"/>
              <w:bottom w:val="single" w:color="auto" w:sz="4" w:space="0"/>
              <w:right w:val="single" w:color="auto" w:sz="4" w:space="0"/>
            </w:tcBorders>
            <w:vAlign w:val="center"/>
          </w:tcPr>
          <w:p w14:paraId="74F9007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16.39%</w:t>
            </w:r>
          </w:p>
        </w:tc>
        <w:tc>
          <w:tcPr>
            <w:tcW w:w="1282" w:type="dxa"/>
            <w:tcBorders>
              <w:top w:val="single" w:color="auto" w:sz="4" w:space="0"/>
              <w:left w:val="single" w:color="auto" w:sz="4" w:space="0"/>
              <w:bottom w:val="single" w:color="auto" w:sz="4" w:space="0"/>
              <w:right w:val="single" w:color="auto" w:sz="4" w:space="0"/>
            </w:tcBorders>
            <w:vAlign w:val="center"/>
          </w:tcPr>
          <w:p w14:paraId="5F636C1A">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402,382</w:t>
            </w:r>
          </w:p>
        </w:tc>
        <w:tc>
          <w:tcPr>
            <w:tcW w:w="1282" w:type="dxa"/>
            <w:tcBorders>
              <w:top w:val="single" w:color="auto" w:sz="4" w:space="0"/>
              <w:left w:val="single" w:color="auto" w:sz="4" w:space="0"/>
              <w:bottom w:val="single" w:color="auto" w:sz="4" w:space="0"/>
              <w:right w:val="single" w:color="auto" w:sz="4" w:space="0"/>
            </w:tcBorders>
            <w:vAlign w:val="center"/>
          </w:tcPr>
          <w:p w14:paraId="57F9DD3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29,075</w:t>
            </w:r>
          </w:p>
        </w:tc>
        <w:tc>
          <w:tcPr>
            <w:tcW w:w="1280" w:type="dxa"/>
            <w:tcBorders>
              <w:top w:val="single" w:color="auto" w:sz="4" w:space="0"/>
              <w:left w:val="single" w:color="auto" w:sz="4" w:space="0"/>
              <w:bottom w:val="single" w:color="auto" w:sz="4" w:space="0"/>
              <w:right w:val="single" w:color="auto" w:sz="4" w:space="0"/>
            </w:tcBorders>
            <w:vAlign w:val="center"/>
          </w:tcPr>
          <w:p w14:paraId="5ED9B24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7.23%</w:t>
            </w:r>
          </w:p>
        </w:tc>
      </w:tr>
      <w:tr w14:paraId="0DAC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14:paraId="1E86D76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4月</w:t>
            </w:r>
          </w:p>
        </w:tc>
        <w:tc>
          <w:tcPr>
            <w:tcW w:w="1282" w:type="dxa"/>
            <w:tcBorders>
              <w:top w:val="single" w:color="auto" w:sz="4" w:space="0"/>
              <w:left w:val="single" w:color="auto" w:sz="4" w:space="0"/>
              <w:bottom w:val="single" w:color="auto" w:sz="4" w:space="0"/>
              <w:right w:val="single" w:color="auto" w:sz="4" w:space="0"/>
            </w:tcBorders>
            <w:vAlign w:val="center"/>
          </w:tcPr>
          <w:p w14:paraId="5C3BDC2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484,908</w:t>
            </w:r>
          </w:p>
        </w:tc>
        <w:tc>
          <w:tcPr>
            <w:tcW w:w="1282" w:type="dxa"/>
            <w:tcBorders>
              <w:top w:val="single" w:color="auto" w:sz="4" w:space="0"/>
              <w:left w:val="single" w:color="auto" w:sz="4" w:space="0"/>
              <w:bottom w:val="single" w:color="auto" w:sz="4" w:space="0"/>
              <w:right w:val="single" w:color="auto" w:sz="4" w:space="0"/>
            </w:tcBorders>
            <w:vAlign w:val="center"/>
          </w:tcPr>
          <w:p w14:paraId="64EF9AA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80,434</w:t>
            </w:r>
          </w:p>
        </w:tc>
        <w:tc>
          <w:tcPr>
            <w:tcW w:w="1283" w:type="dxa"/>
            <w:tcBorders>
              <w:top w:val="single" w:color="auto" w:sz="4" w:space="0"/>
              <w:left w:val="single" w:color="auto" w:sz="4" w:space="0"/>
              <w:bottom w:val="single" w:color="auto" w:sz="4" w:space="0"/>
              <w:right w:val="single" w:color="auto" w:sz="4" w:space="0"/>
            </w:tcBorders>
            <w:vAlign w:val="center"/>
          </w:tcPr>
          <w:p w14:paraId="7D13732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16.59%</w:t>
            </w:r>
          </w:p>
        </w:tc>
        <w:tc>
          <w:tcPr>
            <w:tcW w:w="1282" w:type="dxa"/>
            <w:tcBorders>
              <w:top w:val="single" w:color="auto" w:sz="4" w:space="0"/>
              <w:left w:val="single" w:color="auto" w:sz="4" w:space="0"/>
              <w:bottom w:val="single" w:color="auto" w:sz="4" w:space="0"/>
              <w:right w:val="single" w:color="auto" w:sz="4" w:space="0"/>
            </w:tcBorders>
            <w:vAlign w:val="center"/>
          </w:tcPr>
          <w:p w14:paraId="55BDA2D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405,341</w:t>
            </w:r>
          </w:p>
        </w:tc>
        <w:tc>
          <w:tcPr>
            <w:tcW w:w="1282" w:type="dxa"/>
            <w:tcBorders>
              <w:top w:val="single" w:color="auto" w:sz="4" w:space="0"/>
              <w:left w:val="single" w:color="auto" w:sz="4" w:space="0"/>
              <w:bottom w:val="single" w:color="auto" w:sz="4" w:space="0"/>
              <w:right w:val="single" w:color="auto" w:sz="4" w:space="0"/>
            </w:tcBorders>
            <w:vAlign w:val="center"/>
          </w:tcPr>
          <w:p w14:paraId="4B450A0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55,981</w:t>
            </w:r>
          </w:p>
        </w:tc>
        <w:tc>
          <w:tcPr>
            <w:tcW w:w="1280" w:type="dxa"/>
            <w:tcBorders>
              <w:top w:val="single" w:color="auto" w:sz="4" w:space="0"/>
              <w:left w:val="single" w:color="auto" w:sz="4" w:space="0"/>
              <w:bottom w:val="single" w:color="auto" w:sz="4" w:space="0"/>
              <w:right w:val="single" w:color="auto" w:sz="4" w:space="0"/>
            </w:tcBorders>
            <w:vAlign w:val="center"/>
          </w:tcPr>
          <w:p w14:paraId="615BAA4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13.81%</w:t>
            </w:r>
          </w:p>
        </w:tc>
      </w:tr>
      <w:tr w14:paraId="19CF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14:paraId="4D6DC8B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5月</w:t>
            </w:r>
          </w:p>
        </w:tc>
        <w:tc>
          <w:tcPr>
            <w:tcW w:w="1282" w:type="dxa"/>
            <w:tcBorders>
              <w:top w:val="single" w:color="auto" w:sz="4" w:space="0"/>
              <w:left w:val="single" w:color="auto" w:sz="4" w:space="0"/>
              <w:bottom w:val="single" w:color="auto" w:sz="4" w:space="0"/>
              <w:right w:val="single" w:color="auto" w:sz="4" w:space="0"/>
            </w:tcBorders>
            <w:vAlign w:val="center"/>
          </w:tcPr>
          <w:p w14:paraId="1D1A060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383,178</w:t>
            </w:r>
          </w:p>
        </w:tc>
        <w:tc>
          <w:tcPr>
            <w:tcW w:w="1282" w:type="dxa"/>
            <w:tcBorders>
              <w:top w:val="single" w:color="auto" w:sz="4" w:space="0"/>
              <w:left w:val="single" w:color="auto" w:sz="4" w:space="0"/>
              <w:bottom w:val="single" w:color="auto" w:sz="4" w:space="0"/>
              <w:right w:val="single" w:color="auto" w:sz="4" w:space="0"/>
            </w:tcBorders>
            <w:vAlign w:val="center"/>
          </w:tcPr>
          <w:p w14:paraId="6C69EF9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c>
          <w:tcPr>
            <w:tcW w:w="1283" w:type="dxa"/>
            <w:tcBorders>
              <w:top w:val="single" w:color="auto" w:sz="4" w:space="0"/>
              <w:left w:val="single" w:color="auto" w:sz="4" w:space="0"/>
              <w:bottom w:val="single" w:color="auto" w:sz="4" w:space="0"/>
              <w:right w:val="single" w:color="auto" w:sz="4" w:space="0"/>
            </w:tcBorders>
            <w:vAlign w:val="center"/>
          </w:tcPr>
          <w:p w14:paraId="3D60A34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0.00%</w:t>
            </w:r>
          </w:p>
        </w:tc>
        <w:tc>
          <w:tcPr>
            <w:tcW w:w="1282" w:type="dxa"/>
            <w:tcBorders>
              <w:top w:val="single" w:color="auto" w:sz="4" w:space="0"/>
              <w:left w:val="single" w:color="auto" w:sz="4" w:space="0"/>
              <w:bottom w:val="single" w:color="auto" w:sz="4" w:space="0"/>
              <w:right w:val="single" w:color="auto" w:sz="4" w:space="0"/>
            </w:tcBorders>
            <w:vAlign w:val="center"/>
          </w:tcPr>
          <w:p w14:paraId="444BDA6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390,022</w:t>
            </w:r>
          </w:p>
        </w:tc>
        <w:tc>
          <w:tcPr>
            <w:tcW w:w="1282" w:type="dxa"/>
            <w:tcBorders>
              <w:top w:val="single" w:color="auto" w:sz="4" w:space="0"/>
              <w:left w:val="single" w:color="auto" w:sz="4" w:space="0"/>
              <w:bottom w:val="single" w:color="auto" w:sz="4" w:space="0"/>
              <w:right w:val="single" w:color="auto" w:sz="4" w:space="0"/>
            </w:tcBorders>
            <w:vAlign w:val="center"/>
          </w:tcPr>
          <w:p w14:paraId="11766EA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30,489</w:t>
            </w:r>
          </w:p>
        </w:tc>
        <w:tc>
          <w:tcPr>
            <w:tcW w:w="1280" w:type="dxa"/>
            <w:tcBorders>
              <w:top w:val="single" w:color="auto" w:sz="4" w:space="0"/>
              <w:left w:val="single" w:color="auto" w:sz="4" w:space="0"/>
              <w:bottom w:val="single" w:color="auto" w:sz="4" w:space="0"/>
              <w:right w:val="single" w:color="auto" w:sz="4" w:space="0"/>
            </w:tcBorders>
            <w:vAlign w:val="center"/>
          </w:tcPr>
          <w:p w14:paraId="268D5FE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7.82%</w:t>
            </w:r>
          </w:p>
        </w:tc>
      </w:tr>
      <w:tr w14:paraId="234B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14:paraId="300A39D9">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6月</w:t>
            </w:r>
          </w:p>
        </w:tc>
        <w:tc>
          <w:tcPr>
            <w:tcW w:w="1282" w:type="dxa"/>
            <w:tcBorders>
              <w:top w:val="single" w:color="auto" w:sz="4" w:space="0"/>
              <w:left w:val="single" w:color="auto" w:sz="4" w:space="0"/>
              <w:bottom w:val="single" w:color="auto" w:sz="4" w:space="0"/>
              <w:right w:val="single" w:color="auto" w:sz="4" w:space="0"/>
            </w:tcBorders>
            <w:vAlign w:val="center"/>
          </w:tcPr>
          <w:p w14:paraId="5AA927E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444,933</w:t>
            </w:r>
          </w:p>
        </w:tc>
        <w:tc>
          <w:tcPr>
            <w:tcW w:w="1282" w:type="dxa"/>
            <w:tcBorders>
              <w:top w:val="single" w:color="auto" w:sz="4" w:space="0"/>
              <w:left w:val="single" w:color="auto" w:sz="4" w:space="0"/>
              <w:bottom w:val="single" w:color="auto" w:sz="4" w:space="0"/>
              <w:right w:val="single" w:color="auto" w:sz="4" w:space="0"/>
            </w:tcBorders>
            <w:vAlign w:val="center"/>
          </w:tcPr>
          <w:p w14:paraId="55384E3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37,151</w:t>
            </w:r>
          </w:p>
        </w:tc>
        <w:tc>
          <w:tcPr>
            <w:tcW w:w="1283" w:type="dxa"/>
            <w:tcBorders>
              <w:top w:val="single" w:color="auto" w:sz="4" w:space="0"/>
              <w:left w:val="single" w:color="auto" w:sz="4" w:space="0"/>
              <w:bottom w:val="single" w:color="auto" w:sz="4" w:space="0"/>
              <w:right w:val="single" w:color="auto" w:sz="4" w:space="0"/>
            </w:tcBorders>
            <w:vAlign w:val="center"/>
          </w:tcPr>
          <w:p w14:paraId="3D8AD6C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8.35%</w:t>
            </w:r>
          </w:p>
        </w:tc>
        <w:tc>
          <w:tcPr>
            <w:tcW w:w="1282" w:type="dxa"/>
            <w:tcBorders>
              <w:top w:val="single" w:color="auto" w:sz="4" w:space="0"/>
              <w:left w:val="single" w:color="auto" w:sz="4" w:space="0"/>
              <w:bottom w:val="single" w:color="auto" w:sz="4" w:space="0"/>
              <w:right w:val="single" w:color="auto" w:sz="4" w:space="0"/>
            </w:tcBorders>
            <w:vAlign w:val="center"/>
          </w:tcPr>
          <w:p w14:paraId="5886E34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421,238</w:t>
            </w:r>
          </w:p>
        </w:tc>
        <w:tc>
          <w:tcPr>
            <w:tcW w:w="1282" w:type="dxa"/>
            <w:tcBorders>
              <w:top w:val="single" w:color="auto" w:sz="4" w:space="0"/>
              <w:left w:val="single" w:color="auto" w:sz="4" w:space="0"/>
              <w:bottom w:val="single" w:color="auto" w:sz="4" w:space="0"/>
              <w:right w:val="single" w:color="auto" w:sz="4" w:space="0"/>
            </w:tcBorders>
            <w:vAlign w:val="center"/>
          </w:tcPr>
          <w:p w14:paraId="172B5C3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53,400</w:t>
            </w:r>
          </w:p>
        </w:tc>
        <w:tc>
          <w:tcPr>
            <w:tcW w:w="1280" w:type="dxa"/>
            <w:tcBorders>
              <w:top w:val="single" w:color="auto" w:sz="4" w:space="0"/>
              <w:left w:val="single" w:color="auto" w:sz="4" w:space="0"/>
              <w:bottom w:val="single" w:color="auto" w:sz="4" w:space="0"/>
              <w:right w:val="single" w:color="auto" w:sz="4" w:space="0"/>
            </w:tcBorders>
            <w:vAlign w:val="center"/>
          </w:tcPr>
          <w:p w14:paraId="275E5DD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12.68%</w:t>
            </w:r>
          </w:p>
        </w:tc>
      </w:tr>
      <w:tr w14:paraId="5F8B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14:paraId="27C6CA3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7月</w:t>
            </w:r>
          </w:p>
        </w:tc>
        <w:tc>
          <w:tcPr>
            <w:tcW w:w="1282" w:type="dxa"/>
            <w:tcBorders>
              <w:top w:val="single" w:color="auto" w:sz="4" w:space="0"/>
              <w:left w:val="single" w:color="auto" w:sz="4" w:space="0"/>
              <w:bottom w:val="single" w:color="auto" w:sz="4" w:space="0"/>
              <w:right w:val="single" w:color="auto" w:sz="4" w:space="0"/>
            </w:tcBorders>
            <w:vAlign w:val="center"/>
          </w:tcPr>
          <w:p w14:paraId="5973547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328,911</w:t>
            </w:r>
          </w:p>
        </w:tc>
        <w:tc>
          <w:tcPr>
            <w:tcW w:w="1282" w:type="dxa"/>
            <w:tcBorders>
              <w:top w:val="single" w:color="auto" w:sz="4" w:space="0"/>
              <w:left w:val="single" w:color="auto" w:sz="4" w:space="0"/>
              <w:bottom w:val="single" w:color="auto" w:sz="4" w:space="0"/>
              <w:right w:val="single" w:color="auto" w:sz="4" w:space="0"/>
            </w:tcBorders>
            <w:vAlign w:val="center"/>
          </w:tcPr>
          <w:p w14:paraId="3282A61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31,007</w:t>
            </w:r>
          </w:p>
        </w:tc>
        <w:tc>
          <w:tcPr>
            <w:tcW w:w="1283" w:type="dxa"/>
            <w:tcBorders>
              <w:top w:val="single" w:color="auto" w:sz="4" w:space="0"/>
              <w:left w:val="single" w:color="auto" w:sz="4" w:space="0"/>
              <w:bottom w:val="single" w:color="auto" w:sz="4" w:space="0"/>
              <w:right w:val="single" w:color="auto" w:sz="4" w:space="0"/>
            </w:tcBorders>
            <w:vAlign w:val="center"/>
          </w:tcPr>
          <w:p w14:paraId="12FEEF0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9.43%</w:t>
            </w:r>
          </w:p>
        </w:tc>
        <w:tc>
          <w:tcPr>
            <w:tcW w:w="1282" w:type="dxa"/>
            <w:tcBorders>
              <w:top w:val="single" w:color="auto" w:sz="4" w:space="0"/>
              <w:left w:val="single" w:color="auto" w:sz="4" w:space="0"/>
              <w:bottom w:val="single" w:color="auto" w:sz="4" w:space="0"/>
              <w:right w:val="single" w:color="auto" w:sz="4" w:space="0"/>
            </w:tcBorders>
            <w:vAlign w:val="center"/>
          </w:tcPr>
          <w:p w14:paraId="472474B9">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302,022</w:t>
            </w:r>
          </w:p>
        </w:tc>
        <w:tc>
          <w:tcPr>
            <w:tcW w:w="1282" w:type="dxa"/>
            <w:tcBorders>
              <w:top w:val="single" w:color="auto" w:sz="4" w:space="0"/>
              <w:left w:val="single" w:color="auto" w:sz="4" w:space="0"/>
              <w:bottom w:val="single" w:color="auto" w:sz="4" w:space="0"/>
              <w:right w:val="single" w:color="auto" w:sz="4" w:space="0"/>
            </w:tcBorders>
            <w:vAlign w:val="center"/>
          </w:tcPr>
          <w:p w14:paraId="6B343A8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14,575</w:t>
            </w:r>
          </w:p>
        </w:tc>
        <w:tc>
          <w:tcPr>
            <w:tcW w:w="1280" w:type="dxa"/>
            <w:tcBorders>
              <w:top w:val="single" w:color="auto" w:sz="4" w:space="0"/>
              <w:left w:val="single" w:color="auto" w:sz="4" w:space="0"/>
              <w:bottom w:val="single" w:color="auto" w:sz="4" w:space="0"/>
              <w:right w:val="single" w:color="auto" w:sz="4" w:space="0"/>
            </w:tcBorders>
            <w:vAlign w:val="center"/>
          </w:tcPr>
          <w:p w14:paraId="7C9D151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4.83%</w:t>
            </w:r>
          </w:p>
        </w:tc>
      </w:tr>
      <w:tr w14:paraId="13BE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14:paraId="2E258DB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8月</w:t>
            </w:r>
          </w:p>
        </w:tc>
        <w:tc>
          <w:tcPr>
            <w:tcW w:w="1282" w:type="dxa"/>
            <w:tcBorders>
              <w:top w:val="single" w:color="auto" w:sz="4" w:space="0"/>
              <w:left w:val="single" w:color="auto" w:sz="4" w:space="0"/>
              <w:bottom w:val="single" w:color="auto" w:sz="4" w:space="0"/>
              <w:right w:val="single" w:color="auto" w:sz="4" w:space="0"/>
            </w:tcBorders>
            <w:vAlign w:val="center"/>
          </w:tcPr>
          <w:p w14:paraId="6F29C6E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292,984</w:t>
            </w:r>
          </w:p>
        </w:tc>
        <w:tc>
          <w:tcPr>
            <w:tcW w:w="1282" w:type="dxa"/>
            <w:tcBorders>
              <w:top w:val="single" w:color="auto" w:sz="4" w:space="0"/>
              <w:left w:val="single" w:color="auto" w:sz="4" w:space="0"/>
              <w:bottom w:val="single" w:color="auto" w:sz="4" w:space="0"/>
              <w:right w:val="single" w:color="auto" w:sz="4" w:space="0"/>
            </w:tcBorders>
            <w:vAlign w:val="center"/>
          </w:tcPr>
          <w:p w14:paraId="456018F9">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18,827</w:t>
            </w:r>
          </w:p>
        </w:tc>
        <w:tc>
          <w:tcPr>
            <w:tcW w:w="1283" w:type="dxa"/>
            <w:tcBorders>
              <w:top w:val="single" w:color="auto" w:sz="4" w:space="0"/>
              <w:left w:val="single" w:color="auto" w:sz="4" w:space="0"/>
              <w:bottom w:val="single" w:color="auto" w:sz="4" w:space="0"/>
              <w:right w:val="single" w:color="auto" w:sz="4" w:space="0"/>
            </w:tcBorders>
            <w:vAlign w:val="center"/>
          </w:tcPr>
          <w:p w14:paraId="5B9D9AC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6.43%</w:t>
            </w:r>
          </w:p>
        </w:tc>
        <w:tc>
          <w:tcPr>
            <w:tcW w:w="1282" w:type="dxa"/>
            <w:tcBorders>
              <w:top w:val="single" w:color="auto" w:sz="4" w:space="0"/>
              <w:left w:val="single" w:color="auto" w:sz="4" w:space="0"/>
              <w:bottom w:val="single" w:color="auto" w:sz="4" w:space="0"/>
              <w:right w:val="single" w:color="auto" w:sz="4" w:space="0"/>
            </w:tcBorders>
            <w:vAlign w:val="center"/>
          </w:tcPr>
          <w:p w14:paraId="01CE158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323,262</w:t>
            </w:r>
          </w:p>
        </w:tc>
        <w:tc>
          <w:tcPr>
            <w:tcW w:w="1282" w:type="dxa"/>
            <w:tcBorders>
              <w:top w:val="single" w:color="auto" w:sz="4" w:space="0"/>
              <w:left w:val="single" w:color="auto" w:sz="4" w:space="0"/>
              <w:bottom w:val="single" w:color="auto" w:sz="4" w:space="0"/>
              <w:right w:val="single" w:color="auto" w:sz="4" w:space="0"/>
            </w:tcBorders>
            <w:vAlign w:val="center"/>
          </w:tcPr>
          <w:p w14:paraId="1305634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15,324</w:t>
            </w:r>
          </w:p>
        </w:tc>
        <w:tc>
          <w:tcPr>
            <w:tcW w:w="1280" w:type="dxa"/>
            <w:tcBorders>
              <w:top w:val="single" w:color="auto" w:sz="4" w:space="0"/>
              <w:left w:val="single" w:color="auto" w:sz="4" w:space="0"/>
              <w:bottom w:val="single" w:color="auto" w:sz="4" w:space="0"/>
              <w:right w:val="single" w:color="auto" w:sz="4" w:space="0"/>
            </w:tcBorders>
            <w:vAlign w:val="center"/>
          </w:tcPr>
          <w:p w14:paraId="4175667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4.74%</w:t>
            </w:r>
          </w:p>
        </w:tc>
      </w:tr>
      <w:tr w14:paraId="2B06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14:paraId="6344B45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9月</w:t>
            </w:r>
          </w:p>
        </w:tc>
        <w:tc>
          <w:tcPr>
            <w:tcW w:w="1282" w:type="dxa"/>
            <w:tcBorders>
              <w:top w:val="single" w:color="auto" w:sz="4" w:space="0"/>
              <w:left w:val="single" w:color="auto" w:sz="4" w:space="0"/>
              <w:bottom w:val="single" w:color="auto" w:sz="4" w:space="0"/>
              <w:right w:val="single" w:color="auto" w:sz="4" w:space="0"/>
            </w:tcBorders>
            <w:vAlign w:val="center"/>
          </w:tcPr>
          <w:p w14:paraId="53C08CE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279,496</w:t>
            </w:r>
          </w:p>
        </w:tc>
        <w:tc>
          <w:tcPr>
            <w:tcW w:w="1282" w:type="dxa"/>
            <w:tcBorders>
              <w:top w:val="single" w:color="auto" w:sz="4" w:space="0"/>
              <w:left w:val="single" w:color="auto" w:sz="4" w:space="0"/>
              <w:bottom w:val="single" w:color="auto" w:sz="4" w:space="0"/>
              <w:right w:val="single" w:color="auto" w:sz="4" w:space="0"/>
            </w:tcBorders>
            <w:vAlign w:val="center"/>
          </w:tcPr>
          <w:p w14:paraId="2F0C1E7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20,400</w:t>
            </w:r>
          </w:p>
        </w:tc>
        <w:tc>
          <w:tcPr>
            <w:tcW w:w="1283" w:type="dxa"/>
            <w:tcBorders>
              <w:top w:val="single" w:color="auto" w:sz="4" w:space="0"/>
              <w:left w:val="single" w:color="auto" w:sz="4" w:space="0"/>
              <w:bottom w:val="single" w:color="auto" w:sz="4" w:space="0"/>
              <w:right w:val="single" w:color="auto" w:sz="4" w:space="0"/>
            </w:tcBorders>
            <w:vAlign w:val="center"/>
          </w:tcPr>
          <w:p w14:paraId="1BCE45B9">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7.30%</w:t>
            </w:r>
          </w:p>
        </w:tc>
        <w:tc>
          <w:tcPr>
            <w:tcW w:w="1282" w:type="dxa"/>
            <w:tcBorders>
              <w:top w:val="single" w:color="auto" w:sz="4" w:space="0"/>
              <w:left w:val="single" w:color="auto" w:sz="4" w:space="0"/>
              <w:bottom w:val="single" w:color="auto" w:sz="4" w:space="0"/>
              <w:right w:val="single" w:color="auto" w:sz="4" w:space="0"/>
            </w:tcBorders>
            <w:vAlign w:val="center"/>
          </w:tcPr>
          <w:p w14:paraId="2B6D7C3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318,131</w:t>
            </w:r>
          </w:p>
        </w:tc>
        <w:tc>
          <w:tcPr>
            <w:tcW w:w="1282" w:type="dxa"/>
            <w:tcBorders>
              <w:top w:val="single" w:color="auto" w:sz="4" w:space="0"/>
              <w:left w:val="single" w:color="auto" w:sz="4" w:space="0"/>
              <w:bottom w:val="single" w:color="auto" w:sz="4" w:space="0"/>
              <w:right w:val="single" w:color="auto" w:sz="4" w:space="0"/>
            </w:tcBorders>
            <w:vAlign w:val="center"/>
          </w:tcPr>
          <w:p w14:paraId="57F606E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22,829</w:t>
            </w:r>
          </w:p>
        </w:tc>
        <w:tc>
          <w:tcPr>
            <w:tcW w:w="1280" w:type="dxa"/>
            <w:tcBorders>
              <w:top w:val="single" w:color="auto" w:sz="4" w:space="0"/>
              <w:left w:val="single" w:color="auto" w:sz="4" w:space="0"/>
              <w:bottom w:val="single" w:color="auto" w:sz="4" w:space="0"/>
              <w:right w:val="single" w:color="auto" w:sz="4" w:space="0"/>
            </w:tcBorders>
            <w:vAlign w:val="center"/>
          </w:tcPr>
          <w:p w14:paraId="60EC093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7.18%</w:t>
            </w:r>
          </w:p>
        </w:tc>
      </w:tr>
      <w:tr w14:paraId="10DE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14:paraId="2DBF087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10月</w:t>
            </w:r>
          </w:p>
        </w:tc>
        <w:tc>
          <w:tcPr>
            <w:tcW w:w="1282" w:type="dxa"/>
            <w:tcBorders>
              <w:top w:val="single" w:color="auto" w:sz="4" w:space="0"/>
              <w:left w:val="single" w:color="auto" w:sz="4" w:space="0"/>
              <w:bottom w:val="single" w:color="auto" w:sz="4" w:space="0"/>
              <w:right w:val="single" w:color="auto" w:sz="4" w:space="0"/>
            </w:tcBorders>
            <w:vAlign w:val="center"/>
          </w:tcPr>
          <w:p w14:paraId="26380DE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344,206</w:t>
            </w:r>
          </w:p>
        </w:tc>
        <w:tc>
          <w:tcPr>
            <w:tcW w:w="1282" w:type="dxa"/>
            <w:tcBorders>
              <w:top w:val="single" w:color="auto" w:sz="4" w:space="0"/>
              <w:left w:val="single" w:color="auto" w:sz="4" w:space="0"/>
              <w:bottom w:val="single" w:color="auto" w:sz="4" w:space="0"/>
              <w:right w:val="single" w:color="auto" w:sz="4" w:space="0"/>
            </w:tcBorders>
            <w:vAlign w:val="center"/>
          </w:tcPr>
          <w:p w14:paraId="55DFACE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17,534</w:t>
            </w:r>
          </w:p>
        </w:tc>
        <w:tc>
          <w:tcPr>
            <w:tcW w:w="1283" w:type="dxa"/>
            <w:tcBorders>
              <w:top w:val="single" w:color="auto" w:sz="4" w:space="0"/>
              <w:left w:val="single" w:color="auto" w:sz="4" w:space="0"/>
              <w:bottom w:val="single" w:color="auto" w:sz="4" w:space="0"/>
              <w:right w:val="single" w:color="auto" w:sz="4" w:space="0"/>
            </w:tcBorders>
            <w:vAlign w:val="center"/>
          </w:tcPr>
          <w:p w14:paraId="37C115C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5.09%</w:t>
            </w:r>
          </w:p>
        </w:tc>
        <w:tc>
          <w:tcPr>
            <w:tcW w:w="1282" w:type="dxa"/>
            <w:tcBorders>
              <w:top w:val="single" w:color="auto" w:sz="4" w:space="0"/>
              <w:left w:val="single" w:color="auto" w:sz="4" w:space="0"/>
              <w:bottom w:val="single" w:color="auto" w:sz="4" w:space="0"/>
              <w:right w:val="single" w:color="auto" w:sz="4" w:space="0"/>
            </w:tcBorders>
            <w:vAlign w:val="center"/>
          </w:tcPr>
          <w:p w14:paraId="578BBE7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361,002</w:t>
            </w:r>
          </w:p>
        </w:tc>
        <w:tc>
          <w:tcPr>
            <w:tcW w:w="1282" w:type="dxa"/>
            <w:tcBorders>
              <w:top w:val="single" w:color="auto" w:sz="4" w:space="0"/>
              <w:left w:val="single" w:color="auto" w:sz="4" w:space="0"/>
              <w:bottom w:val="single" w:color="auto" w:sz="4" w:space="0"/>
              <w:right w:val="single" w:color="auto" w:sz="4" w:space="0"/>
            </w:tcBorders>
            <w:vAlign w:val="center"/>
          </w:tcPr>
          <w:p w14:paraId="1352A07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22,320</w:t>
            </w:r>
          </w:p>
        </w:tc>
        <w:tc>
          <w:tcPr>
            <w:tcW w:w="1280" w:type="dxa"/>
            <w:tcBorders>
              <w:top w:val="single" w:color="auto" w:sz="4" w:space="0"/>
              <w:left w:val="single" w:color="auto" w:sz="4" w:space="0"/>
              <w:bottom w:val="single" w:color="auto" w:sz="4" w:space="0"/>
              <w:right w:val="single" w:color="auto" w:sz="4" w:space="0"/>
            </w:tcBorders>
            <w:vAlign w:val="center"/>
          </w:tcPr>
          <w:p w14:paraId="384189C2">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6.18%</w:t>
            </w:r>
          </w:p>
        </w:tc>
      </w:tr>
      <w:tr w14:paraId="287A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14:paraId="32034FC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11月</w:t>
            </w:r>
          </w:p>
        </w:tc>
        <w:tc>
          <w:tcPr>
            <w:tcW w:w="1282" w:type="dxa"/>
            <w:tcBorders>
              <w:top w:val="single" w:color="auto" w:sz="4" w:space="0"/>
              <w:left w:val="single" w:color="auto" w:sz="4" w:space="0"/>
              <w:bottom w:val="single" w:color="auto" w:sz="4" w:space="0"/>
              <w:right w:val="single" w:color="auto" w:sz="4" w:space="0"/>
            </w:tcBorders>
            <w:vAlign w:val="center"/>
          </w:tcPr>
          <w:p w14:paraId="2B28C9B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300,880</w:t>
            </w:r>
          </w:p>
        </w:tc>
        <w:tc>
          <w:tcPr>
            <w:tcW w:w="1282" w:type="dxa"/>
            <w:tcBorders>
              <w:top w:val="single" w:color="auto" w:sz="4" w:space="0"/>
              <w:left w:val="single" w:color="auto" w:sz="4" w:space="0"/>
              <w:bottom w:val="single" w:color="auto" w:sz="4" w:space="0"/>
              <w:right w:val="single" w:color="auto" w:sz="4" w:space="0"/>
            </w:tcBorders>
            <w:vAlign w:val="center"/>
          </w:tcPr>
          <w:p w14:paraId="5A13819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22,747</w:t>
            </w:r>
          </w:p>
        </w:tc>
        <w:tc>
          <w:tcPr>
            <w:tcW w:w="1283" w:type="dxa"/>
            <w:tcBorders>
              <w:top w:val="single" w:color="auto" w:sz="4" w:space="0"/>
              <w:left w:val="single" w:color="auto" w:sz="4" w:space="0"/>
              <w:bottom w:val="single" w:color="auto" w:sz="4" w:space="0"/>
              <w:right w:val="single" w:color="auto" w:sz="4" w:space="0"/>
            </w:tcBorders>
            <w:vAlign w:val="center"/>
          </w:tcPr>
          <w:p w14:paraId="385421F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7.56%</w:t>
            </w:r>
          </w:p>
        </w:tc>
        <w:tc>
          <w:tcPr>
            <w:tcW w:w="1282" w:type="dxa"/>
            <w:tcBorders>
              <w:top w:val="single" w:color="auto" w:sz="4" w:space="0"/>
              <w:left w:val="single" w:color="auto" w:sz="4" w:space="0"/>
              <w:bottom w:val="single" w:color="auto" w:sz="4" w:space="0"/>
              <w:right w:val="single" w:color="auto" w:sz="4" w:space="0"/>
            </w:tcBorders>
            <w:vAlign w:val="center"/>
          </w:tcPr>
          <w:p w14:paraId="50D4D6E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399,005</w:t>
            </w:r>
          </w:p>
        </w:tc>
        <w:tc>
          <w:tcPr>
            <w:tcW w:w="1282" w:type="dxa"/>
            <w:tcBorders>
              <w:top w:val="single" w:color="auto" w:sz="4" w:space="0"/>
              <w:left w:val="single" w:color="auto" w:sz="4" w:space="0"/>
              <w:bottom w:val="single" w:color="auto" w:sz="4" w:space="0"/>
              <w:right w:val="single" w:color="auto" w:sz="4" w:space="0"/>
            </w:tcBorders>
            <w:vAlign w:val="center"/>
          </w:tcPr>
          <w:p w14:paraId="7EB3061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27,053</w:t>
            </w:r>
          </w:p>
        </w:tc>
        <w:tc>
          <w:tcPr>
            <w:tcW w:w="1280" w:type="dxa"/>
            <w:tcBorders>
              <w:top w:val="single" w:color="auto" w:sz="4" w:space="0"/>
              <w:left w:val="single" w:color="auto" w:sz="4" w:space="0"/>
              <w:bottom w:val="single" w:color="auto" w:sz="4" w:space="0"/>
              <w:right w:val="single" w:color="auto" w:sz="4" w:space="0"/>
            </w:tcBorders>
            <w:vAlign w:val="center"/>
          </w:tcPr>
          <w:p w14:paraId="4945F60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6.78%</w:t>
            </w:r>
          </w:p>
        </w:tc>
      </w:tr>
      <w:tr w14:paraId="149D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14:paraId="0848948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12月</w:t>
            </w:r>
          </w:p>
        </w:tc>
        <w:tc>
          <w:tcPr>
            <w:tcW w:w="1282" w:type="dxa"/>
            <w:tcBorders>
              <w:top w:val="single" w:color="auto" w:sz="4" w:space="0"/>
              <w:left w:val="single" w:color="auto" w:sz="4" w:space="0"/>
              <w:bottom w:val="single" w:color="auto" w:sz="4" w:space="0"/>
              <w:right w:val="single" w:color="auto" w:sz="4" w:space="0"/>
            </w:tcBorders>
            <w:vAlign w:val="center"/>
          </w:tcPr>
          <w:p w14:paraId="094DB25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438,319</w:t>
            </w:r>
          </w:p>
        </w:tc>
        <w:tc>
          <w:tcPr>
            <w:tcW w:w="1282" w:type="dxa"/>
            <w:tcBorders>
              <w:top w:val="single" w:color="auto" w:sz="4" w:space="0"/>
              <w:left w:val="single" w:color="auto" w:sz="4" w:space="0"/>
              <w:bottom w:val="single" w:color="auto" w:sz="4" w:space="0"/>
              <w:right w:val="single" w:color="auto" w:sz="4" w:space="0"/>
            </w:tcBorders>
            <w:vAlign w:val="center"/>
          </w:tcPr>
          <w:p w14:paraId="5EB3D69A">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15,928</w:t>
            </w:r>
          </w:p>
        </w:tc>
        <w:tc>
          <w:tcPr>
            <w:tcW w:w="1283" w:type="dxa"/>
            <w:tcBorders>
              <w:top w:val="single" w:color="auto" w:sz="4" w:space="0"/>
              <w:left w:val="single" w:color="auto" w:sz="4" w:space="0"/>
              <w:bottom w:val="single" w:color="auto" w:sz="4" w:space="0"/>
              <w:right w:val="single" w:color="auto" w:sz="4" w:space="0"/>
            </w:tcBorders>
            <w:vAlign w:val="center"/>
          </w:tcPr>
          <w:p w14:paraId="69A19E3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3.63%</w:t>
            </w:r>
          </w:p>
        </w:tc>
        <w:tc>
          <w:tcPr>
            <w:tcW w:w="1282" w:type="dxa"/>
            <w:tcBorders>
              <w:top w:val="single" w:color="auto" w:sz="4" w:space="0"/>
              <w:left w:val="single" w:color="auto" w:sz="4" w:space="0"/>
              <w:bottom w:val="single" w:color="auto" w:sz="4" w:space="0"/>
              <w:right w:val="single" w:color="auto" w:sz="4" w:space="0"/>
            </w:tcBorders>
            <w:vAlign w:val="center"/>
          </w:tcPr>
          <w:p w14:paraId="4D63136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466,407</w:t>
            </w:r>
          </w:p>
        </w:tc>
        <w:tc>
          <w:tcPr>
            <w:tcW w:w="1282" w:type="dxa"/>
            <w:tcBorders>
              <w:top w:val="single" w:color="auto" w:sz="4" w:space="0"/>
              <w:left w:val="single" w:color="auto" w:sz="4" w:space="0"/>
              <w:bottom w:val="single" w:color="auto" w:sz="4" w:space="0"/>
              <w:right w:val="single" w:color="auto" w:sz="4" w:space="0"/>
            </w:tcBorders>
            <w:vAlign w:val="center"/>
          </w:tcPr>
          <w:p w14:paraId="025D5C0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30,171</w:t>
            </w:r>
          </w:p>
        </w:tc>
        <w:tc>
          <w:tcPr>
            <w:tcW w:w="1280" w:type="dxa"/>
            <w:tcBorders>
              <w:top w:val="single" w:color="auto" w:sz="4" w:space="0"/>
              <w:left w:val="single" w:color="auto" w:sz="4" w:space="0"/>
              <w:bottom w:val="single" w:color="auto" w:sz="4" w:space="0"/>
              <w:right w:val="single" w:color="auto" w:sz="4" w:space="0"/>
            </w:tcBorders>
            <w:vAlign w:val="center"/>
          </w:tcPr>
          <w:p w14:paraId="716F4F79">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6.47%</w:t>
            </w:r>
          </w:p>
        </w:tc>
      </w:tr>
      <w:tr w14:paraId="16D4A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 w:type="dxa"/>
            <w:tcBorders>
              <w:top w:val="single" w:color="auto" w:sz="4" w:space="0"/>
              <w:left w:val="single" w:color="auto" w:sz="4" w:space="0"/>
              <w:bottom w:val="single" w:color="auto" w:sz="4" w:space="0"/>
              <w:right w:val="single" w:color="auto" w:sz="4" w:space="0"/>
            </w:tcBorders>
            <w:vAlign w:val="center"/>
          </w:tcPr>
          <w:p w14:paraId="4AD87D3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合计</w:t>
            </w:r>
          </w:p>
        </w:tc>
        <w:tc>
          <w:tcPr>
            <w:tcW w:w="1282" w:type="dxa"/>
            <w:tcBorders>
              <w:top w:val="single" w:color="auto" w:sz="4" w:space="0"/>
              <w:left w:val="single" w:color="auto" w:sz="4" w:space="0"/>
              <w:bottom w:val="single" w:color="auto" w:sz="4" w:space="0"/>
              <w:right w:val="single" w:color="auto" w:sz="4" w:space="0"/>
            </w:tcBorders>
            <w:vAlign w:val="center"/>
          </w:tcPr>
          <w:p w14:paraId="0C3262F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4,044,397</w:t>
            </w:r>
          </w:p>
        </w:tc>
        <w:tc>
          <w:tcPr>
            <w:tcW w:w="1282" w:type="dxa"/>
            <w:tcBorders>
              <w:top w:val="single" w:color="auto" w:sz="4" w:space="0"/>
              <w:left w:val="single" w:color="auto" w:sz="4" w:space="0"/>
              <w:bottom w:val="single" w:color="auto" w:sz="4" w:space="0"/>
              <w:right w:val="single" w:color="auto" w:sz="4" w:space="0"/>
            </w:tcBorders>
            <w:vAlign w:val="center"/>
          </w:tcPr>
          <w:p w14:paraId="7291A38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329,424</w:t>
            </w:r>
          </w:p>
        </w:tc>
        <w:tc>
          <w:tcPr>
            <w:tcW w:w="1283" w:type="dxa"/>
            <w:tcBorders>
              <w:top w:val="single" w:color="auto" w:sz="4" w:space="0"/>
              <w:left w:val="single" w:color="auto" w:sz="4" w:space="0"/>
              <w:bottom w:val="single" w:color="auto" w:sz="4" w:space="0"/>
              <w:right w:val="single" w:color="auto" w:sz="4" w:space="0"/>
            </w:tcBorders>
            <w:vAlign w:val="center"/>
          </w:tcPr>
          <w:p w14:paraId="7C72A19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8.15%</w:t>
            </w:r>
          </w:p>
        </w:tc>
        <w:tc>
          <w:tcPr>
            <w:tcW w:w="1282" w:type="dxa"/>
            <w:tcBorders>
              <w:top w:val="single" w:color="auto" w:sz="4" w:space="0"/>
              <w:left w:val="single" w:color="auto" w:sz="4" w:space="0"/>
              <w:bottom w:val="single" w:color="auto" w:sz="4" w:space="0"/>
              <w:right w:val="single" w:color="auto" w:sz="4" w:space="0"/>
            </w:tcBorders>
            <w:vAlign w:val="center"/>
          </w:tcPr>
          <w:p w14:paraId="2329B8E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4,602,405</w:t>
            </w:r>
          </w:p>
        </w:tc>
        <w:tc>
          <w:tcPr>
            <w:tcW w:w="1282" w:type="dxa"/>
            <w:tcBorders>
              <w:top w:val="single" w:color="auto" w:sz="4" w:space="0"/>
              <w:left w:val="single" w:color="auto" w:sz="4" w:space="0"/>
              <w:bottom w:val="single" w:color="auto" w:sz="4" w:space="0"/>
              <w:right w:val="single" w:color="auto" w:sz="4" w:space="0"/>
            </w:tcBorders>
            <w:vAlign w:val="center"/>
          </w:tcPr>
          <w:p w14:paraId="466298E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384,138</w:t>
            </w:r>
          </w:p>
        </w:tc>
        <w:tc>
          <w:tcPr>
            <w:tcW w:w="1280" w:type="dxa"/>
            <w:tcBorders>
              <w:top w:val="single" w:color="auto" w:sz="4" w:space="0"/>
              <w:left w:val="single" w:color="auto" w:sz="4" w:space="0"/>
              <w:bottom w:val="single" w:color="auto" w:sz="4" w:space="0"/>
              <w:right w:val="single" w:color="auto" w:sz="4" w:space="0"/>
            </w:tcBorders>
            <w:vAlign w:val="center"/>
          </w:tcPr>
          <w:p w14:paraId="0848180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8.35%</w:t>
            </w:r>
          </w:p>
        </w:tc>
      </w:tr>
    </w:tbl>
    <w:p w14:paraId="615E786C">
      <w:pPr>
        <w:spacing w:line="500" w:lineRule="exact"/>
        <w:ind w:firstLine="422" w:firstLineChars="200"/>
        <w:rPr>
          <w:rFonts w:ascii="Times New Roman" w:hAnsi="Times New Roman" w:eastAsia="仿宋_GB2312" w:cs="Times New Roman"/>
          <w:b/>
          <w:szCs w:val="28"/>
        </w:rPr>
      </w:pPr>
      <w:r>
        <w:rPr>
          <w:rFonts w:ascii="Times New Roman" w:hAnsi="Times New Roman" w:eastAsia="仿宋_GB2312" w:cs="Times New Roman"/>
          <w:b/>
          <w:szCs w:val="28"/>
        </w:rPr>
        <w:t>注：刷卡收入包括电子支付收入</w:t>
      </w:r>
    </w:p>
    <w:p w14:paraId="005B375C">
      <w:pPr>
        <w:pStyle w:val="20"/>
        <w:ind w:firstLine="562"/>
      </w:pPr>
      <w:bookmarkStart w:id="30" w:name="_Toc25166476"/>
      <w:r>
        <w:rPr>
          <w:rFonts w:hint="eastAsia"/>
        </w:rPr>
        <w:t>（三）效益性分析</w:t>
      </w:r>
      <w:bookmarkEnd w:id="30"/>
    </w:p>
    <w:p w14:paraId="738279F5">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效益性主要分析滑县公交财政补贴资金投入转化为滑县公交运营服务资源投入后，滑县公交事业运营取得成绩效果</w:t>
      </w:r>
      <w:r>
        <w:rPr>
          <w:rFonts w:ascii="Times New Roman" w:hAnsi="Times New Roman" w:eastAsia="仿宋_GB2312" w:cs="Times New Roman"/>
          <w:sz w:val="28"/>
          <w:szCs w:val="28"/>
        </w:rPr>
        <w:t>。</w:t>
      </w:r>
    </w:p>
    <w:p w14:paraId="43B8F62C">
      <w:pPr>
        <w:spacing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1</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公交运营计划有效达成、运营班次准点率较高</w:t>
      </w:r>
    </w:p>
    <w:p w14:paraId="4099E22A">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根据实地调研获取资料数据：</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w:instrText>
      </w:r>
      <w:r>
        <w:rPr>
          <w:rFonts w:hint="eastAsia" w:ascii="Times New Roman" w:hAnsi="Times New Roman" w:eastAsia="仿宋_GB2312" w:cs="Times New Roman"/>
          <w:sz w:val="28"/>
          <w:szCs w:val="28"/>
        </w:rPr>
        <w:instrText xml:space="preserve">= 1 \* GB3</w:instrText>
      </w:r>
      <w:r>
        <w:rPr>
          <w:rFonts w:ascii="Times New Roman" w:hAnsi="Times New Roman" w:eastAsia="仿宋_GB2312" w:cs="Times New Roman"/>
          <w:sz w:val="28"/>
          <w:szCs w:val="28"/>
        </w:rPr>
        <w:instrText xml:space="preserve"> </w:instrText>
      </w:r>
      <w:r>
        <w:rPr>
          <w:rFonts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①</w:t>
      </w:r>
      <w:r>
        <w:rPr>
          <w:rFonts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016</w:t>
      </w:r>
      <w:r>
        <w:rPr>
          <w:rFonts w:hint="eastAsia" w:ascii="Times New Roman" w:hAnsi="Times New Roman" w:eastAsia="仿宋_GB2312" w:cs="Times New Roman"/>
          <w:sz w:val="28"/>
          <w:szCs w:val="28"/>
        </w:rPr>
        <w:t>年至2</w:t>
      </w:r>
      <w:r>
        <w:rPr>
          <w:rFonts w:ascii="Times New Roman" w:hAnsi="Times New Roman" w:eastAsia="仿宋_GB2312" w:cs="Times New Roman"/>
          <w:sz w:val="28"/>
          <w:szCs w:val="28"/>
        </w:rPr>
        <w:t>018</w:t>
      </w:r>
      <w:r>
        <w:rPr>
          <w:rFonts w:hint="eastAsia" w:ascii="Times New Roman" w:hAnsi="Times New Roman" w:eastAsia="仿宋_GB2312" w:cs="Times New Roman"/>
          <w:sz w:val="28"/>
          <w:szCs w:val="28"/>
        </w:rPr>
        <w:t>年，滑县公交全年计划运营班次分别为6</w:t>
      </w:r>
      <w:r>
        <w:rPr>
          <w:rFonts w:ascii="Times New Roman" w:hAnsi="Times New Roman" w:eastAsia="仿宋_GB2312" w:cs="Times New Roman"/>
          <w:sz w:val="28"/>
          <w:szCs w:val="28"/>
        </w:rPr>
        <w:t>6240</w:t>
      </w:r>
      <w:r>
        <w:rPr>
          <w:rFonts w:hint="eastAsia" w:ascii="Times New Roman" w:hAnsi="Times New Roman" w:eastAsia="仿宋_GB2312" w:cs="Times New Roman"/>
          <w:sz w:val="28"/>
          <w:szCs w:val="28"/>
        </w:rPr>
        <w:t>次、6</w:t>
      </w:r>
      <w:r>
        <w:rPr>
          <w:rFonts w:ascii="Times New Roman" w:hAnsi="Times New Roman" w:eastAsia="仿宋_GB2312" w:cs="Times New Roman"/>
          <w:sz w:val="28"/>
          <w:szCs w:val="28"/>
        </w:rPr>
        <w:t>6600</w:t>
      </w:r>
      <w:r>
        <w:rPr>
          <w:rFonts w:hint="eastAsia" w:ascii="Times New Roman" w:hAnsi="Times New Roman" w:eastAsia="仿宋_GB2312" w:cs="Times New Roman"/>
          <w:sz w:val="28"/>
          <w:szCs w:val="28"/>
        </w:rPr>
        <w:t>次和7</w:t>
      </w:r>
      <w:r>
        <w:rPr>
          <w:rFonts w:ascii="Times New Roman" w:hAnsi="Times New Roman" w:eastAsia="仿宋_GB2312" w:cs="Times New Roman"/>
          <w:sz w:val="28"/>
          <w:szCs w:val="28"/>
        </w:rPr>
        <w:t>0200</w:t>
      </w:r>
      <w:r>
        <w:rPr>
          <w:rFonts w:hint="eastAsia" w:ascii="Times New Roman" w:hAnsi="Times New Roman" w:eastAsia="仿宋_GB2312" w:cs="Times New Roman"/>
          <w:sz w:val="28"/>
          <w:szCs w:val="28"/>
        </w:rPr>
        <w:t>次，实际运营班次为</w:t>
      </w:r>
      <w:r>
        <w:rPr>
          <w:rFonts w:ascii="Times New Roman" w:hAnsi="Times New Roman" w:eastAsia="仿宋_GB2312" w:cs="Times New Roman"/>
          <w:sz w:val="28"/>
          <w:szCs w:val="28"/>
        </w:rPr>
        <w:t>66240次、66600次和70200次</w:t>
      </w:r>
      <w:r>
        <w:rPr>
          <w:rFonts w:hint="eastAsia" w:ascii="Times New Roman" w:hAnsi="Times New Roman" w:eastAsia="仿宋_GB2312" w:cs="Times New Roman"/>
          <w:sz w:val="28"/>
          <w:szCs w:val="28"/>
        </w:rPr>
        <w:t>，运营班次达成率均为1</w:t>
      </w:r>
      <w:r>
        <w:rPr>
          <w:rFonts w:ascii="Times New Roman" w:hAnsi="Times New Roman" w:eastAsia="仿宋_GB2312" w:cs="Times New Roman"/>
          <w:sz w:val="28"/>
          <w:szCs w:val="28"/>
        </w:rPr>
        <w:t>00</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 </w:instrText>
      </w:r>
      <w:r>
        <w:rPr>
          <w:rFonts w:hint="eastAsia" w:ascii="Times New Roman" w:hAnsi="Times New Roman" w:eastAsia="仿宋_GB2312" w:cs="Times New Roman"/>
          <w:sz w:val="28"/>
          <w:szCs w:val="28"/>
        </w:rPr>
        <w:instrText xml:space="preserve">= 2 \* GB3</w:instrText>
      </w:r>
      <w:r>
        <w:rPr>
          <w:rFonts w:ascii="Times New Roman" w:hAnsi="Times New Roman" w:eastAsia="仿宋_GB2312" w:cs="Times New Roman"/>
          <w:sz w:val="28"/>
          <w:szCs w:val="28"/>
        </w:rPr>
        <w:instrText xml:space="preserve"> </w:instrText>
      </w:r>
      <w:r>
        <w:rPr>
          <w:rFonts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②</w:t>
      </w:r>
      <w:r>
        <w:rPr>
          <w:rFonts w:ascii="Times New Roman" w:hAnsi="Times New Roman" w:eastAsia="仿宋_GB2312" w:cs="Times New Roman"/>
          <w:sz w:val="28"/>
          <w:szCs w:val="28"/>
        </w:rPr>
        <w:fldChar w:fldCharType="end"/>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016</w:t>
      </w:r>
      <w:r>
        <w:rPr>
          <w:rFonts w:hint="eastAsia" w:ascii="Times New Roman" w:hAnsi="Times New Roman" w:eastAsia="仿宋_GB2312" w:cs="Times New Roman"/>
          <w:sz w:val="28"/>
          <w:szCs w:val="28"/>
        </w:rPr>
        <w:t>年至2</w:t>
      </w:r>
      <w:r>
        <w:rPr>
          <w:rFonts w:ascii="Times New Roman" w:hAnsi="Times New Roman" w:eastAsia="仿宋_GB2312" w:cs="Times New Roman"/>
          <w:sz w:val="28"/>
          <w:szCs w:val="28"/>
        </w:rPr>
        <w:t>018</w:t>
      </w:r>
      <w:r>
        <w:rPr>
          <w:rFonts w:hint="eastAsia" w:ascii="Times New Roman" w:hAnsi="Times New Roman" w:eastAsia="仿宋_GB2312" w:cs="Times New Roman"/>
          <w:sz w:val="28"/>
          <w:szCs w:val="28"/>
        </w:rPr>
        <w:t>年，滑县公交全年公交运营班次准点率分别为</w:t>
      </w:r>
      <w:r>
        <w:rPr>
          <w:rFonts w:ascii="Times New Roman" w:hAnsi="Times New Roman" w:eastAsia="仿宋_GB2312" w:cs="Times New Roman"/>
          <w:sz w:val="28"/>
          <w:szCs w:val="28"/>
        </w:rPr>
        <w:t>88.37</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0.74</w:t>
      </w:r>
      <w:r>
        <w:rPr>
          <w:rFonts w:hint="eastAsia" w:ascii="Times New Roman" w:hAnsi="Times New Roman" w:eastAsia="仿宋_GB2312" w:cs="Times New Roman"/>
          <w:sz w:val="28"/>
          <w:szCs w:val="28"/>
        </w:rPr>
        <w:t>%和9</w:t>
      </w:r>
      <w:r>
        <w:rPr>
          <w:rFonts w:ascii="Times New Roman" w:hAnsi="Times New Roman" w:eastAsia="仿宋_GB2312" w:cs="Times New Roman"/>
          <w:sz w:val="28"/>
          <w:szCs w:val="28"/>
        </w:rPr>
        <w:t>4.04%，滑县公交运营班次准点率连续三年达到目标值，且运营班次准点率逐年提升，运营班次准点率较高。</w:t>
      </w:r>
    </w:p>
    <w:p w14:paraId="574E3FD0">
      <w:pPr>
        <w:spacing w:line="50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2. </w:t>
      </w:r>
      <w:r>
        <w:rPr>
          <w:rFonts w:hint="eastAsia" w:ascii="Times New Roman" w:hAnsi="Times New Roman" w:eastAsia="仿宋_GB2312" w:cs="Times New Roman"/>
          <w:b/>
          <w:bCs/>
          <w:sz w:val="28"/>
          <w:szCs w:val="28"/>
        </w:rPr>
        <w:t>市民出行公交分担率有所提升、公交运营质量尚可</w:t>
      </w:r>
    </w:p>
    <w:p w14:paraId="505658BB">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随着2</w:t>
      </w:r>
      <w:r>
        <w:rPr>
          <w:rFonts w:ascii="Times New Roman" w:hAnsi="Times New Roman" w:eastAsia="仿宋_GB2312" w:cs="Times New Roman"/>
          <w:sz w:val="28"/>
          <w:szCs w:val="28"/>
        </w:rPr>
        <w:t>016</w:t>
      </w:r>
      <w:r>
        <w:rPr>
          <w:rFonts w:hint="eastAsia" w:ascii="Times New Roman" w:hAnsi="Times New Roman" w:eastAsia="仿宋_GB2312" w:cs="Times New Roman"/>
          <w:sz w:val="28"/>
          <w:szCs w:val="28"/>
        </w:rPr>
        <w:t>年至2</w:t>
      </w:r>
      <w:r>
        <w:rPr>
          <w:rFonts w:ascii="Times New Roman" w:hAnsi="Times New Roman" w:eastAsia="仿宋_GB2312" w:cs="Times New Roman"/>
          <w:sz w:val="28"/>
          <w:szCs w:val="28"/>
        </w:rPr>
        <w:t>018</w:t>
      </w:r>
      <w:r>
        <w:rPr>
          <w:rFonts w:hint="eastAsia" w:ascii="Times New Roman" w:hAnsi="Times New Roman" w:eastAsia="仿宋_GB2312" w:cs="Times New Roman"/>
          <w:sz w:val="28"/>
          <w:szCs w:val="28"/>
        </w:rPr>
        <w:t>年滑县公交运营车辆、运营线路、运营里程以及公交站点等投入要素的不断提升，滑县公交在市民出行中的分担率有所提升。在不考虑免费乘车因素影响下，按照票面收入计算，2</w:t>
      </w:r>
      <w:r>
        <w:rPr>
          <w:rFonts w:ascii="Times New Roman" w:hAnsi="Times New Roman" w:eastAsia="仿宋_GB2312" w:cs="Times New Roman"/>
          <w:sz w:val="28"/>
          <w:szCs w:val="28"/>
        </w:rPr>
        <w:t>016</w:t>
      </w:r>
      <w:r>
        <w:rPr>
          <w:rFonts w:hint="eastAsia" w:ascii="Times New Roman" w:hAnsi="Times New Roman" w:eastAsia="仿宋_GB2312" w:cs="Times New Roman"/>
          <w:sz w:val="28"/>
          <w:szCs w:val="28"/>
        </w:rPr>
        <w:t>至2</w:t>
      </w:r>
      <w:r>
        <w:rPr>
          <w:rFonts w:ascii="Times New Roman" w:hAnsi="Times New Roman" w:eastAsia="仿宋_GB2312" w:cs="Times New Roman"/>
          <w:sz w:val="28"/>
          <w:szCs w:val="28"/>
        </w:rPr>
        <w:t>018</w:t>
      </w:r>
      <w:r>
        <w:rPr>
          <w:rFonts w:hint="eastAsia" w:ascii="Times New Roman" w:hAnsi="Times New Roman" w:eastAsia="仿宋_GB2312" w:cs="Times New Roman"/>
          <w:sz w:val="28"/>
          <w:szCs w:val="28"/>
        </w:rPr>
        <w:t>年滑县公交客运量稳步提升，平均单车次客运量从2</w:t>
      </w:r>
      <w:r>
        <w:rPr>
          <w:rFonts w:ascii="Times New Roman" w:hAnsi="Times New Roman" w:eastAsia="仿宋_GB2312" w:cs="Times New Roman"/>
          <w:sz w:val="28"/>
          <w:szCs w:val="28"/>
        </w:rPr>
        <w:t>016</w:t>
      </w:r>
      <w:r>
        <w:rPr>
          <w:rFonts w:hint="eastAsia" w:ascii="Times New Roman" w:hAnsi="Times New Roman" w:eastAsia="仿宋_GB2312" w:cs="Times New Roman"/>
          <w:sz w:val="28"/>
          <w:szCs w:val="28"/>
        </w:rPr>
        <w:t>年7</w:t>
      </w:r>
      <w:r>
        <w:rPr>
          <w:rFonts w:ascii="Times New Roman" w:hAnsi="Times New Roman" w:eastAsia="仿宋_GB2312" w:cs="Times New Roman"/>
          <w:sz w:val="28"/>
          <w:szCs w:val="28"/>
        </w:rPr>
        <w:t>2.12</w:t>
      </w:r>
      <w:r>
        <w:rPr>
          <w:rFonts w:hint="eastAsia" w:ascii="Times New Roman" w:hAnsi="Times New Roman" w:eastAsia="仿宋_GB2312" w:cs="Times New Roman"/>
          <w:sz w:val="28"/>
          <w:szCs w:val="28"/>
        </w:rPr>
        <w:t>人次提升至2</w:t>
      </w:r>
      <w:r>
        <w:rPr>
          <w:rFonts w:ascii="Times New Roman" w:hAnsi="Times New Roman" w:eastAsia="仿宋_GB2312" w:cs="Times New Roman"/>
          <w:sz w:val="28"/>
          <w:szCs w:val="28"/>
        </w:rPr>
        <w:t>018</w:t>
      </w:r>
      <w:r>
        <w:rPr>
          <w:rFonts w:hint="eastAsia" w:ascii="Times New Roman" w:hAnsi="Times New Roman" w:eastAsia="仿宋_GB2312" w:cs="Times New Roman"/>
          <w:sz w:val="28"/>
          <w:szCs w:val="28"/>
        </w:rPr>
        <w:t>年的8</w:t>
      </w:r>
      <w:r>
        <w:rPr>
          <w:rFonts w:ascii="Times New Roman" w:hAnsi="Times New Roman" w:eastAsia="仿宋_GB2312" w:cs="Times New Roman"/>
          <w:sz w:val="28"/>
          <w:szCs w:val="28"/>
        </w:rPr>
        <w:t>0.41</w:t>
      </w:r>
      <w:r>
        <w:rPr>
          <w:rFonts w:hint="eastAsia" w:ascii="Times New Roman" w:hAnsi="Times New Roman" w:eastAsia="仿宋_GB2312" w:cs="Times New Roman"/>
          <w:sz w:val="28"/>
          <w:szCs w:val="28"/>
        </w:rPr>
        <w:t>人次。</w:t>
      </w:r>
    </w:p>
    <w:p w14:paraId="59B09880">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同时从滑县公交运营质量指标情况来看（表4-</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百万车公里交通事故发生次数、百万车公里事故死亡人次、千车日总数违章违纪发生次数和百万人次乘客有责投诉率均大致呈下降趋势，说明公交运营服务质量在逐渐改善，但百万车公里中途故障率逐渐递增。</w:t>
      </w:r>
    </w:p>
    <w:p w14:paraId="4579308E">
      <w:pPr>
        <w:pStyle w:val="21"/>
      </w:pPr>
      <w:r>
        <w:rPr>
          <w:rFonts w:hint="eastAsia"/>
        </w:rPr>
        <w:t>表4-</w:t>
      </w:r>
      <w:r>
        <w:t xml:space="preserve">8 </w:t>
      </w:r>
      <w:r>
        <w:rPr>
          <w:rFonts w:hint="eastAsia"/>
        </w:rPr>
        <w:t>2</w:t>
      </w:r>
      <w:r>
        <w:t>016</w:t>
      </w:r>
      <w:r>
        <w:rPr>
          <w:rFonts w:hint="eastAsia"/>
        </w:rPr>
        <w:t>-</w:t>
      </w:r>
      <w:r>
        <w:t>2018</w:t>
      </w:r>
      <w:r>
        <w:rPr>
          <w:rFonts w:hint="eastAsia"/>
        </w:rPr>
        <w:t>年滑县公交运营质量情况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8"/>
        <w:gridCol w:w="1038"/>
        <w:gridCol w:w="1038"/>
        <w:gridCol w:w="1038"/>
      </w:tblGrid>
      <w:tr w14:paraId="47B9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8" w:type="dxa"/>
            <w:shd w:val="clear" w:color="auto" w:fill="BEBEBE" w:themeFill="background1" w:themeFillShade="BF"/>
            <w:vAlign w:val="center"/>
          </w:tcPr>
          <w:p w14:paraId="7B3D1D1B">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运营质量指标</w:t>
            </w:r>
          </w:p>
        </w:tc>
        <w:tc>
          <w:tcPr>
            <w:tcW w:w="1038" w:type="dxa"/>
            <w:shd w:val="clear" w:color="auto" w:fill="BEBEBE" w:themeFill="background1" w:themeFillShade="BF"/>
            <w:vAlign w:val="center"/>
          </w:tcPr>
          <w:p w14:paraId="0865CD19">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016</w:t>
            </w:r>
            <w:r>
              <w:rPr>
                <w:rFonts w:hint="eastAsia" w:ascii="Times New Roman" w:hAnsi="Times New Roman" w:eastAsia="仿宋_GB2312" w:cs="Times New Roman"/>
                <w:b/>
                <w:color w:val="000000"/>
                <w:kern w:val="0"/>
                <w:sz w:val="21"/>
                <w:szCs w:val="21"/>
              </w:rPr>
              <w:t>年</w:t>
            </w:r>
          </w:p>
        </w:tc>
        <w:tc>
          <w:tcPr>
            <w:tcW w:w="1038" w:type="dxa"/>
            <w:shd w:val="clear" w:color="auto" w:fill="BEBEBE" w:themeFill="background1" w:themeFillShade="BF"/>
            <w:vAlign w:val="center"/>
          </w:tcPr>
          <w:p w14:paraId="08C9EDE1">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017</w:t>
            </w:r>
            <w:r>
              <w:rPr>
                <w:rFonts w:hint="eastAsia" w:ascii="Times New Roman" w:hAnsi="Times New Roman" w:eastAsia="仿宋_GB2312" w:cs="Times New Roman"/>
                <w:b/>
                <w:color w:val="000000"/>
                <w:kern w:val="0"/>
                <w:sz w:val="21"/>
                <w:szCs w:val="21"/>
              </w:rPr>
              <w:t>年</w:t>
            </w:r>
          </w:p>
        </w:tc>
        <w:tc>
          <w:tcPr>
            <w:tcW w:w="1038" w:type="dxa"/>
            <w:shd w:val="clear" w:color="auto" w:fill="BEBEBE" w:themeFill="background1" w:themeFillShade="BF"/>
            <w:vAlign w:val="center"/>
          </w:tcPr>
          <w:p w14:paraId="32B31650">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2</w:t>
            </w:r>
            <w:r>
              <w:rPr>
                <w:rFonts w:ascii="Times New Roman" w:hAnsi="Times New Roman" w:eastAsia="仿宋_GB2312" w:cs="Times New Roman"/>
                <w:b/>
                <w:color w:val="000000"/>
                <w:kern w:val="0"/>
                <w:sz w:val="21"/>
                <w:szCs w:val="21"/>
              </w:rPr>
              <w:t>018</w:t>
            </w:r>
            <w:r>
              <w:rPr>
                <w:rFonts w:hint="eastAsia" w:ascii="Times New Roman" w:hAnsi="Times New Roman" w:eastAsia="仿宋_GB2312" w:cs="Times New Roman"/>
                <w:b/>
                <w:color w:val="000000"/>
                <w:kern w:val="0"/>
                <w:sz w:val="21"/>
                <w:szCs w:val="21"/>
              </w:rPr>
              <w:t>年</w:t>
            </w:r>
          </w:p>
        </w:tc>
      </w:tr>
      <w:tr w14:paraId="6DFD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8" w:type="dxa"/>
            <w:vAlign w:val="center"/>
          </w:tcPr>
          <w:p w14:paraId="0802C6C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百万车公里交通事故发生次数（人/百万车公里）</w:t>
            </w:r>
          </w:p>
        </w:tc>
        <w:tc>
          <w:tcPr>
            <w:tcW w:w="1038" w:type="dxa"/>
            <w:vAlign w:val="center"/>
          </w:tcPr>
          <w:p w14:paraId="4537A94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.60</w:t>
            </w:r>
          </w:p>
        </w:tc>
        <w:tc>
          <w:tcPr>
            <w:tcW w:w="1038" w:type="dxa"/>
            <w:vAlign w:val="center"/>
          </w:tcPr>
          <w:p w14:paraId="17581AA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.74</w:t>
            </w:r>
          </w:p>
        </w:tc>
        <w:tc>
          <w:tcPr>
            <w:tcW w:w="1038" w:type="dxa"/>
            <w:vAlign w:val="center"/>
          </w:tcPr>
          <w:p w14:paraId="435469A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.90</w:t>
            </w:r>
          </w:p>
        </w:tc>
      </w:tr>
      <w:tr w14:paraId="1D38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8" w:type="dxa"/>
            <w:vAlign w:val="center"/>
          </w:tcPr>
          <w:p w14:paraId="10F701B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百万车公里事故死亡人次（人</w:t>
            </w:r>
            <w:r>
              <w:rPr>
                <w:rFonts w:ascii="Times New Roman" w:hAnsi="Times New Roman" w:eastAsia="仿宋_GB2312" w:cs="Times New Roman"/>
                <w:bCs/>
                <w:color w:val="000000"/>
                <w:kern w:val="0"/>
                <w:sz w:val="21"/>
                <w:szCs w:val="21"/>
              </w:rPr>
              <w:t>/百万车公里）</w:t>
            </w:r>
          </w:p>
        </w:tc>
        <w:tc>
          <w:tcPr>
            <w:tcW w:w="1038" w:type="dxa"/>
            <w:vAlign w:val="center"/>
          </w:tcPr>
          <w:p w14:paraId="2690C5DD">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0</w:t>
            </w:r>
            <w:r>
              <w:rPr>
                <w:rFonts w:ascii="Times New Roman" w:hAnsi="Times New Roman" w:eastAsia="仿宋_GB2312" w:cs="Times New Roman"/>
                <w:bCs/>
                <w:color w:val="000000"/>
                <w:kern w:val="0"/>
                <w:sz w:val="21"/>
                <w:szCs w:val="21"/>
              </w:rPr>
              <w:t>.0027</w:t>
            </w:r>
          </w:p>
        </w:tc>
        <w:tc>
          <w:tcPr>
            <w:tcW w:w="1038" w:type="dxa"/>
            <w:vAlign w:val="center"/>
          </w:tcPr>
          <w:p w14:paraId="203A6C1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0</w:t>
            </w:r>
            <w:r>
              <w:rPr>
                <w:rFonts w:ascii="Times New Roman" w:hAnsi="Times New Roman" w:eastAsia="仿宋_GB2312" w:cs="Times New Roman"/>
                <w:bCs/>
                <w:color w:val="000000"/>
                <w:kern w:val="0"/>
                <w:sz w:val="21"/>
                <w:szCs w:val="21"/>
              </w:rPr>
              <w:t>.0016</w:t>
            </w:r>
          </w:p>
        </w:tc>
        <w:tc>
          <w:tcPr>
            <w:tcW w:w="1038" w:type="dxa"/>
            <w:vAlign w:val="center"/>
          </w:tcPr>
          <w:p w14:paraId="670EC61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0</w:t>
            </w:r>
            <w:r>
              <w:rPr>
                <w:rFonts w:ascii="Times New Roman" w:hAnsi="Times New Roman" w:eastAsia="仿宋_GB2312" w:cs="Times New Roman"/>
                <w:bCs/>
                <w:color w:val="000000"/>
                <w:kern w:val="0"/>
                <w:sz w:val="21"/>
                <w:szCs w:val="21"/>
              </w:rPr>
              <w:t>.0000</w:t>
            </w:r>
          </w:p>
        </w:tc>
      </w:tr>
      <w:tr w14:paraId="0A71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8" w:type="dxa"/>
            <w:vAlign w:val="center"/>
          </w:tcPr>
          <w:p w14:paraId="32EB21D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千车日总数违章违纪发生</w:t>
            </w:r>
            <w:r>
              <w:rPr>
                <w:rFonts w:hint="eastAsia" w:ascii="Times New Roman" w:hAnsi="Times New Roman" w:eastAsia="仿宋_GB2312" w:cs="Times New Roman"/>
                <w:bCs/>
                <w:color w:val="000000"/>
                <w:kern w:val="0"/>
                <w:sz w:val="21"/>
                <w:szCs w:val="21"/>
              </w:rPr>
              <w:t>次数（次</w:t>
            </w:r>
            <w:r>
              <w:rPr>
                <w:rFonts w:ascii="Times New Roman" w:hAnsi="Times New Roman" w:eastAsia="仿宋_GB2312" w:cs="Times New Roman"/>
                <w:bCs/>
                <w:color w:val="000000"/>
                <w:kern w:val="0"/>
                <w:sz w:val="21"/>
                <w:szCs w:val="21"/>
              </w:rPr>
              <w:t>/千车日总数</w:t>
            </w:r>
            <w:r>
              <w:rPr>
                <w:rFonts w:hint="eastAsia" w:ascii="Times New Roman" w:hAnsi="Times New Roman" w:eastAsia="仿宋_GB2312" w:cs="Times New Roman"/>
                <w:bCs/>
                <w:color w:val="000000"/>
                <w:kern w:val="0"/>
                <w:sz w:val="21"/>
                <w:szCs w:val="21"/>
              </w:rPr>
              <w:t>）</w:t>
            </w:r>
          </w:p>
        </w:tc>
        <w:tc>
          <w:tcPr>
            <w:tcW w:w="1038" w:type="dxa"/>
            <w:vAlign w:val="center"/>
          </w:tcPr>
          <w:p w14:paraId="51236B49">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w:t>
            </w:r>
          </w:p>
        </w:tc>
        <w:tc>
          <w:tcPr>
            <w:tcW w:w="1038" w:type="dxa"/>
            <w:vAlign w:val="center"/>
          </w:tcPr>
          <w:p w14:paraId="4DA55AF7">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5</w:t>
            </w:r>
            <w:r>
              <w:rPr>
                <w:rFonts w:ascii="Times New Roman" w:hAnsi="Times New Roman" w:eastAsia="仿宋_GB2312" w:cs="Times New Roman"/>
                <w:bCs/>
                <w:color w:val="000000"/>
                <w:kern w:val="0"/>
                <w:sz w:val="21"/>
                <w:szCs w:val="21"/>
              </w:rPr>
              <w:t>.03</w:t>
            </w:r>
          </w:p>
        </w:tc>
        <w:tc>
          <w:tcPr>
            <w:tcW w:w="1038" w:type="dxa"/>
            <w:vAlign w:val="center"/>
          </w:tcPr>
          <w:p w14:paraId="174B822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2</w:t>
            </w:r>
            <w:r>
              <w:rPr>
                <w:rFonts w:ascii="Times New Roman" w:hAnsi="Times New Roman" w:eastAsia="仿宋_GB2312" w:cs="Times New Roman"/>
                <w:bCs/>
                <w:color w:val="000000"/>
                <w:kern w:val="0"/>
                <w:sz w:val="21"/>
                <w:szCs w:val="21"/>
              </w:rPr>
              <w:t>.86</w:t>
            </w:r>
          </w:p>
        </w:tc>
      </w:tr>
      <w:tr w14:paraId="3A61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8" w:type="dxa"/>
            <w:vAlign w:val="center"/>
          </w:tcPr>
          <w:p w14:paraId="0D495B6A">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百万人次乘客有责投诉率（次</w:t>
            </w:r>
            <w:r>
              <w:rPr>
                <w:rFonts w:ascii="Times New Roman" w:hAnsi="Times New Roman" w:eastAsia="仿宋_GB2312" w:cs="Times New Roman"/>
                <w:bCs/>
                <w:color w:val="000000"/>
                <w:kern w:val="0"/>
                <w:sz w:val="21"/>
                <w:szCs w:val="21"/>
              </w:rPr>
              <w:t>/百万人次</w:t>
            </w:r>
            <w:r>
              <w:rPr>
                <w:rFonts w:hint="eastAsia" w:ascii="Times New Roman" w:hAnsi="Times New Roman" w:eastAsia="仿宋_GB2312" w:cs="Times New Roman"/>
                <w:bCs/>
                <w:color w:val="000000"/>
                <w:kern w:val="0"/>
                <w:sz w:val="21"/>
                <w:szCs w:val="21"/>
              </w:rPr>
              <w:t>）</w:t>
            </w:r>
          </w:p>
        </w:tc>
        <w:tc>
          <w:tcPr>
            <w:tcW w:w="1038" w:type="dxa"/>
            <w:vAlign w:val="center"/>
          </w:tcPr>
          <w:p w14:paraId="54BD8B9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9.02</w:t>
            </w:r>
          </w:p>
        </w:tc>
        <w:tc>
          <w:tcPr>
            <w:tcW w:w="1038" w:type="dxa"/>
            <w:vAlign w:val="center"/>
          </w:tcPr>
          <w:p w14:paraId="40161BC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.95</w:t>
            </w:r>
          </w:p>
        </w:tc>
        <w:tc>
          <w:tcPr>
            <w:tcW w:w="1038" w:type="dxa"/>
            <w:vAlign w:val="center"/>
          </w:tcPr>
          <w:p w14:paraId="4D9F208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3</w:t>
            </w:r>
            <w:r>
              <w:rPr>
                <w:rFonts w:ascii="Times New Roman" w:hAnsi="Times New Roman" w:eastAsia="仿宋_GB2312" w:cs="Times New Roman"/>
                <w:bCs/>
                <w:color w:val="000000"/>
                <w:kern w:val="0"/>
                <w:sz w:val="21"/>
                <w:szCs w:val="21"/>
              </w:rPr>
              <w:t>.26</w:t>
            </w:r>
          </w:p>
        </w:tc>
      </w:tr>
      <w:tr w14:paraId="3910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8" w:type="dxa"/>
            <w:vAlign w:val="center"/>
          </w:tcPr>
          <w:p w14:paraId="468700B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百万车公里中途故障率（次</w:t>
            </w:r>
            <w:r>
              <w:rPr>
                <w:rFonts w:ascii="Times New Roman" w:hAnsi="Times New Roman" w:eastAsia="仿宋_GB2312" w:cs="Times New Roman"/>
                <w:bCs/>
                <w:color w:val="000000"/>
                <w:kern w:val="0"/>
                <w:sz w:val="21"/>
                <w:szCs w:val="21"/>
              </w:rPr>
              <w:t>/百万车公里</w:t>
            </w:r>
            <w:r>
              <w:rPr>
                <w:rFonts w:hint="eastAsia" w:ascii="Times New Roman" w:hAnsi="Times New Roman" w:eastAsia="仿宋_GB2312" w:cs="Times New Roman"/>
                <w:bCs/>
                <w:color w:val="000000"/>
                <w:kern w:val="0"/>
                <w:sz w:val="21"/>
                <w:szCs w:val="21"/>
              </w:rPr>
              <w:t>）</w:t>
            </w:r>
          </w:p>
        </w:tc>
        <w:tc>
          <w:tcPr>
            <w:tcW w:w="1038" w:type="dxa"/>
            <w:vAlign w:val="center"/>
          </w:tcPr>
          <w:p w14:paraId="55ACA09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ascii="Times New Roman" w:hAnsi="Times New Roman" w:eastAsia="仿宋_GB2312" w:cs="Times New Roman"/>
                <w:bCs/>
                <w:color w:val="000000"/>
                <w:kern w:val="0"/>
                <w:sz w:val="21"/>
                <w:szCs w:val="21"/>
              </w:rPr>
              <w:t>2.70</w:t>
            </w:r>
          </w:p>
        </w:tc>
        <w:tc>
          <w:tcPr>
            <w:tcW w:w="1038" w:type="dxa"/>
            <w:vAlign w:val="center"/>
          </w:tcPr>
          <w:p w14:paraId="193F92C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4</w:t>
            </w:r>
            <w:r>
              <w:rPr>
                <w:rFonts w:ascii="Times New Roman" w:hAnsi="Times New Roman" w:eastAsia="仿宋_GB2312" w:cs="Times New Roman"/>
                <w:bCs/>
                <w:color w:val="000000"/>
                <w:kern w:val="0"/>
                <w:sz w:val="21"/>
                <w:szCs w:val="21"/>
              </w:rPr>
              <w:t>.68</w:t>
            </w:r>
          </w:p>
        </w:tc>
        <w:tc>
          <w:tcPr>
            <w:tcW w:w="1038" w:type="dxa"/>
            <w:vAlign w:val="center"/>
          </w:tcPr>
          <w:p w14:paraId="6C82D2B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5</w:t>
            </w:r>
            <w:r>
              <w:rPr>
                <w:rFonts w:ascii="Times New Roman" w:hAnsi="Times New Roman" w:eastAsia="仿宋_GB2312" w:cs="Times New Roman"/>
                <w:bCs/>
                <w:color w:val="000000"/>
                <w:kern w:val="0"/>
                <w:sz w:val="21"/>
                <w:szCs w:val="21"/>
              </w:rPr>
              <w:t>.79</w:t>
            </w:r>
          </w:p>
        </w:tc>
      </w:tr>
    </w:tbl>
    <w:p w14:paraId="5A8CAA70">
      <w:pPr>
        <w:spacing w:line="500" w:lineRule="exact"/>
        <w:ind w:firstLine="562" w:firstLineChars="2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3</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居民整体满意度尚可、司机满意度略低</w:t>
      </w:r>
    </w:p>
    <w:p w14:paraId="236BD283">
      <w:pPr>
        <w:spacing w:line="5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从满意度调查结果来看，受调查居民对于滑县公交运营服务的整体满意度水平为8</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%，略低于8</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%的标杆值，居民整体满意度尚可。但滑县公交公司司机整体满意度仅为7</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%，明显低于8</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%的标杆值，公交司机对于公交公司内部管理、工作环境、内部考核和工作强度有一定改进意见，公交公司内部管理工作有待加强。</w:t>
      </w:r>
    </w:p>
    <w:p w14:paraId="1F2A0E4E">
      <w:pPr>
        <w:pStyle w:val="18"/>
        <w:rPr>
          <w:rFonts w:ascii="Times New Roman" w:hAnsi="Times New Roman" w:eastAsia="仿宋_GB2312"/>
          <w:b/>
        </w:rPr>
      </w:pPr>
      <w:bookmarkStart w:id="31" w:name="_Toc25166477"/>
      <w:r>
        <w:rPr>
          <w:rFonts w:hint="eastAsia" w:ascii="Times New Roman" w:hAnsi="Times New Roman" w:eastAsia="仿宋_GB2312"/>
          <w:b/>
        </w:rPr>
        <w:t>五</w:t>
      </w:r>
      <w:r>
        <w:rPr>
          <w:rFonts w:ascii="Times New Roman" w:hAnsi="Times New Roman" w:eastAsia="仿宋_GB2312"/>
          <w:b/>
        </w:rPr>
        <w:t>、存在的问题和建议</w:t>
      </w:r>
      <w:bookmarkEnd w:id="31"/>
    </w:p>
    <w:p w14:paraId="151E278E">
      <w:pPr>
        <w:pStyle w:val="20"/>
        <w:ind w:firstLine="562"/>
      </w:pPr>
      <w:bookmarkStart w:id="32" w:name="_Toc25166478"/>
      <w:bookmarkStart w:id="33" w:name="_Hlk21522663"/>
      <w:r>
        <w:t>（一）存在的主要问题</w:t>
      </w:r>
      <w:bookmarkEnd w:id="32"/>
    </w:p>
    <w:p w14:paraId="778076DE">
      <w:pPr>
        <w:spacing w:line="500" w:lineRule="exact"/>
        <w:ind w:firstLine="562" w:firstLineChars="200"/>
        <w:rPr>
          <w:rFonts w:ascii="Times New Roman" w:hAnsi="Times New Roman" w:eastAsia="仿宋_GB2312" w:cs="Times New Roman"/>
          <w:b/>
          <w:bCs/>
          <w:kern w:val="0"/>
          <w:sz w:val="28"/>
          <w:szCs w:val="28"/>
        </w:rPr>
      </w:pPr>
      <w:r>
        <w:rPr>
          <w:rFonts w:hint="eastAsia" w:ascii="Times New Roman" w:hAnsi="Times New Roman" w:eastAsia="仿宋_GB2312" w:cs="Times New Roman"/>
          <w:b/>
          <w:bCs/>
          <w:kern w:val="0"/>
          <w:sz w:val="28"/>
          <w:szCs w:val="28"/>
        </w:rPr>
        <w:t>1</w:t>
      </w:r>
      <w:r>
        <w:rPr>
          <w:rFonts w:ascii="Times New Roman" w:hAnsi="Times New Roman" w:eastAsia="仿宋_GB2312" w:cs="Times New Roman"/>
          <w:b/>
          <w:bCs/>
          <w:kern w:val="0"/>
          <w:sz w:val="28"/>
          <w:szCs w:val="28"/>
        </w:rPr>
        <w:t xml:space="preserve">. </w:t>
      </w:r>
      <w:bookmarkStart w:id="34" w:name="_Hlk25165641"/>
      <w:r>
        <w:rPr>
          <w:rFonts w:hint="eastAsia" w:ascii="Times New Roman" w:hAnsi="Times New Roman" w:eastAsia="仿宋_GB2312" w:cs="Times New Roman"/>
          <w:b/>
          <w:bCs/>
          <w:kern w:val="0"/>
          <w:sz w:val="28"/>
          <w:szCs w:val="28"/>
        </w:rPr>
        <w:t>公交公司财务管理不规范，收入管理效果一般</w:t>
      </w:r>
      <w:bookmarkEnd w:id="34"/>
    </w:p>
    <w:p w14:paraId="29FF1081">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作为滑县城区公交的运营主体，滑县公交公司财务管理的规范性以及收入与成本管理有效性决定了财政补贴投入规模。从评价组实地调研获取资料来看，滑县公交公司财务管理不够规范，收入管理有效性一般。</w:t>
      </w:r>
    </w:p>
    <w:p w14:paraId="454DB064">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一是滑县公交会计确认与计量存在不符合《企业会计准则——基本准则》现象。《企业会计准则-基本准则》规定“我国企业应当以权责发生制为基础进行会计确认、计量和报告……，凡是已经实现的收入和已经发生或应当负担的费用，无论款项是否收付，都应当作为当期的收入和费用，计入利润表</w:t>
      </w:r>
      <w:r>
        <w:rPr>
          <w:rFonts w:ascii="Times New Roman" w:hAnsi="Times New Roman" w:eastAsia="仿宋_GB2312" w:cs="Times New Roman"/>
          <w:kern w:val="0"/>
          <w:sz w:val="28"/>
          <w:szCs w:val="28"/>
        </w:rPr>
        <w:t xml:space="preserve"> ；凡是不属于当期的收入和费用，即使款项已在当期收付，也不应当作为当期的收入和费用</w:t>
      </w: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013</w:t>
      </w:r>
      <w:r>
        <w:rPr>
          <w:rFonts w:hint="eastAsia" w:ascii="Times New Roman" w:hAnsi="Times New Roman" w:eastAsia="仿宋_GB2312" w:cs="Times New Roman"/>
          <w:kern w:val="0"/>
          <w:sz w:val="28"/>
          <w:szCs w:val="28"/>
        </w:rPr>
        <w:t>年至2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年，滑县公交公司财务费用一直按照收付实现制处理，</w:t>
      </w:r>
      <w:r>
        <w:rPr>
          <w:rFonts w:ascii="Times New Roman" w:hAnsi="Times New Roman" w:eastAsia="仿宋_GB2312" w:cs="Times New Roman"/>
          <w:kern w:val="0"/>
          <w:sz w:val="28"/>
          <w:szCs w:val="28"/>
        </w:rPr>
        <w:t>滑县公交公司2018年度账面管理费用中有215万不应计入当年度营业成本</w:t>
      </w:r>
      <w:r>
        <w:rPr>
          <w:rFonts w:hint="eastAsia" w:ascii="Times New Roman" w:hAnsi="Times New Roman" w:eastAsia="仿宋_GB2312" w:cs="Times New Roman"/>
          <w:kern w:val="0"/>
          <w:sz w:val="28"/>
          <w:szCs w:val="28"/>
        </w:rPr>
        <w:t>，增大2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年度亏损额，存在财政补贴投入过高风险。二是滑县公交公司收入管理不够有效。如2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2018</w:t>
      </w:r>
      <w:r>
        <w:rPr>
          <w:rFonts w:hint="eastAsia" w:ascii="Times New Roman" w:hAnsi="Times New Roman" w:eastAsia="仿宋_GB2312" w:cs="Times New Roman"/>
          <w:kern w:val="0"/>
          <w:sz w:val="28"/>
          <w:szCs w:val="28"/>
        </w:rPr>
        <w:t>年公交公司广告收入连续3年为零，广告收入对于公交运营亏损的弥补作用缺失；在2</w:t>
      </w:r>
      <w:r>
        <w:rPr>
          <w:rFonts w:ascii="Times New Roman" w:hAnsi="Times New Roman" w:eastAsia="仿宋_GB2312" w:cs="Times New Roman"/>
          <w:kern w:val="0"/>
          <w:sz w:val="28"/>
          <w:szCs w:val="28"/>
        </w:rPr>
        <w:t>018</w:t>
      </w:r>
      <w:r>
        <w:rPr>
          <w:rFonts w:hint="eastAsia" w:ascii="Times New Roman" w:hAnsi="Times New Roman" w:eastAsia="仿宋_GB2312" w:cs="Times New Roman"/>
          <w:kern w:val="0"/>
          <w:sz w:val="28"/>
          <w:szCs w:val="28"/>
        </w:rPr>
        <w:t>年公交运营投入车辆、公交运营里程、公交线路长度均增加的情况下，当年度公交票务收入和营业收入与剔除免费乘车影响的2</w:t>
      </w:r>
      <w:r>
        <w:rPr>
          <w:rFonts w:ascii="Times New Roman" w:hAnsi="Times New Roman" w:eastAsia="仿宋_GB2312" w:cs="Times New Roman"/>
          <w:kern w:val="0"/>
          <w:sz w:val="28"/>
          <w:szCs w:val="28"/>
        </w:rPr>
        <w:t>017</w:t>
      </w:r>
      <w:r>
        <w:rPr>
          <w:rFonts w:hint="eastAsia" w:ascii="Times New Roman" w:hAnsi="Times New Roman" w:eastAsia="仿宋_GB2312" w:cs="Times New Roman"/>
          <w:kern w:val="0"/>
          <w:sz w:val="28"/>
          <w:szCs w:val="28"/>
        </w:rPr>
        <w:t>年票务收入和营业收入相比存在下降风险。</w:t>
      </w:r>
    </w:p>
    <w:p w14:paraId="5B9A1CF3">
      <w:pPr>
        <w:spacing w:line="360" w:lineRule="auto"/>
        <w:ind w:firstLine="562" w:firstLineChars="200"/>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 xml:space="preserve">2. </w:t>
      </w:r>
      <w:bookmarkStart w:id="35" w:name="_Hlk25165923"/>
      <w:r>
        <w:rPr>
          <w:rFonts w:hint="eastAsia" w:ascii="Times New Roman" w:hAnsi="Times New Roman" w:eastAsia="仿宋_GB2312" w:cs="Times New Roman"/>
          <w:b/>
          <w:bCs/>
          <w:kern w:val="0"/>
          <w:sz w:val="28"/>
          <w:szCs w:val="28"/>
        </w:rPr>
        <w:t>公交公司成本管理机制不健全，成本控制与核算措施不足</w:t>
      </w:r>
    </w:p>
    <w:p w14:paraId="323EC5A5">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增加公交运营收入、合理控制公交运营成本是减少运营亏损，从而降低财政补贴压力的两大手段。评价组经过对滑县公交公司成本控制管理制度建设、职责分工、控制措施等资料的核查分析，认为滑县公交公司成本管理机制不够健全，成本控制与核算措施不足。</w:t>
      </w:r>
    </w:p>
    <w:p w14:paraId="03E15A41">
      <w:pPr>
        <w:spacing w:line="500" w:lineRule="exact"/>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一是</w:t>
      </w:r>
      <w:r>
        <w:rPr>
          <w:rFonts w:hint="eastAsia" w:ascii="Times New Roman" w:hAnsi="Times New Roman" w:eastAsia="仿宋_GB2312" w:cs="Times New Roman"/>
          <w:kern w:val="0"/>
          <w:sz w:val="28"/>
          <w:szCs w:val="28"/>
        </w:rPr>
        <w:t>滑县公交公司成本管理机制不够健全。实地调研期间，评价组获取并研究了</w:t>
      </w:r>
      <w:r>
        <w:rPr>
          <w:rFonts w:ascii="Times New Roman" w:hAnsi="Times New Roman" w:eastAsia="仿宋_GB2312" w:cs="Times New Roman"/>
          <w:kern w:val="0"/>
          <w:sz w:val="28"/>
          <w:szCs w:val="28"/>
        </w:rPr>
        <w:t>《滑县公交公司成本控制管理办法》，管理办法内容涉及能源消耗、物品物料消耗、维护保养等内容，但成本控制管理办法内容</w:t>
      </w:r>
      <w:r>
        <w:rPr>
          <w:rFonts w:hint="eastAsia" w:ascii="Times New Roman" w:hAnsi="Times New Roman" w:eastAsia="仿宋_GB2312" w:cs="Times New Roman"/>
          <w:kern w:val="0"/>
          <w:sz w:val="28"/>
          <w:szCs w:val="28"/>
        </w:rPr>
        <w:t>较</w:t>
      </w:r>
      <w:r>
        <w:rPr>
          <w:rFonts w:ascii="Times New Roman" w:hAnsi="Times New Roman" w:eastAsia="仿宋_GB2312" w:cs="Times New Roman"/>
          <w:kern w:val="0"/>
          <w:sz w:val="28"/>
          <w:szCs w:val="28"/>
        </w:rPr>
        <w:t>笼统，缺乏明确操作细则与成本控制实施流程，</w:t>
      </w:r>
      <w:r>
        <w:rPr>
          <w:rFonts w:hint="eastAsia" w:ascii="Times New Roman" w:hAnsi="Times New Roman" w:eastAsia="仿宋_GB2312" w:cs="Times New Roman"/>
          <w:kern w:val="0"/>
          <w:sz w:val="28"/>
          <w:szCs w:val="28"/>
        </w:rPr>
        <w:t>成本控制与管理职责划分不够清晰，责任未有效压实，成本控制管理效果与公交公司部门、人员绩效考核关联度不够，致使成本控制管理办法落地效果较差。二是滑县公交公司未曾开展单车或单线路成本核算工作，成本控制与核算措施不足。单车与单线路成本核算是公交运营主体进行成本控制管理的重要措施，通过成本核算活动，公交公司可以完成公交公司运营成本内部分析，通过对比分析和趋势分析积累公交运营成本数据，从而为公交运营成本管理提供参考依据。</w:t>
      </w:r>
    </w:p>
    <w:p w14:paraId="765F9BB3">
      <w:pPr>
        <w:spacing w:line="500" w:lineRule="exact"/>
        <w:ind w:firstLine="562" w:firstLineChars="200"/>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 xml:space="preserve">3. </w:t>
      </w:r>
      <w:r>
        <w:rPr>
          <w:rFonts w:hint="eastAsia" w:ascii="Times New Roman" w:hAnsi="Times New Roman" w:eastAsia="仿宋_GB2312" w:cs="Times New Roman"/>
          <w:b/>
          <w:bCs/>
          <w:kern w:val="0"/>
          <w:sz w:val="28"/>
          <w:szCs w:val="28"/>
        </w:rPr>
        <w:t>公交运营监督考核机制不完善、监督考核约束力不足</w:t>
      </w:r>
    </w:p>
    <w:p w14:paraId="0469A4BF">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根据微观经济学和财政学理论，运营财政补贴的实质是政府通过财政手段调控公交运营服务的市场失灵；其根本目的是通过财政补贴调整公交运营服务市场供求关系，使公交公司按照政府期望服务数量和质量要求提供公交运营服务。在当前滑县财政对滑县公交运营进行亏损补贴的既定事实情况下，对于滑县公交公司本身公交运营服务的监督与考核机制却不够完善。实地调研结果来看，滑县交通运输局作为公交运营业务指导与管理部门，缺乏全面具体的公交运营服务监督考核管理办法与方案，实际工作中也未有效开展监督与考核工作。监督考核对于公交运营财政补贴资金发放没有支撑作用，对公交公司本身也没有约束效果。</w:t>
      </w:r>
    </w:p>
    <w:p w14:paraId="2B4798C3">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同时，公交运营监督考核的约束无力导致公交运营的目标导向不足。从实地调研结果来看，</w:t>
      </w:r>
      <w:r>
        <w:rPr>
          <w:rFonts w:ascii="Times New Roman" w:hAnsi="Times New Roman" w:eastAsia="仿宋_GB2312" w:cs="Times New Roman"/>
          <w:kern w:val="0"/>
          <w:sz w:val="28"/>
          <w:szCs w:val="28"/>
        </w:rPr>
        <w:t>2016年至2018年，滑县交通运输局和公交公司均未提供明确的年度公交运营服务目标，运营管理过程中目标导向不清晰，绩效目标管理意识不足。</w:t>
      </w:r>
    </w:p>
    <w:p w14:paraId="43532065">
      <w:pPr>
        <w:spacing w:line="500" w:lineRule="exact"/>
        <w:ind w:firstLine="562" w:firstLineChars="200"/>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4</w:t>
      </w:r>
      <w:r>
        <w:rPr>
          <w:rFonts w:hint="eastAsia" w:ascii="Times New Roman" w:hAnsi="Times New Roman" w:eastAsia="仿宋_GB2312" w:cs="Times New Roman"/>
          <w:b/>
          <w:bCs/>
          <w:kern w:val="0"/>
          <w:sz w:val="28"/>
          <w:szCs w:val="28"/>
        </w:rPr>
        <w:t>.</w:t>
      </w:r>
      <w:r>
        <w:rPr>
          <w:rFonts w:ascii="Times New Roman" w:hAnsi="Times New Roman" w:eastAsia="仿宋_GB2312" w:cs="Times New Roman"/>
          <w:b/>
          <w:bCs/>
          <w:kern w:val="0"/>
          <w:sz w:val="28"/>
          <w:szCs w:val="28"/>
        </w:rPr>
        <w:t xml:space="preserve"> </w:t>
      </w:r>
      <w:r>
        <w:rPr>
          <w:rFonts w:hint="eastAsia" w:ascii="Times New Roman" w:hAnsi="Times New Roman" w:eastAsia="仿宋_GB2312" w:cs="Times New Roman"/>
          <w:b/>
          <w:bCs/>
          <w:kern w:val="0"/>
          <w:sz w:val="28"/>
          <w:szCs w:val="28"/>
        </w:rPr>
        <w:t>财政资金补贴模式不够合理、补贴资金激励与约束效果不强</w:t>
      </w:r>
    </w:p>
    <w:p w14:paraId="314E3874">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财政补贴资金发放形式单一、激励效果不强。</w:t>
      </w:r>
      <w:r>
        <w:rPr>
          <w:rFonts w:hint="eastAsia" w:ascii="Times New Roman" w:hAnsi="Times New Roman" w:eastAsia="仿宋_GB2312" w:cs="Times New Roman"/>
          <w:kern w:val="0"/>
          <w:sz w:val="28"/>
          <w:szCs w:val="28"/>
        </w:rPr>
        <w:t>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2018</w:t>
      </w:r>
      <w:r>
        <w:rPr>
          <w:rFonts w:hint="eastAsia" w:ascii="Times New Roman" w:hAnsi="Times New Roman" w:eastAsia="仿宋_GB2312" w:cs="Times New Roman"/>
          <w:kern w:val="0"/>
          <w:sz w:val="28"/>
          <w:szCs w:val="28"/>
        </w:rPr>
        <w:t>年，</w:t>
      </w:r>
      <w:r>
        <w:rPr>
          <w:rFonts w:ascii="Times New Roman" w:hAnsi="Times New Roman" w:eastAsia="仿宋_GB2312" w:cs="Times New Roman"/>
          <w:kern w:val="0"/>
          <w:sz w:val="28"/>
          <w:szCs w:val="28"/>
        </w:rPr>
        <w:t>滑县县级财政对公交公司财政补贴类型包括四类，即车辆添置补贴、基础设施建设投资补贴、公交亏损补贴和免费乘车补贴</w:t>
      </w:r>
      <w:r>
        <w:rPr>
          <w:rFonts w:hint="eastAsia" w:ascii="Times New Roman" w:hAnsi="Times New Roman" w:eastAsia="仿宋_GB2312" w:cs="Times New Roman"/>
          <w:kern w:val="0"/>
          <w:sz w:val="28"/>
          <w:szCs w:val="28"/>
        </w:rPr>
        <w:t>。如表5-</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所示，公交运营车辆添置和公交充电、场站等基础设施建设投资具有一次性和阶段性</w:t>
      </w:r>
      <w:r>
        <w:rPr>
          <w:rFonts w:ascii="Times New Roman" w:hAnsi="Times New Roman" w:eastAsia="仿宋_GB2312" w:cs="Times New Roman"/>
          <w:kern w:val="0"/>
          <w:sz w:val="28"/>
          <w:szCs w:val="28"/>
        </w:rPr>
        <w:t>，属投资类</w:t>
      </w:r>
      <w:r>
        <w:rPr>
          <w:rFonts w:hint="eastAsia" w:ascii="Times New Roman" w:hAnsi="Times New Roman" w:eastAsia="仿宋_GB2312" w:cs="Times New Roman"/>
          <w:kern w:val="0"/>
          <w:sz w:val="28"/>
          <w:szCs w:val="28"/>
        </w:rPr>
        <w:t>支出</w:t>
      </w:r>
      <w:r>
        <w:rPr>
          <w:rFonts w:ascii="Times New Roman" w:hAnsi="Times New Roman" w:eastAsia="仿宋_GB2312" w:cs="Times New Roman"/>
          <w:kern w:val="0"/>
          <w:sz w:val="28"/>
          <w:szCs w:val="28"/>
        </w:rPr>
        <w:t>；免费乘车补贴和公交运行亏损补贴具有连续性，属于运营支出类补贴。</w:t>
      </w:r>
      <w:r>
        <w:rPr>
          <w:rFonts w:hint="eastAsia" w:ascii="Times New Roman" w:hAnsi="Times New Roman" w:eastAsia="仿宋_GB2312" w:cs="Times New Roman"/>
          <w:kern w:val="0"/>
          <w:sz w:val="28"/>
          <w:szCs w:val="28"/>
        </w:rPr>
        <w:t>公交免费乘车和运营亏损补贴的内容为公交公司运营行为本身，属运营类支出，具有连续性和持续性特征。科学来说，公交发展财政补贴的发放要和补贴内容行为本身的支出特征相匹配，当前滑县免费乘车补贴和运营亏损补贴采用事后一次性发放的形式，补贴资金的一次性发放和行为本身支出的连续性不吻合。同时，评价组认为，由于县财政已设置政策性亏损补贴，而该补贴额度测算的重要依据是公交公司年度运营财务清算结果，因此免费乘车补贴的存在的意义不大，只会增加政府部门预算申报、批复和管理工作量。</w:t>
      </w:r>
    </w:p>
    <w:p w14:paraId="27002FE4">
      <w:pPr>
        <w:pStyle w:val="21"/>
        <w:rPr>
          <w:sz w:val="28"/>
        </w:rPr>
      </w:pPr>
      <w:r>
        <w:rPr>
          <w:rFonts w:hint="eastAsia"/>
        </w:rPr>
        <w:t>表</w:t>
      </w:r>
      <w:r>
        <w:t>5</w:t>
      </w:r>
      <w:r>
        <w:rPr>
          <w:rFonts w:hint="eastAsia"/>
        </w:rPr>
        <w:t>-</w:t>
      </w:r>
      <w:r>
        <w:t xml:space="preserve">1 </w:t>
      </w:r>
      <w:r>
        <w:rPr>
          <w:rFonts w:hint="eastAsia"/>
        </w:rPr>
        <w:t>滑县公交县级财政补贴类别特征分析</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1582"/>
        <w:gridCol w:w="1520"/>
        <w:gridCol w:w="2137"/>
      </w:tblGrid>
      <w:tr w14:paraId="1463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83" w:type="dxa"/>
            <w:shd w:val="clear" w:color="auto" w:fill="BEBEBE" w:themeFill="background1" w:themeFillShade="BF"/>
            <w:vAlign w:val="center"/>
          </w:tcPr>
          <w:p w14:paraId="362E4036">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bookmarkStart w:id="36" w:name="_Hlk25331647"/>
            <w:r>
              <w:rPr>
                <w:rFonts w:hint="eastAsia" w:ascii="Times New Roman" w:hAnsi="Times New Roman" w:eastAsia="仿宋_GB2312" w:cs="Times New Roman"/>
                <w:b/>
                <w:color w:val="000000"/>
                <w:kern w:val="0"/>
                <w:sz w:val="21"/>
                <w:szCs w:val="21"/>
              </w:rPr>
              <w:t>补贴类别</w:t>
            </w:r>
          </w:p>
        </w:tc>
        <w:tc>
          <w:tcPr>
            <w:tcW w:w="1582" w:type="dxa"/>
            <w:shd w:val="clear" w:color="auto" w:fill="BEBEBE" w:themeFill="background1" w:themeFillShade="BF"/>
            <w:vAlign w:val="center"/>
          </w:tcPr>
          <w:p w14:paraId="00A1AACB">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行为本身支出特征</w:t>
            </w:r>
          </w:p>
        </w:tc>
        <w:tc>
          <w:tcPr>
            <w:tcW w:w="1520" w:type="dxa"/>
            <w:shd w:val="clear" w:color="auto" w:fill="BEBEBE" w:themeFill="background1" w:themeFillShade="BF"/>
            <w:vAlign w:val="center"/>
          </w:tcPr>
          <w:p w14:paraId="75EAC50E">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当前补贴发放形式</w:t>
            </w:r>
          </w:p>
        </w:tc>
        <w:tc>
          <w:tcPr>
            <w:tcW w:w="2137" w:type="dxa"/>
            <w:shd w:val="clear" w:color="auto" w:fill="BEBEBE" w:themeFill="background1" w:themeFillShade="BF"/>
            <w:vAlign w:val="center"/>
          </w:tcPr>
          <w:p w14:paraId="0954AB6D">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补贴发放与支出特征匹配性</w:t>
            </w:r>
          </w:p>
        </w:tc>
      </w:tr>
      <w:tr w14:paraId="654D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Align w:val="center"/>
          </w:tcPr>
          <w:p w14:paraId="4F98572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车辆购置补贴</w:t>
            </w:r>
          </w:p>
        </w:tc>
        <w:tc>
          <w:tcPr>
            <w:tcW w:w="1582" w:type="dxa"/>
            <w:vAlign w:val="center"/>
          </w:tcPr>
          <w:p w14:paraId="21CF175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一次性、阶段性</w:t>
            </w:r>
          </w:p>
        </w:tc>
        <w:tc>
          <w:tcPr>
            <w:tcW w:w="1520" w:type="dxa"/>
            <w:vAlign w:val="center"/>
          </w:tcPr>
          <w:p w14:paraId="3990D7AA">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事前一次发放</w:t>
            </w:r>
          </w:p>
        </w:tc>
        <w:tc>
          <w:tcPr>
            <w:tcW w:w="2137" w:type="dxa"/>
            <w:vMerge w:val="restart"/>
            <w:vAlign w:val="center"/>
          </w:tcPr>
          <w:p w14:paraId="1F7DBD2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匹配</w:t>
            </w:r>
          </w:p>
        </w:tc>
      </w:tr>
      <w:tr w14:paraId="5BFA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Align w:val="center"/>
          </w:tcPr>
          <w:p w14:paraId="7792F8A5">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充电设施、场站建设等基础建设投资类补贴</w:t>
            </w:r>
          </w:p>
        </w:tc>
        <w:tc>
          <w:tcPr>
            <w:tcW w:w="1582" w:type="dxa"/>
            <w:vAlign w:val="center"/>
          </w:tcPr>
          <w:p w14:paraId="14E69A0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一次性、阶段性</w:t>
            </w:r>
          </w:p>
        </w:tc>
        <w:tc>
          <w:tcPr>
            <w:tcW w:w="1520" w:type="dxa"/>
            <w:vAlign w:val="center"/>
          </w:tcPr>
          <w:p w14:paraId="0C03D44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事前一次发放</w:t>
            </w:r>
          </w:p>
        </w:tc>
        <w:tc>
          <w:tcPr>
            <w:tcW w:w="2137" w:type="dxa"/>
            <w:vMerge w:val="continue"/>
            <w:vAlign w:val="center"/>
          </w:tcPr>
          <w:p w14:paraId="17C03D71">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r>
      <w:tr w14:paraId="427F6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Align w:val="center"/>
          </w:tcPr>
          <w:p w14:paraId="153CB10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免费乘车补贴</w:t>
            </w:r>
          </w:p>
        </w:tc>
        <w:tc>
          <w:tcPr>
            <w:tcW w:w="1582" w:type="dxa"/>
            <w:vAlign w:val="center"/>
          </w:tcPr>
          <w:p w14:paraId="57B10BD3">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连续性</w:t>
            </w:r>
          </w:p>
        </w:tc>
        <w:tc>
          <w:tcPr>
            <w:tcW w:w="1520" w:type="dxa"/>
            <w:vAlign w:val="center"/>
          </w:tcPr>
          <w:p w14:paraId="0B9D412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事后一次发放</w:t>
            </w:r>
          </w:p>
        </w:tc>
        <w:tc>
          <w:tcPr>
            <w:tcW w:w="2137" w:type="dxa"/>
            <w:vAlign w:val="center"/>
          </w:tcPr>
          <w:p w14:paraId="22F8EBD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不匹配</w:t>
            </w:r>
          </w:p>
        </w:tc>
      </w:tr>
      <w:tr w14:paraId="032F5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Align w:val="center"/>
          </w:tcPr>
          <w:p w14:paraId="53D9BDE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运营亏损补贴</w:t>
            </w:r>
          </w:p>
        </w:tc>
        <w:tc>
          <w:tcPr>
            <w:tcW w:w="1582" w:type="dxa"/>
            <w:vAlign w:val="center"/>
          </w:tcPr>
          <w:p w14:paraId="4B39903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连续性</w:t>
            </w:r>
          </w:p>
        </w:tc>
        <w:tc>
          <w:tcPr>
            <w:tcW w:w="1520" w:type="dxa"/>
            <w:vAlign w:val="center"/>
          </w:tcPr>
          <w:p w14:paraId="72AF6E8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事后一次发放</w:t>
            </w:r>
          </w:p>
        </w:tc>
        <w:tc>
          <w:tcPr>
            <w:tcW w:w="2137" w:type="dxa"/>
            <w:vAlign w:val="center"/>
          </w:tcPr>
          <w:p w14:paraId="5ECCCC1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不匹配</w:t>
            </w:r>
          </w:p>
        </w:tc>
      </w:tr>
      <w:bookmarkEnd w:id="36"/>
    </w:tbl>
    <w:p w14:paraId="7E78BAA1">
      <w:pPr>
        <w:spacing w:line="500" w:lineRule="exact"/>
        <w:ind w:firstLine="562" w:firstLineChars="200"/>
        <w:rPr>
          <w:rFonts w:ascii="Times New Roman" w:hAnsi="Times New Roman" w:eastAsia="仿宋_GB2312" w:cs="Times New Roman"/>
          <w:kern w:val="0"/>
          <w:sz w:val="28"/>
          <w:szCs w:val="28"/>
        </w:rPr>
      </w:pPr>
      <w:r>
        <w:rPr>
          <w:rFonts w:ascii="Times New Roman" w:hAnsi="Times New Roman" w:eastAsia="仿宋_GB2312" w:cs="Times New Roman"/>
          <w:b/>
          <w:bCs/>
          <w:kern w:val="0"/>
          <w:sz w:val="28"/>
          <w:szCs w:val="28"/>
        </w:rPr>
        <w:t>缺乏有效成本规制机制、财政补贴额度标准不清晰</w:t>
      </w:r>
      <w:r>
        <w:rPr>
          <w:rFonts w:hint="eastAsia" w:ascii="Times New Roman" w:hAnsi="Times New Roman" w:eastAsia="仿宋_GB2312" w:cs="Times New Roman"/>
          <w:b/>
          <w:bCs/>
          <w:kern w:val="0"/>
          <w:sz w:val="28"/>
          <w:szCs w:val="28"/>
        </w:rPr>
        <w:t>。</w:t>
      </w:r>
      <w:r>
        <w:rPr>
          <w:rFonts w:ascii="Times New Roman" w:hAnsi="Times New Roman" w:eastAsia="仿宋_GB2312" w:cs="Times New Roman"/>
          <w:kern w:val="0"/>
          <w:sz w:val="28"/>
          <w:szCs w:val="28"/>
        </w:rPr>
        <w:t>运营支出贯穿区域公交事业运营整个过程</w:t>
      </w:r>
      <w:r>
        <w:rPr>
          <w:rFonts w:hint="eastAsia" w:ascii="Times New Roman" w:hAnsi="Times New Roman" w:eastAsia="仿宋_GB2312" w:cs="Times New Roman"/>
          <w:kern w:val="0"/>
          <w:sz w:val="28"/>
          <w:szCs w:val="28"/>
        </w:rPr>
        <w:t>，因此运营亏损补贴资金需求量大、持续时间长，是公交事业发展财政补贴的重头。从公交事业发展较好城市的经验以及财政资源配置有效性来看，公交运营政策亏损补贴不等同于财政兜底补贴。财政兜底补贴会降低公交运营主体经营管理的能动性。从2</w:t>
      </w:r>
      <w:r>
        <w:rPr>
          <w:rFonts w:ascii="Times New Roman" w:hAnsi="Times New Roman" w:eastAsia="仿宋_GB2312" w:cs="Times New Roman"/>
          <w:kern w:val="0"/>
          <w:sz w:val="28"/>
          <w:szCs w:val="28"/>
        </w:rPr>
        <w:t>016</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2018</w:t>
      </w:r>
      <w:r>
        <w:rPr>
          <w:rFonts w:hint="eastAsia" w:ascii="Times New Roman" w:hAnsi="Times New Roman" w:eastAsia="仿宋_GB2312" w:cs="Times New Roman"/>
          <w:kern w:val="0"/>
          <w:sz w:val="28"/>
          <w:szCs w:val="28"/>
        </w:rPr>
        <w:t>年滑县运营亏损补贴的演变情况来看，政策亏损补贴逐渐变成财政兜底补贴，与当前公共事业服务供给市场化的改革方向不符。</w:t>
      </w:r>
    </w:p>
    <w:p w14:paraId="2C1419F4">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究其原因，主要是由于当前滑县公交运营亏损补贴缺乏科学有效的成本规制机制。未厘清滑县公交公司运营亏损中，哪些是由于政府惠民政策、强制公交公司保障公交运营服务供给规模等导致的政策性亏损，哪些是由于公交公司自身经营管理问题导致的经营性亏损。在缺乏有效成本规制的情况下，对于公交公司运营的成本支出构成、成本支出发生额度、成本支出控制等缺乏标准，确定财政补贴资金额度实标准不够科学清晰。</w:t>
      </w:r>
    </w:p>
    <w:bookmarkEnd w:id="33"/>
    <w:bookmarkEnd w:id="35"/>
    <w:p w14:paraId="7979C6BC">
      <w:pPr>
        <w:pStyle w:val="20"/>
        <w:ind w:firstLine="562"/>
      </w:pPr>
      <w:bookmarkStart w:id="37" w:name="_Toc25166479"/>
      <w:r>
        <w:t>（二）建议和改进措施</w:t>
      </w:r>
      <w:bookmarkEnd w:id="37"/>
    </w:p>
    <w:p w14:paraId="4B828C33">
      <w:pPr>
        <w:spacing w:line="500" w:lineRule="exact"/>
        <w:ind w:firstLine="562" w:firstLineChars="200"/>
        <w:rPr>
          <w:rFonts w:ascii="Times New Roman" w:hAnsi="Times New Roman" w:eastAsia="仿宋_GB2312" w:cs="Times New Roman"/>
          <w:b/>
          <w:bCs/>
          <w:kern w:val="0"/>
          <w:sz w:val="28"/>
          <w:szCs w:val="28"/>
        </w:rPr>
      </w:pPr>
      <w:bookmarkStart w:id="38" w:name="_Hlk25166220"/>
      <w:r>
        <w:rPr>
          <w:rFonts w:hint="eastAsia" w:ascii="Times New Roman" w:hAnsi="Times New Roman" w:eastAsia="仿宋_GB2312" w:cs="Times New Roman"/>
          <w:b/>
          <w:bCs/>
          <w:kern w:val="0"/>
          <w:sz w:val="28"/>
          <w:szCs w:val="28"/>
        </w:rPr>
        <w:t>1</w:t>
      </w:r>
      <w:r>
        <w:rPr>
          <w:rFonts w:ascii="Times New Roman" w:hAnsi="Times New Roman" w:eastAsia="仿宋_GB2312" w:cs="Times New Roman"/>
          <w:b/>
          <w:bCs/>
          <w:kern w:val="0"/>
          <w:sz w:val="28"/>
          <w:szCs w:val="28"/>
        </w:rPr>
        <w:t xml:space="preserve">. </w:t>
      </w:r>
      <w:r>
        <w:rPr>
          <w:rFonts w:hint="eastAsia" w:ascii="Times New Roman" w:hAnsi="Times New Roman" w:eastAsia="仿宋_GB2312" w:cs="Times New Roman"/>
          <w:b/>
          <w:bCs/>
          <w:kern w:val="0"/>
          <w:sz w:val="28"/>
          <w:szCs w:val="28"/>
        </w:rPr>
        <w:t>全面提升公交公司财务管理规范性，确保公交公司收入成本管理有效</w:t>
      </w:r>
    </w:p>
    <w:p w14:paraId="5D18102B">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要实现滑县公交运营财政补贴资金投入有效，保障财政资金投入的经济性、效率性和效益性，首先要规范滑县公交公司财务管理工作，通过制度设计与体制保障确保公交公司收入与成本管理有效。针对这一问题，评价组认为可以从两个方面入手，全面提升公交公司财务管理规范性、确保公交公司收入成本管理有效。</w:t>
      </w:r>
    </w:p>
    <w:p w14:paraId="277C8D9F">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严格滑县公交年度财务审计工作，强化审计对滑县公交财务管理的监督约束效果</w:t>
      </w:r>
      <w:r>
        <w:rPr>
          <w:rFonts w:hint="eastAsia" w:ascii="Times New Roman" w:hAnsi="Times New Roman" w:eastAsia="仿宋_GB2312" w:cs="Times New Roman"/>
          <w:kern w:val="0"/>
          <w:sz w:val="28"/>
          <w:szCs w:val="28"/>
        </w:rPr>
        <w:t>。财务审计是指审计主体按照国家企业财务审计准则规定的程序和方法被审计对象的</w:t>
      </w:r>
      <w:r>
        <w:rPr>
          <w:rFonts w:ascii="Times New Roman" w:hAnsi="Times New Roman" w:eastAsia="仿宋_GB2312" w:cs="Times New Roman"/>
          <w:kern w:val="0"/>
          <w:sz w:val="28"/>
          <w:szCs w:val="28"/>
        </w:rPr>
        <w:t>资产、负债、损益的真实、合法、效益进行审计监督，对被审计企业会计报表反映的会计信息依法</w:t>
      </w:r>
      <w:r>
        <w:rPr>
          <w:rFonts w:hint="eastAsia" w:ascii="Times New Roman" w:hAnsi="Times New Roman" w:eastAsia="仿宋_GB2312" w:cs="Times New Roman"/>
          <w:kern w:val="0"/>
          <w:sz w:val="28"/>
          <w:szCs w:val="28"/>
        </w:rPr>
        <w:t>完成</w:t>
      </w:r>
      <w:r>
        <w:rPr>
          <w:rFonts w:ascii="Times New Roman" w:hAnsi="Times New Roman" w:eastAsia="仿宋_GB2312" w:cs="Times New Roman"/>
          <w:kern w:val="0"/>
          <w:sz w:val="28"/>
          <w:szCs w:val="28"/>
        </w:rPr>
        <w:t>客观、公正的评价，形成审计报告，出具审计意见和决定，其目的是揭露和反映企业资产、负债和盈亏的真实情况</w:t>
      </w:r>
      <w:r>
        <w:rPr>
          <w:rFonts w:hint="eastAsia" w:ascii="Times New Roman" w:hAnsi="Times New Roman" w:eastAsia="仿宋_GB2312" w:cs="Times New Roman"/>
          <w:kern w:val="0"/>
          <w:sz w:val="28"/>
          <w:szCs w:val="28"/>
        </w:rPr>
        <w:t>。滑县公交公司作为滑县城区公交运营服务财政补贴的对象，滑县财政局和交通局要以财务审计工作为抓手，将审计结果与公交运营财政补贴有效关联，严格滑县公交年度财务审计工作，强化审计对滑县公交财务管理的监督约束效果。</w:t>
      </w:r>
    </w:p>
    <w:p w14:paraId="517EEDAF">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建立健全滑县公交公司内控体系，提高公交公司内部管理决策科学性，全面提升公交公司收入与成本管理有效性</w:t>
      </w:r>
      <w:r>
        <w:rPr>
          <w:rFonts w:hint="eastAsia" w:ascii="Times New Roman" w:hAnsi="Times New Roman" w:eastAsia="仿宋_GB2312" w:cs="Times New Roman"/>
          <w:kern w:val="0"/>
          <w:sz w:val="28"/>
          <w:szCs w:val="28"/>
        </w:rPr>
        <w:t>。当前，滑县公交公司管理人员平均年龄较大，整体受教育水平略低、现代企业管理体制和内容体系建设相对不足，导致滑县公交公司在经营管理中的决策机制不完善、内部监督管理和风险控制能力较弱。要提升滑县公交公司收入与成本管理有效性，滑县交通运输局作为业务指导与监督管理部门，可以对滑县公交公司内控体系进行及存在的问题进行科学评价与诊断，督促公交公司建立健全内控体系。</w:t>
      </w:r>
    </w:p>
    <w:p w14:paraId="26C9836B">
      <w:pPr>
        <w:spacing w:line="500" w:lineRule="exact"/>
        <w:ind w:firstLine="562" w:firstLineChars="200"/>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 xml:space="preserve">2. </w:t>
      </w:r>
      <w:r>
        <w:rPr>
          <w:rFonts w:hint="eastAsia" w:ascii="Times New Roman" w:hAnsi="Times New Roman" w:eastAsia="仿宋_GB2312" w:cs="Times New Roman"/>
          <w:b/>
          <w:bCs/>
          <w:kern w:val="0"/>
          <w:sz w:val="28"/>
          <w:szCs w:val="28"/>
        </w:rPr>
        <w:t>健全公交公司成本控制管理机制，落实成本控制与核算措施</w:t>
      </w:r>
    </w:p>
    <w:p w14:paraId="4E05C871">
      <w:pPr>
        <w:spacing w:line="500" w:lineRule="exact"/>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一是建立健全滑县公交公司成本控制管理体系。从制度建设来讲，滑县公交公司要在当前《滑县公交公司成本控制管理办法》的基础上，进一步以业务科室为主体，制定更加详细可操作的成本控制细则和实施流程，将不同成本控制管理工作责任压实到具体部门和负责人，进一步提高成本控制管理的有效性。二是严格落实成本控制与核算措施，开展季度、半年度、年度单线路和单车成本核算活动，通过成本核算建立滑县公交公司运营成本大数据，通过对比分析和趋势分析积累公交运营成本数据，从而为公交运营成本管理提供参考依据。另外，滑县公交公司还需要将成本核算考核结果与部门及个人绩效考核关联起来，强化约束作用。</w:t>
      </w:r>
    </w:p>
    <w:p w14:paraId="59DF5111">
      <w:pPr>
        <w:spacing w:line="500" w:lineRule="exact"/>
        <w:ind w:firstLine="562" w:firstLineChars="200"/>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3.</w:t>
      </w:r>
      <w:r>
        <w:rPr>
          <w:rFonts w:hint="eastAsia" w:ascii="Times New Roman" w:hAnsi="Times New Roman" w:eastAsia="仿宋_GB2312" w:cs="Times New Roman"/>
          <w:b/>
          <w:kern w:val="0"/>
          <w:sz w:val="28"/>
          <w:szCs w:val="28"/>
        </w:rPr>
        <w:t xml:space="preserve"> </w:t>
      </w:r>
      <w:r>
        <w:rPr>
          <w:rFonts w:ascii="Times New Roman" w:hAnsi="Times New Roman" w:eastAsia="仿宋_GB2312" w:cs="Times New Roman"/>
          <w:b/>
          <w:kern w:val="0"/>
          <w:sz w:val="28"/>
          <w:szCs w:val="28"/>
        </w:rPr>
        <w:t>加强公交公司运营管理监督考核</w:t>
      </w:r>
      <w:r>
        <w:rPr>
          <w:rFonts w:hint="eastAsia" w:ascii="Times New Roman" w:hAnsi="Times New Roman" w:eastAsia="仿宋_GB2312" w:cs="Times New Roman"/>
          <w:b/>
          <w:kern w:val="0"/>
          <w:sz w:val="28"/>
          <w:szCs w:val="28"/>
        </w:rPr>
        <w:t>，强化考核约束和目标导向</w:t>
      </w:r>
    </w:p>
    <w:p w14:paraId="3487023A">
      <w:pPr>
        <w:spacing w:line="500" w:lineRule="exact"/>
        <w:ind w:firstLine="562" w:firstLineChars="200"/>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合理制定目标任务，加大监督考核力度。</w:t>
      </w:r>
      <w:r>
        <w:rPr>
          <w:rFonts w:ascii="Times New Roman" w:hAnsi="Times New Roman" w:eastAsia="仿宋_GB2312" w:cs="Times New Roman"/>
          <w:kern w:val="0"/>
          <w:sz w:val="28"/>
          <w:szCs w:val="28"/>
        </w:rPr>
        <w:t>滑县交通运输局后续在拟申报公交项目时，结合滑县公交实际，对相应考核指标进行评估，初步判断为达成目标需要承担的各类成本，尽量避免出现与实际差距较大、达成较为困难的现象。此外，针对车辆购置，应结合公交企业年度车辆使用年限、更新计划，年度线网优化调整车辆需求，公交企业计划班次、运力等实际情况进行统筹考虑。交通运输局应分阶段对公交公司运营状况进行监督和考核，将监督考核结果和预算资金分阶段发放充分连接起来，实施目标完成度奖罚制度，发挥预算资金阶段发放制度和奖惩制度对公交公司运营效果的激励作用。</w:t>
      </w:r>
    </w:p>
    <w:p w14:paraId="2386B8FC">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明晰运营管理分工，落实具体运营部门责任机制。</w:t>
      </w:r>
      <w:r>
        <w:rPr>
          <w:rFonts w:hint="eastAsia" w:ascii="Times New Roman" w:hAnsi="Times New Roman" w:eastAsia="仿宋_GB2312" w:cs="Times New Roman"/>
          <w:kern w:val="0"/>
          <w:sz w:val="28"/>
          <w:szCs w:val="28"/>
        </w:rPr>
        <w:t>针对公交公司存在的运营问题，应明确运营管理过程中的分工责任，将不同的问题分部门进行处理，将责任落实到具体的部门和对应负责人，建立责任追究制度。例如乘客投诉和司机驾驶问题，落实责任到常务副总主管的运营部；公交电子卡收费系统不稳定问题落实到财务主管的</w:t>
      </w:r>
      <w:r>
        <w:rPr>
          <w:rFonts w:ascii="Times New Roman" w:hAnsi="Times New Roman" w:eastAsia="仿宋_GB2312" w:cs="Times New Roman"/>
          <w:kern w:val="0"/>
          <w:sz w:val="28"/>
          <w:szCs w:val="28"/>
        </w:rPr>
        <w:t>IC卡部门；公交车辆问题落实责任到常务副总主管的维修部；整体公交公司的管理问题落实到公司组织架构中办公室部门。实施部门负责人连带责任，并将责任与工资建立挂钩机制。</w:t>
      </w:r>
    </w:p>
    <w:p w14:paraId="192C2721">
      <w:pPr>
        <w:spacing w:line="500" w:lineRule="exact"/>
        <w:ind w:firstLine="562" w:firstLineChars="200"/>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 xml:space="preserve">4. </w:t>
      </w:r>
      <w:r>
        <w:rPr>
          <w:rFonts w:hint="eastAsia" w:ascii="Times New Roman" w:hAnsi="Times New Roman" w:eastAsia="仿宋_GB2312" w:cs="Times New Roman"/>
          <w:b/>
          <w:bCs/>
          <w:kern w:val="0"/>
          <w:sz w:val="28"/>
          <w:szCs w:val="28"/>
        </w:rPr>
        <w:t>优化财政资金补贴模式，提升财政补贴的激励约束效果</w:t>
      </w:r>
    </w:p>
    <w:p w14:paraId="23CF089D">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优化财政补贴资金发放形式，提升补贴资金激励效果。</w:t>
      </w:r>
      <w:r>
        <w:rPr>
          <w:rFonts w:hint="eastAsia" w:ascii="Times New Roman" w:hAnsi="Times New Roman" w:eastAsia="仿宋_GB2312" w:cs="Times New Roman"/>
          <w:kern w:val="0"/>
          <w:sz w:val="28"/>
          <w:szCs w:val="28"/>
        </w:rPr>
        <w:t>根据当前滑县公交财政补贴资金发放形式单一这样问题，评价组认为应该根据不同补贴类别行为本身的支出特征科学优化补贴基金发放方式。如表</w:t>
      </w:r>
      <w:r>
        <w:rPr>
          <w:rFonts w:ascii="Times New Roman" w:hAnsi="Times New Roman" w:eastAsia="仿宋_GB2312" w:cs="Times New Roman"/>
          <w:kern w:val="0"/>
          <w:sz w:val="28"/>
          <w:szCs w:val="28"/>
        </w:rPr>
        <w:t>5</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所示，首先以后年度车辆购置补贴、充电设施、场站建设等基础投资类补贴仍然采用“事前一次发放”的形式。但是对于财政补贴占项目总支出的比例，要组织专家进行有效论证。其次在政策性亏损补贴存在的情况下，在后续实施免费乘车政策时可以不再单独安排免费乘车补贴，降低财政和主管部门工作量的同时，降低预算编制、预算审批工作对财政资金投入准确性的影响。最后，对于政策性亏损补贴，建议采取“提前预拨</w:t>
      </w:r>
      <w:r>
        <w:rPr>
          <w:rFonts w:ascii="Times New Roman" w:hAnsi="Times New Roman" w:eastAsia="仿宋_GB2312" w:cs="Times New Roman"/>
          <w:kern w:val="0"/>
          <w:sz w:val="28"/>
          <w:szCs w:val="28"/>
        </w:rPr>
        <w:t xml:space="preserve"> 、阶段发放、事后清算</w:t>
      </w:r>
      <w:r>
        <w:rPr>
          <w:rFonts w:hint="eastAsia" w:ascii="Times New Roman" w:hAnsi="Times New Roman" w:eastAsia="仿宋_GB2312" w:cs="Times New Roman"/>
          <w:kern w:val="0"/>
          <w:sz w:val="28"/>
          <w:szCs w:val="28"/>
        </w:rPr>
        <w:t>”的资金发放方式，年初根据之前年度经营情况和成本规制要求确定当年大致补贴额，然后在每季度初按比例将年初预算安排补贴额发放至公交公司，次年年初对公交公司公交运营质量、财务情况等进行监督考核，根据考核结果确定当年政策性亏损补贴金额，进行补贴清算。</w:t>
      </w:r>
    </w:p>
    <w:p w14:paraId="293DFE66">
      <w:pPr>
        <w:pStyle w:val="21"/>
      </w:pPr>
      <w:r>
        <w:t>表5-2 不同补贴类别补贴模式选择建议</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1582"/>
        <w:gridCol w:w="1520"/>
        <w:gridCol w:w="2137"/>
      </w:tblGrid>
      <w:tr w14:paraId="162B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83" w:type="dxa"/>
            <w:shd w:val="clear" w:color="auto" w:fill="BEBEBE" w:themeFill="background1" w:themeFillShade="BF"/>
            <w:vAlign w:val="center"/>
          </w:tcPr>
          <w:p w14:paraId="611300AA">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补贴类别</w:t>
            </w:r>
          </w:p>
        </w:tc>
        <w:tc>
          <w:tcPr>
            <w:tcW w:w="1582" w:type="dxa"/>
            <w:shd w:val="clear" w:color="auto" w:fill="BEBEBE" w:themeFill="background1" w:themeFillShade="BF"/>
            <w:vAlign w:val="center"/>
          </w:tcPr>
          <w:p w14:paraId="72ADA03C">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行为本身支出特征</w:t>
            </w:r>
          </w:p>
        </w:tc>
        <w:tc>
          <w:tcPr>
            <w:tcW w:w="1520" w:type="dxa"/>
            <w:shd w:val="clear" w:color="auto" w:fill="BEBEBE" w:themeFill="background1" w:themeFillShade="BF"/>
            <w:vAlign w:val="center"/>
          </w:tcPr>
          <w:p w14:paraId="420B5D94">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当前补贴发放形式</w:t>
            </w:r>
          </w:p>
        </w:tc>
        <w:tc>
          <w:tcPr>
            <w:tcW w:w="2137" w:type="dxa"/>
            <w:shd w:val="clear" w:color="auto" w:fill="BEBEBE" w:themeFill="background1" w:themeFillShade="BF"/>
            <w:vAlign w:val="center"/>
          </w:tcPr>
          <w:p w14:paraId="05EBA91B">
            <w:pPr>
              <w:tabs>
                <w:tab w:val="left" w:pos="4881"/>
              </w:tabs>
              <w:adjustRightInd w:val="0"/>
              <w:snapToGrid w:val="0"/>
              <w:spacing w:line="400" w:lineRule="exact"/>
              <w:jc w:val="center"/>
              <w:rPr>
                <w:rFonts w:ascii="Times New Roman" w:hAnsi="Times New Roman" w:eastAsia="仿宋_GB2312" w:cs="Times New Roman"/>
                <w:b/>
                <w:color w:val="000000"/>
                <w:kern w:val="0"/>
                <w:sz w:val="21"/>
                <w:szCs w:val="21"/>
              </w:rPr>
            </w:pPr>
            <w:r>
              <w:rPr>
                <w:rFonts w:hint="eastAsia" w:ascii="Times New Roman" w:hAnsi="Times New Roman" w:eastAsia="仿宋_GB2312" w:cs="Times New Roman"/>
                <w:b/>
                <w:color w:val="000000"/>
                <w:kern w:val="0"/>
                <w:sz w:val="21"/>
                <w:szCs w:val="21"/>
              </w:rPr>
              <w:t>优化建议</w:t>
            </w:r>
          </w:p>
        </w:tc>
      </w:tr>
      <w:tr w14:paraId="24EE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Align w:val="center"/>
          </w:tcPr>
          <w:p w14:paraId="34A87D8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车辆购置补贴</w:t>
            </w:r>
          </w:p>
        </w:tc>
        <w:tc>
          <w:tcPr>
            <w:tcW w:w="1582" w:type="dxa"/>
            <w:vAlign w:val="center"/>
          </w:tcPr>
          <w:p w14:paraId="14D2E94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一次性、阶段性</w:t>
            </w:r>
          </w:p>
        </w:tc>
        <w:tc>
          <w:tcPr>
            <w:tcW w:w="1520" w:type="dxa"/>
            <w:vAlign w:val="center"/>
          </w:tcPr>
          <w:p w14:paraId="18D61C6F">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事前一次发放</w:t>
            </w:r>
          </w:p>
        </w:tc>
        <w:tc>
          <w:tcPr>
            <w:tcW w:w="2137" w:type="dxa"/>
            <w:vMerge w:val="restart"/>
            <w:vAlign w:val="center"/>
          </w:tcPr>
          <w:p w14:paraId="6D8BB23C">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事后一次发放</w:t>
            </w:r>
          </w:p>
        </w:tc>
      </w:tr>
      <w:tr w14:paraId="501E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Align w:val="center"/>
          </w:tcPr>
          <w:p w14:paraId="035AAD26">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充电设施、场站建设等基础建设投资类补贴</w:t>
            </w:r>
          </w:p>
        </w:tc>
        <w:tc>
          <w:tcPr>
            <w:tcW w:w="1582" w:type="dxa"/>
            <w:vAlign w:val="center"/>
          </w:tcPr>
          <w:p w14:paraId="5AF594E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一次性、阶段性</w:t>
            </w:r>
          </w:p>
        </w:tc>
        <w:tc>
          <w:tcPr>
            <w:tcW w:w="1520" w:type="dxa"/>
            <w:vAlign w:val="center"/>
          </w:tcPr>
          <w:p w14:paraId="3696465A">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事前一次发放</w:t>
            </w:r>
          </w:p>
        </w:tc>
        <w:tc>
          <w:tcPr>
            <w:tcW w:w="2137" w:type="dxa"/>
            <w:vMerge w:val="continue"/>
            <w:vAlign w:val="center"/>
          </w:tcPr>
          <w:p w14:paraId="6D6236C4">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p>
        </w:tc>
      </w:tr>
      <w:tr w14:paraId="7E8C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Align w:val="center"/>
          </w:tcPr>
          <w:p w14:paraId="50C037E0">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免费乘车补贴</w:t>
            </w:r>
          </w:p>
        </w:tc>
        <w:tc>
          <w:tcPr>
            <w:tcW w:w="1582" w:type="dxa"/>
            <w:vAlign w:val="center"/>
          </w:tcPr>
          <w:p w14:paraId="26AC6809">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连续性</w:t>
            </w:r>
          </w:p>
        </w:tc>
        <w:tc>
          <w:tcPr>
            <w:tcW w:w="1520" w:type="dxa"/>
            <w:vAlign w:val="center"/>
          </w:tcPr>
          <w:p w14:paraId="05313DA8">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事后一次发放</w:t>
            </w:r>
          </w:p>
        </w:tc>
        <w:tc>
          <w:tcPr>
            <w:tcW w:w="2137" w:type="dxa"/>
            <w:vAlign w:val="center"/>
          </w:tcPr>
          <w:p w14:paraId="2FCB3AA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取消免费乘车财政补贴</w:t>
            </w:r>
          </w:p>
        </w:tc>
      </w:tr>
      <w:tr w14:paraId="6FA7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3" w:type="dxa"/>
            <w:vAlign w:val="center"/>
          </w:tcPr>
          <w:p w14:paraId="2E72A549">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政策性亏损补贴</w:t>
            </w:r>
          </w:p>
        </w:tc>
        <w:tc>
          <w:tcPr>
            <w:tcW w:w="1582" w:type="dxa"/>
            <w:vAlign w:val="center"/>
          </w:tcPr>
          <w:p w14:paraId="60BC08BB">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连续性</w:t>
            </w:r>
          </w:p>
        </w:tc>
        <w:tc>
          <w:tcPr>
            <w:tcW w:w="1520" w:type="dxa"/>
            <w:vAlign w:val="center"/>
          </w:tcPr>
          <w:p w14:paraId="7EB56AAE">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r>
              <w:rPr>
                <w:rFonts w:hint="eastAsia" w:ascii="Times New Roman" w:hAnsi="Times New Roman" w:eastAsia="仿宋_GB2312" w:cs="Times New Roman"/>
                <w:bCs/>
                <w:color w:val="000000"/>
                <w:kern w:val="0"/>
                <w:sz w:val="21"/>
                <w:szCs w:val="21"/>
              </w:rPr>
              <w:t>事后一次发放</w:t>
            </w:r>
          </w:p>
        </w:tc>
        <w:tc>
          <w:tcPr>
            <w:tcW w:w="2137" w:type="dxa"/>
            <w:vAlign w:val="center"/>
          </w:tcPr>
          <w:p w14:paraId="4C7AFCD9">
            <w:pPr>
              <w:tabs>
                <w:tab w:val="left" w:pos="4881"/>
              </w:tabs>
              <w:adjustRightInd w:val="0"/>
              <w:snapToGrid w:val="0"/>
              <w:spacing w:line="400" w:lineRule="exact"/>
              <w:jc w:val="center"/>
              <w:rPr>
                <w:rFonts w:ascii="Times New Roman" w:hAnsi="Times New Roman" w:eastAsia="仿宋_GB2312" w:cs="Times New Roman"/>
                <w:bCs/>
                <w:color w:val="000000"/>
                <w:kern w:val="0"/>
                <w:sz w:val="21"/>
                <w:szCs w:val="21"/>
              </w:rPr>
            </w:pPr>
            <w:bookmarkStart w:id="39" w:name="_Hlk25332383"/>
            <w:r>
              <w:rPr>
                <w:rFonts w:hint="eastAsia" w:ascii="Times New Roman" w:hAnsi="Times New Roman" w:eastAsia="仿宋_GB2312" w:cs="Times New Roman"/>
                <w:bCs/>
                <w:color w:val="000000"/>
                <w:kern w:val="0"/>
                <w:sz w:val="21"/>
                <w:szCs w:val="21"/>
              </w:rPr>
              <w:t>提前预拨</w:t>
            </w:r>
            <w:r>
              <w:rPr>
                <w:rFonts w:ascii="Times New Roman" w:hAnsi="Times New Roman" w:eastAsia="仿宋_GB2312" w:cs="Times New Roman"/>
                <w:bCs/>
                <w:color w:val="000000"/>
                <w:kern w:val="0"/>
                <w:sz w:val="21"/>
                <w:szCs w:val="21"/>
              </w:rPr>
              <w:t xml:space="preserve"> 、阶段发放、事后清算</w:t>
            </w:r>
            <w:bookmarkEnd w:id="39"/>
          </w:p>
        </w:tc>
      </w:tr>
    </w:tbl>
    <w:p w14:paraId="5AC26D01">
      <w:pPr>
        <w:spacing w:line="500" w:lineRule="exact"/>
        <w:ind w:firstLine="562"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b/>
          <w:bCs/>
          <w:kern w:val="0"/>
          <w:sz w:val="28"/>
          <w:szCs w:val="28"/>
        </w:rPr>
        <w:t>尽快制定成本规制方案、科学确定财政补贴额度标准。</w:t>
      </w:r>
      <w:r>
        <w:rPr>
          <w:rFonts w:hint="eastAsia" w:ascii="Times New Roman" w:hAnsi="Times New Roman" w:eastAsia="仿宋_GB2312" w:cs="Times New Roman"/>
          <w:kern w:val="0"/>
          <w:sz w:val="28"/>
          <w:szCs w:val="28"/>
        </w:rPr>
        <w:t>科学有效的成本规制方案是当前政府购买公交运营服务时，有效控制公交公司成本支出、准确确定财政补贴额度标准的有效手段。当前，河南省范围内以郑州市公交为代表，在</w:t>
      </w:r>
      <w:r>
        <w:rPr>
          <w:rFonts w:ascii="Times New Roman" w:hAnsi="Times New Roman" w:eastAsia="仿宋_GB2312" w:cs="Times New Roman"/>
          <w:kern w:val="0"/>
          <w:sz w:val="28"/>
          <w:szCs w:val="28"/>
        </w:rPr>
        <w:t>2015年已完成对公交公司运营成本的全面摸底调研与成本规制方案的设定。在当前滑县公交公司自身成本控制和核算有效性不足的情况下，要保障财政资金支出的经济性、效率性和效益性，滑县交通运输局和县财政局作为政府购买公交服务的买房主体资金拨付主体，必要时可以引入第三方和专家力量设定滑县公交运营成本规制办法，更好地体现成本规制办法对成本控制、规范营收的引导作用。</w:t>
      </w:r>
    </w:p>
    <w:bookmarkEnd w:id="38"/>
    <w:p w14:paraId="6889F81F">
      <w:pPr>
        <w:spacing w:line="360" w:lineRule="auto"/>
        <w:ind w:firstLine="480" w:firstLineChars="200"/>
        <w:rPr>
          <w:rFonts w:ascii="Times New Roman" w:hAnsi="Times New Roman" w:eastAsia="仿宋_GB2312" w:cs="Times New Roman"/>
          <w:sz w:val="24"/>
          <w:szCs w:val="24"/>
        </w:rPr>
        <w:sectPr>
          <w:footerReference r:id="rId6" w:type="default"/>
          <w:pgSz w:w="11906" w:h="16838"/>
          <w:pgMar w:top="1440" w:right="1800" w:bottom="1440" w:left="1800" w:header="851" w:footer="992" w:gutter="0"/>
          <w:cols w:space="425" w:num="1"/>
          <w:docGrid w:type="lines" w:linePitch="312" w:charSpace="0"/>
        </w:sectPr>
      </w:pPr>
    </w:p>
    <w:p w14:paraId="360F9D77">
      <w:pPr>
        <w:spacing w:afterLines="50" w:line="360" w:lineRule="auto"/>
        <w:jc w:val="both"/>
        <w:rPr>
          <w:rFonts w:hint="eastAsia" w:ascii="宋体" w:hAnsi="宋体" w:eastAsia="宋体" w:cs="宋体"/>
          <w:b/>
          <w:bCs/>
          <w:color w:val="000000"/>
          <w:kern w:val="0"/>
          <w:sz w:val="30"/>
          <w:szCs w:val="30"/>
          <w:lang w:val="en-US" w:eastAsia="zh-CN"/>
        </w:rPr>
      </w:pPr>
      <w:r>
        <w:rPr>
          <w:rFonts w:hint="eastAsia" w:ascii="宋体" w:hAnsi="宋体" w:cs="宋体"/>
          <w:b/>
          <w:bCs/>
          <w:color w:val="000000"/>
          <w:kern w:val="0"/>
          <w:sz w:val="30"/>
          <w:szCs w:val="30"/>
          <w:lang w:eastAsia="zh-CN"/>
        </w:rPr>
        <w:t>附件</w:t>
      </w:r>
      <w:r>
        <w:rPr>
          <w:rFonts w:hint="eastAsia" w:ascii="宋体" w:hAnsi="宋体" w:cs="宋体"/>
          <w:b/>
          <w:bCs/>
          <w:color w:val="000000"/>
          <w:kern w:val="0"/>
          <w:sz w:val="30"/>
          <w:szCs w:val="30"/>
          <w:lang w:val="en-US" w:eastAsia="zh-CN"/>
        </w:rPr>
        <w:t>5：</w:t>
      </w:r>
    </w:p>
    <w:p w14:paraId="081B7A08">
      <w:pPr>
        <w:spacing w:afterLines="50" w:line="360" w:lineRule="auto"/>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滑县2018-</w:t>
      </w:r>
      <w:r>
        <w:rPr>
          <w:rFonts w:ascii="宋体" w:hAnsi="宋体" w:eastAsia="宋体" w:cs="宋体"/>
          <w:b/>
          <w:bCs/>
          <w:color w:val="000000"/>
          <w:kern w:val="0"/>
          <w:sz w:val="36"/>
          <w:szCs w:val="36"/>
        </w:rPr>
        <w:t>2019</w:t>
      </w:r>
      <w:r>
        <w:rPr>
          <w:rFonts w:hint="eastAsia" w:ascii="宋体" w:hAnsi="宋体" w:eastAsia="宋体" w:cs="宋体"/>
          <w:b/>
          <w:bCs/>
          <w:color w:val="000000"/>
          <w:kern w:val="0"/>
          <w:sz w:val="36"/>
          <w:szCs w:val="36"/>
        </w:rPr>
        <w:t>年度</w:t>
      </w:r>
      <w:bookmarkStart w:id="40" w:name="_Hlk16783069"/>
      <w:r>
        <w:rPr>
          <w:rFonts w:hint="eastAsia" w:ascii="宋体" w:hAnsi="宋体" w:eastAsia="宋体" w:cs="宋体"/>
          <w:b/>
          <w:bCs/>
          <w:color w:val="000000"/>
          <w:kern w:val="0"/>
          <w:sz w:val="36"/>
          <w:szCs w:val="36"/>
        </w:rPr>
        <w:t>农村生活垃圾清运</w:t>
      </w:r>
      <w:bookmarkEnd w:id="40"/>
      <w:r>
        <w:rPr>
          <w:rFonts w:hint="eastAsia" w:ascii="宋体" w:hAnsi="宋体" w:eastAsia="宋体" w:cs="宋体"/>
          <w:b/>
          <w:bCs/>
          <w:color w:val="000000"/>
          <w:kern w:val="0"/>
          <w:sz w:val="36"/>
          <w:szCs w:val="36"/>
        </w:rPr>
        <w:t>绩效评价报告</w:t>
      </w:r>
    </w:p>
    <w:p w14:paraId="045C9405">
      <w:pPr>
        <w:spacing w:line="360" w:lineRule="auto"/>
        <w:rPr>
          <w:rFonts w:ascii="宋体" w:hAnsi="宋体" w:cs="宋体"/>
          <w:sz w:val="24"/>
          <w:szCs w:val="24"/>
        </w:rPr>
      </w:pPr>
    </w:p>
    <w:p w14:paraId="2258041D">
      <w:pPr>
        <w:spacing w:line="360" w:lineRule="auto"/>
        <w:rPr>
          <w:rFonts w:ascii="宋体" w:hAnsi="宋体" w:cs="宋体"/>
          <w:sz w:val="24"/>
          <w:szCs w:val="24"/>
        </w:rPr>
      </w:pPr>
      <w:r>
        <w:rPr>
          <w:rFonts w:hint="eastAsia" w:ascii="宋体" w:hAnsi="宋体" w:cs="宋体"/>
          <w:sz w:val="24"/>
          <w:szCs w:val="24"/>
        </w:rPr>
        <w:t>滑县财政局、滑县评审中心：</w:t>
      </w:r>
    </w:p>
    <w:p w14:paraId="0344B132">
      <w:pPr>
        <w:spacing w:line="360" w:lineRule="auto"/>
        <w:ind w:firstLine="480" w:firstLineChars="200"/>
        <w:rPr>
          <w:rFonts w:ascii="宋体" w:hAnsi="宋体" w:cs="宋体"/>
          <w:sz w:val="24"/>
          <w:szCs w:val="24"/>
        </w:rPr>
      </w:pPr>
      <w:r>
        <w:rPr>
          <w:rFonts w:hint="eastAsia" w:ascii="宋体" w:hAnsi="宋体" w:cs="宋体"/>
          <w:sz w:val="24"/>
          <w:szCs w:val="24"/>
        </w:rPr>
        <w:t>为了解社会垃圾清运项目专项资金管理使用情况及项目实施效果，进一步规范和加强专项资金使用管理，切实提高财政资金使用效益和项目管理水平，为以后年度专项资金预算安排提供重要参考依据。根据《滑县财政局关于开展滑县农村生活垃圾清运绩效评价工作的函》（滑财函〔2019〕9号）要求，我们接受委托，会同滑县财政局、滑县城市管理局于2019年8月，对滑县2018年-2019年8月农村生活垃圾清运专项资金实施绩效评价。根据财政支出绩效评价的有关规定，形成本评价报告。</w:t>
      </w:r>
    </w:p>
    <w:p w14:paraId="5CDD4524">
      <w:pPr>
        <w:spacing w:line="360" w:lineRule="auto"/>
        <w:ind w:firstLine="482" w:firstLineChars="200"/>
        <w:rPr>
          <w:rFonts w:ascii="宋体" w:hAnsi="宋体" w:cs="宋体"/>
          <w:b/>
          <w:bCs/>
          <w:sz w:val="24"/>
          <w:szCs w:val="24"/>
        </w:rPr>
      </w:pPr>
      <w:r>
        <w:rPr>
          <w:rFonts w:hint="eastAsia" w:ascii="宋体" w:hAnsi="宋体" w:cs="宋体"/>
          <w:b/>
          <w:bCs/>
          <w:sz w:val="24"/>
          <w:szCs w:val="24"/>
        </w:rPr>
        <w:t>一、项目概述</w:t>
      </w:r>
    </w:p>
    <w:p w14:paraId="0A1999B5">
      <w:pPr>
        <w:spacing w:line="360" w:lineRule="auto"/>
        <w:ind w:firstLine="480" w:firstLineChars="200"/>
        <w:rPr>
          <w:rFonts w:ascii="宋体" w:hAnsi="宋体" w:cs="宋体"/>
          <w:sz w:val="24"/>
          <w:szCs w:val="24"/>
        </w:rPr>
      </w:pPr>
      <w:r>
        <w:rPr>
          <w:rFonts w:hint="eastAsia" w:ascii="宋体" w:hAnsi="宋体" w:cs="宋体"/>
          <w:sz w:val="24"/>
          <w:szCs w:val="24"/>
        </w:rPr>
        <w:t>（一）项目概况</w:t>
      </w:r>
    </w:p>
    <w:p w14:paraId="7610FDA5">
      <w:pPr>
        <w:spacing w:line="360" w:lineRule="auto"/>
        <w:ind w:firstLine="480" w:firstLineChars="200"/>
        <w:rPr>
          <w:rFonts w:ascii="宋体" w:hAnsi="宋体" w:cs="宋体"/>
          <w:sz w:val="24"/>
          <w:szCs w:val="24"/>
        </w:rPr>
      </w:pPr>
      <w:r>
        <w:rPr>
          <w:rFonts w:hint="eastAsia" w:ascii="宋体" w:hAnsi="宋体" w:cs="宋体"/>
          <w:sz w:val="24"/>
          <w:szCs w:val="24"/>
        </w:rPr>
        <w:t>1、立项背景及目的</w:t>
      </w:r>
    </w:p>
    <w:p w14:paraId="4B692F75">
      <w:pPr>
        <w:spacing w:line="360" w:lineRule="auto"/>
        <w:ind w:firstLine="480" w:firstLineChars="200"/>
        <w:rPr>
          <w:rFonts w:ascii="宋体" w:hAnsi="宋体" w:cs="宋体"/>
          <w:sz w:val="24"/>
          <w:szCs w:val="24"/>
        </w:rPr>
      </w:pPr>
      <w:r>
        <w:rPr>
          <w:rFonts w:hint="eastAsia" w:ascii="宋体" w:hAnsi="宋体" w:cs="宋体"/>
          <w:sz w:val="24"/>
          <w:szCs w:val="24"/>
        </w:rPr>
        <w:t>为做好滑县改善农村人居环境工作，加快农村垃圾治理步伐，推进城乡环卫一体化进程，提高城乡环卫质量, 根据河南省人民政府办公厅《关于全面推进农村垃圾治理的实施意见》和滑县《关于改善农村人居环境五年行动计划(2016-2020年)》精神，以改善农村环境、造福农民群众为出发点,以治理农村生活垃圾污染为工作重点，以改善农村生态环境为目的，以建立农村垃圾收集处理长效运转机制为核心，坚持政府主导、群众参与,加大财政投入，强化市场运作,建立健全统筹城乡环境治理一体化的体制机制，推进全县城乡环卫工作市场运作，扎实开展滑县农村垃圾收集处理体系建设工作，实现农村生活垃圾减量化、资源化、无害化处理,彻底改变农村脏、乱、差现象，打造整洁、优美、文明、和谐的农村人居环境，让农村环境更整洁，村庄更宜居，生活更美好。</w:t>
      </w:r>
    </w:p>
    <w:p w14:paraId="5AE0D008">
      <w:pPr>
        <w:numPr>
          <w:ilvl w:val="0"/>
          <w:numId w:val="5"/>
        </w:numPr>
        <w:spacing w:line="360" w:lineRule="auto"/>
        <w:ind w:firstLine="480" w:firstLineChars="200"/>
        <w:rPr>
          <w:rFonts w:ascii="宋体" w:hAnsi="宋体" w:cs="宋体"/>
          <w:sz w:val="24"/>
          <w:szCs w:val="24"/>
        </w:rPr>
      </w:pPr>
      <w:r>
        <w:rPr>
          <w:rFonts w:hint="eastAsia" w:ascii="宋体" w:hAnsi="宋体" w:cs="宋体"/>
          <w:sz w:val="24"/>
          <w:szCs w:val="24"/>
        </w:rPr>
        <w:t>预算资金来源及使用情况</w:t>
      </w:r>
    </w:p>
    <w:p w14:paraId="6471F0F9">
      <w:pPr>
        <w:spacing w:line="360" w:lineRule="auto"/>
        <w:ind w:firstLine="480"/>
        <w:rPr>
          <w:rFonts w:ascii="宋体" w:hAnsi="宋体" w:cs="宋体"/>
          <w:sz w:val="24"/>
          <w:szCs w:val="24"/>
        </w:rPr>
      </w:pPr>
      <w:r>
        <w:rPr>
          <w:rFonts w:hint="eastAsia" w:ascii="宋体" w:hAnsi="宋体" w:cs="宋体"/>
          <w:sz w:val="24"/>
          <w:szCs w:val="24"/>
        </w:rPr>
        <w:t>该项目费用来源实行县、乡镇逐级分担制：一是财政投入。县财政承担70%，乡镇财政承担30%。二是社会集资。根据豫政办（2016）205号《关于全面推进农村生活垃圾治理的实施意见》文件精神，按照生活垃圾“谁污染，谁治理”的原则，按人口数量向农村居民征收生活垃圾处置费用，由村民理事会收取。</w:t>
      </w:r>
    </w:p>
    <w:p w14:paraId="1E96202F">
      <w:pPr>
        <w:spacing w:line="360" w:lineRule="auto"/>
        <w:ind w:firstLine="480"/>
        <w:rPr>
          <w:rFonts w:ascii="宋体" w:hAnsi="宋体" w:cs="宋体"/>
          <w:sz w:val="24"/>
          <w:szCs w:val="24"/>
        </w:rPr>
      </w:pPr>
      <w:r>
        <w:rPr>
          <w:rFonts w:hint="eastAsia" w:ascii="宋体" w:hAnsi="宋体" w:cs="宋体"/>
          <w:sz w:val="24"/>
          <w:szCs w:val="24"/>
        </w:rPr>
        <w:t>该项目试运营期间服务费预算为5430万元/年，每三个月结算一次，试运营期间为2017年11月1日至2018年12月31日，共拨付服务费5998.5万元。正式运营期间服务费为5997万元/年，至2019年8月，共拨付服务费3491.598万元。</w:t>
      </w:r>
    </w:p>
    <w:p w14:paraId="339BB506">
      <w:pPr>
        <w:numPr>
          <w:ilvl w:val="0"/>
          <w:numId w:val="5"/>
        </w:numPr>
        <w:spacing w:line="360" w:lineRule="auto"/>
        <w:ind w:firstLine="480" w:firstLineChars="200"/>
        <w:rPr>
          <w:rFonts w:ascii="宋体" w:hAnsi="宋体" w:cs="宋体"/>
          <w:sz w:val="24"/>
          <w:szCs w:val="24"/>
        </w:rPr>
      </w:pPr>
      <w:r>
        <w:rPr>
          <w:rFonts w:hint="eastAsia" w:ascii="宋体" w:hAnsi="宋体" w:cs="宋体"/>
          <w:sz w:val="24"/>
          <w:szCs w:val="24"/>
        </w:rPr>
        <w:t>组织及管理</w:t>
      </w:r>
    </w:p>
    <w:p w14:paraId="0FA954E2">
      <w:pPr>
        <w:spacing w:line="360" w:lineRule="auto"/>
        <w:ind w:firstLine="480" w:firstLineChars="200"/>
        <w:rPr>
          <w:rFonts w:ascii="宋体" w:hAnsi="宋体" w:cs="宋体"/>
          <w:sz w:val="24"/>
          <w:szCs w:val="24"/>
        </w:rPr>
      </w:pPr>
      <w:r>
        <w:rPr>
          <w:rFonts w:hint="eastAsia" w:ascii="宋体" w:hAnsi="宋体" w:cs="宋体"/>
          <w:sz w:val="24"/>
          <w:szCs w:val="24"/>
        </w:rPr>
        <w:t>该项目滑县城市管理局（以下简称城管局）作为实施单位，负责项目实施方案的制定、项目招投标和经费的管理、使用、监督等具体工作。</w:t>
      </w:r>
    </w:p>
    <w:p w14:paraId="0ACB845F">
      <w:pPr>
        <w:numPr>
          <w:ilvl w:val="0"/>
          <w:numId w:val="5"/>
        </w:numPr>
        <w:spacing w:line="360" w:lineRule="auto"/>
        <w:ind w:firstLine="480" w:firstLineChars="200"/>
        <w:rPr>
          <w:rFonts w:ascii="宋体" w:hAnsi="宋体" w:cs="宋体"/>
          <w:sz w:val="24"/>
          <w:szCs w:val="24"/>
        </w:rPr>
      </w:pPr>
      <w:r>
        <w:rPr>
          <w:rFonts w:hint="eastAsia" w:ascii="宋体" w:hAnsi="宋体" w:cs="宋体"/>
          <w:sz w:val="24"/>
          <w:szCs w:val="24"/>
        </w:rPr>
        <w:t>项目实施内容及完成情况</w:t>
      </w:r>
    </w:p>
    <w:p w14:paraId="7C94FC31">
      <w:pPr>
        <w:spacing w:line="360" w:lineRule="auto"/>
        <w:ind w:firstLine="480"/>
        <w:rPr>
          <w:rFonts w:ascii="宋体" w:hAnsi="宋体" w:cs="宋体"/>
          <w:sz w:val="24"/>
          <w:szCs w:val="24"/>
        </w:rPr>
      </w:pPr>
      <w:r>
        <w:rPr>
          <w:rFonts w:hint="eastAsia" w:ascii="宋体" w:hAnsi="宋体" w:cs="宋体"/>
          <w:sz w:val="24"/>
          <w:szCs w:val="24"/>
        </w:rPr>
        <w:t>该项目于2017年11月1日启动试运行，由河南城发桑德环保发展有限公司为试运营服务单位。2019年1月与城发环保能源（滑县）有限公司（联合体牵头人）签订合同，由城发环保能源（滑县）有限公司运营。根据项目招标文件和签订合同内容要求，具体情况如下：</w:t>
      </w:r>
    </w:p>
    <w:p w14:paraId="7D716BCC">
      <w:pPr>
        <w:spacing w:line="360" w:lineRule="auto"/>
        <w:ind w:firstLine="480"/>
        <w:rPr>
          <w:rFonts w:ascii="宋体" w:hAnsi="宋体" w:cs="宋体"/>
          <w:sz w:val="24"/>
          <w:szCs w:val="24"/>
        </w:rPr>
      </w:pPr>
      <w:r>
        <w:rPr>
          <w:rFonts w:hint="eastAsia" w:ascii="宋体" w:hAnsi="宋体" w:cs="宋体"/>
          <w:sz w:val="24"/>
          <w:szCs w:val="24"/>
        </w:rPr>
        <w:t>实施内容：城发环保能源（滑县）有限公司对滑县21个乡镇生活垃圾清运和滑县境内除县城规划区（东环路以西、北环路以南、长虹大道以北、西环路以东）现有保洁面积之外的所有区域（含集镇所在地）的镇区、村镇连接道路和村庄、沟渠水面等生活垃圾的清扫保洁、收集和运输以及环卫设施的维护（不含各乡镇机关、学校、团体、企事业单位、物业小区内的清扫保洁、垃圾运输）。</w:t>
      </w:r>
    </w:p>
    <w:p w14:paraId="740BDD66">
      <w:pPr>
        <w:spacing w:line="360" w:lineRule="auto"/>
        <w:ind w:firstLine="480"/>
        <w:rPr>
          <w:rFonts w:ascii="宋体" w:hAnsi="宋体" w:cs="宋体"/>
          <w:sz w:val="24"/>
          <w:szCs w:val="24"/>
        </w:rPr>
      </w:pPr>
      <w:r>
        <w:rPr>
          <w:rFonts w:hint="eastAsia" w:ascii="宋体" w:hAnsi="宋体" w:cs="宋体"/>
          <w:sz w:val="24"/>
          <w:szCs w:val="24"/>
        </w:rPr>
        <w:t>完成情况：截止2019年8月，城发环保能源（滑县）有限公司安排保洁人员对约定区域内的道路、村庄、沟渠水面等进行了清扫保洁及垃圾收集、压缩中转和运送至垃圾处理场处理等工作。城管局按照市场化运作考评细则要求，每月对其工作完成情况进行考核并评分，2019年1-8月考核得分情况见下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723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D381CB7">
            <w:pPr>
              <w:spacing w:line="360" w:lineRule="auto"/>
              <w:rPr>
                <w:rFonts w:ascii="宋体" w:hAnsi="宋体" w:cs="宋体"/>
                <w:sz w:val="24"/>
                <w:szCs w:val="24"/>
              </w:rPr>
            </w:pPr>
            <w:r>
              <w:rPr>
                <w:rFonts w:hint="eastAsia" w:ascii="宋体" w:hAnsi="宋体" w:cs="宋体"/>
                <w:sz w:val="24"/>
                <w:szCs w:val="24"/>
              </w:rPr>
              <w:t>月份</w:t>
            </w:r>
          </w:p>
        </w:tc>
        <w:tc>
          <w:tcPr>
            <w:tcW w:w="947" w:type="dxa"/>
            <w:vAlign w:val="top"/>
          </w:tcPr>
          <w:p w14:paraId="434082D8">
            <w:pPr>
              <w:spacing w:line="360" w:lineRule="auto"/>
              <w:ind w:firstLine="240" w:firstLineChars="100"/>
              <w:rPr>
                <w:rFonts w:ascii="宋体" w:hAnsi="宋体" w:cs="宋体"/>
                <w:sz w:val="24"/>
                <w:szCs w:val="24"/>
              </w:rPr>
            </w:pPr>
            <w:r>
              <w:rPr>
                <w:rFonts w:hint="eastAsia" w:ascii="宋体" w:hAnsi="宋体" w:cs="宋体"/>
                <w:sz w:val="24"/>
                <w:szCs w:val="24"/>
              </w:rPr>
              <w:t>1</w:t>
            </w:r>
          </w:p>
        </w:tc>
        <w:tc>
          <w:tcPr>
            <w:tcW w:w="947" w:type="dxa"/>
            <w:vAlign w:val="top"/>
          </w:tcPr>
          <w:p w14:paraId="4DCC8233">
            <w:pPr>
              <w:spacing w:line="360" w:lineRule="auto"/>
              <w:ind w:firstLine="240" w:firstLineChars="100"/>
              <w:rPr>
                <w:rFonts w:ascii="宋体" w:hAnsi="宋体" w:cs="宋体"/>
                <w:sz w:val="24"/>
                <w:szCs w:val="24"/>
              </w:rPr>
            </w:pPr>
            <w:r>
              <w:rPr>
                <w:rFonts w:hint="eastAsia" w:ascii="宋体" w:hAnsi="宋体" w:cs="宋体"/>
                <w:sz w:val="24"/>
                <w:szCs w:val="24"/>
              </w:rPr>
              <w:t>2</w:t>
            </w:r>
          </w:p>
        </w:tc>
        <w:tc>
          <w:tcPr>
            <w:tcW w:w="947" w:type="dxa"/>
            <w:vAlign w:val="top"/>
          </w:tcPr>
          <w:p w14:paraId="1BDD7802">
            <w:pPr>
              <w:spacing w:line="360" w:lineRule="auto"/>
              <w:ind w:firstLine="240" w:firstLineChars="100"/>
              <w:rPr>
                <w:rFonts w:ascii="宋体" w:hAnsi="宋体" w:cs="宋体"/>
                <w:sz w:val="24"/>
                <w:szCs w:val="24"/>
              </w:rPr>
            </w:pPr>
            <w:r>
              <w:rPr>
                <w:rFonts w:hint="eastAsia" w:ascii="宋体" w:hAnsi="宋体" w:cs="宋体"/>
                <w:sz w:val="24"/>
                <w:szCs w:val="24"/>
              </w:rPr>
              <w:t>3</w:t>
            </w:r>
          </w:p>
        </w:tc>
        <w:tc>
          <w:tcPr>
            <w:tcW w:w="947" w:type="dxa"/>
            <w:vAlign w:val="top"/>
          </w:tcPr>
          <w:p w14:paraId="7979C6E1">
            <w:pPr>
              <w:spacing w:line="360" w:lineRule="auto"/>
              <w:ind w:firstLine="240" w:firstLineChars="100"/>
              <w:rPr>
                <w:rFonts w:ascii="宋体" w:hAnsi="宋体" w:cs="宋体"/>
                <w:sz w:val="24"/>
                <w:szCs w:val="24"/>
              </w:rPr>
            </w:pPr>
            <w:r>
              <w:rPr>
                <w:rFonts w:hint="eastAsia" w:ascii="宋体" w:hAnsi="宋体" w:cs="宋体"/>
                <w:sz w:val="24"/>
                <w:szCs w:val="24"/>
              </w:rPr>
              <w:t>4</w:t>
            </w:r>
          </w:p>
        </w:tc>
        <w:tc>
          <w:tcPr>
            <w:tcW w:w="947" w:type="dxa"/>
            <w:vAlign w:val="top"/>
          </w:tcPr>
          <w:p w14:paraId="6A00BD1C">
            <w:pPr>
              <w:spacing w:line="360" w:lineRule="auto"/>
              <w:ind w:firstLine="240" w:firstLineChars="100"/>
              <w:rPr>
                <w:rFonts w:ascii="宋体" w:hAnsi="宋体" w:cs="宋体"/>
                <w:sz w:val="24"/>
                <w:szCs w:val="24"/>
              </w:rPr>
            </w:pPr>
            <w:r>
              <w:rPr>
                <w:rFonts w:hint="eastAsia" w:ascii="宋体" w:hAnsi="宋体" w:cs="宋体"/>
                <w:sz w:val="24"/>
                <w:szCs w:val="24"/>
              </w:rPr>
              <w:t>5</w:t>
            </w:r>
          </w:p>
        </w:tc>
        <w:tc>
          <w:tcPr>
            <w:tcW w:w="947" w:type="dxa"/>
            <w:vAlign w:val="top"/>
          </w:tcPr>
          <w:p w14:paraId="4CB35B27">
            <w:pPr>
              <w:spacing w:line="360" w:lineRule="auto"/>
              <w:ind w:firstLine="240" w:firstLineChars="100"/>
              <w:rPr>
                <w:rFonts w:ascii="宋体" w:hAnsi="宋体" w:cs="宋体"/>
                <w:sz w:val="24"/>
                <w:szCs w:val="24"/>
              </w:rPr>
            </w:pPr>
            <w:r>
              <w:rPr>
                <w:rFonts w:hint="eastAsia" w:ascii="宋体" w:hAnsi="宋体" w:cs="宋体"/>
                <w:sz w:val="24"/>
                <w:szCs w:val="24"/>
              </w:rPr>
              <w:t>6</w:t>
            </w:r>
          </w:p>
        </w:tc>
        <w:tc>
          <w:tcPr>
            <w:tcW w:w="947" w:type="dxa"/>
            <w:vAlign w:val="top"/>
          </w:tcPr>
          <w:p w14:paraId="3B33AB24">
            <w:pPr>
              <w:spacing w:line="360" w:lineRule="auto"/>
              <w:ind w:firstLine="240" w:firstLineChars="100"/>
              <w:rPr>
                <w:rFonts w:ascii="宋体" w:hAnsi="宋体" w:cs="宋体"/>
                <w:sz w:val="24"/>
                <w:szCs w:val="24"/>
              </w:rPr>
            </w:pPr>
            <w:r>
              <w:rPr>
                <w:rFonts w:hint="eastAsia" w:ascii="宋体" w:hAnsi="宋体" w:cs="宋体"/>
                <w:sz w:val="24"/>
                <w:szCs w:val="24"/>
              </w:rPr>
              <w:t>7</w:t>
            </w:r>
          </w:p>
        </w:tc>
        <w:tc>
          <w:tcPr>
            <w:tcW w:w="947" w:type="dxa"/>
            <w:vAlign w:val="top"/>
          </w:tcPr>
          <w:p w14:paraId="0A8F3C7E">
            <w:pPr>
              <w:spacing w:line="360" w:lineRule="auto"/>
              <w:ind w:firstLine="240" w:firstLineChars="100"/>
              <w:rPr>
                <w:rFonts w:ascii="宋体" w:hAnsi="宋体" w:cs="宋体"/>
                <w:sz w:val="24"/>
                <w:szCs w:val="24"/>
              </w:rPr>
            </w:pPr>
            <w:r>
              <w:rPr>
                <w:rFonts w:hint="eastAsia" w:ascii="宋体" w:hAnsi="宋体" w:cs="宋体"/>
                <w:sz w:val="24"/>
                <w:szCs w:val="24"/>
              </w:rPr>
              <w:t>8</w:t>
            </w:r>
          </w:p>
        </w:tc>
      </w:tr>
      <w:tr w14:paraId="610D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5ACE0BD8">
            <w:pPr>
              <w:spacing w:line="360" w:lineRule="auto"/>
              <w:rPr>
                <w:rFonts w:ascii="宋体" w:hAnsi="宋体" w:cs="宋体"/>
                <w:sz w:val="24"/>
                <w:szCs w:val="24"/>
              </w:rPr>
            </w:pPr>
            <w:r>
              <w:rPr>
                <w:rFonts w:hint="eastAsia" w:ascii="宋体" w:hAnsi="宋体" w:cs="宋体"/>
                <w:sz w:val="24"/>
                <w:szCs w:val="24"/>
              </w:rPr>
              <w:t>分数</w:t>
            </w:r>
          </w:p>
        </w:tc>
        <w:tc>
          <w:tcPr>
            <w:tcW w:w="947" w:type="dxa"/>
            <w:vAlign w:val="top"/>
          </w:tcPr>
          <w:p w14:paraId="32CAD88B">
            <w:pPr>
              <w:spacing w:line="360" w:lineRule="auto"/>
              <w:rPr>
                <w:rFonts w:ascii="宋体" w:hAnsi="宋体" w:cs="宋体"/>
                <w:sz w:val="24"/>
                <w:szCs w:val="24"/>
              </w:rPr>
            </w:pPr>
            <w:r>
              <w:rPr>
                <w:rFonts w:hint="eastAsia" w:ascii="宋体" w:hAnsi="宋体" w:cs="宋体"/>
                <w:sz w:val="24"/>
                <w:szCs w:val="24"/>
              </w:rPr>
              <w:t>79.33</w:t>
            </w:r>
          </w:p>
        </w:tc>
        <w:tc>
          <w:tcPr>
            <w:tcW w:w="947" w:type="dxa"/>
            <w:vAlign w:val="top"/>
          </w:tcPr>
          <w:p w14:paraId="63C8F870">
            <w:pPr>
              <w:spacing w:line="360" w:lineRule="auto"/>
              <w:rPr>
                <w:rFonts w:ascii="宋体" w:hAnsi="宋体" w:cs="宋体"/>
                <w:sz w:val="24"/>
                <w:szCs w:val="24"/>
              </w:rPr>
            </w:pPr>
            <w:r>
              <w:rPr>
                <w:rFonts w:hint="eastAsia" w:ascii="宋体" w:hAnsi="宋体" w:cs="宋体"/>
                <w:sz w:val="24"/>
                <w:szCs w:val="24"/>
              </w:rPr>
              <w:t>73.18</w:t>
            </w:r>
          </w:p>
        </w:tc>
        <w:tc>
          <w:tcPr>
            <w:tcW w:w="947" w:type="dxa"/>
            <w:vAlign w:val="top"/>
          </w:tcPr>
          <w:p w14:paraId="53CBD260">
            <w:pPr>
              <w:spacing w:line="360" w:lineRule="auto"/>
              <w:rPr>
                <w:rFonts w:ascii="宋体" w:hAnsi="宋体" w:cs="宋体"/>
                <w:sz w:val="24"/>
                <w:szCs w:val="24"/>
              </w:rPr>
            </w:pPr>
            <w:r>
              <w:rPr>
                <w:rFonts w:hint="eastAsia" w:ascii="宋体" w:hAnsi="宋体" w:cs="宋体"/>
                <w:sz w:val="24"/>
                <w:szCs w:val="24"/>
              </w:rPr>
              <w:t>80.67</w:t>
            </w:r>
          </w:p>
        </w:tc>
        <w:tc>
          <w:tcPr>
            <w:tcW w:w="947" w:type="dxa"/>
            <w:vAlign w:val="top"/>
          </w:tcPr>
          <w:p w14:paraId="58653C23">
            <w:pPr>
              <w:spacing w:line="360" w:lineRule="auto"/>
              <w:rPr>
                <w:rFonts w:ascii="宋体" w:hAnsi="宋体" w:cs="宋体"/>
                <w:sz w:val="24"/>
                <w:szCs w:val="24"/>
              </w:rPr>
            </w:pPr>
            <w:r>
              <w:rPr>
                <w:rFonts w:hint="eastAsia" w:ascii="宋体" w:hAnsi="宋体" w:cs="宋体"/>
                <w:sz w:val="24"/>
                <w:szCs w:val="24"/>
              </w:rPr>
              <w:t>81.55</w:t>
            </w:r>
          </w:p>
        </w:tc>
        <w:tc>
          <w:tcPr>
            <w:tcW w:w="947" w:type="dxa"/>
            <w:vAlign w:val="top"/>
          </w:tcPr>
          <w:p w14:paraId="2D496FBA">
            <w:pPr>
              <w:spacing w:line="360" w:lineRule="auto"/>
              <w:rPr>
                <w:rFonts w:ascii="宋体" w:hAnsi="宋体" w:cs="宋体"/>
                <w:sz w:val="24"/>
                <w:szCs w:val="24"/>
              </w:rPr>
            </w:pPr>
            <w:r>
              <w:rPr>
                <w:rFonts w:hint="eastAsia" w:ascii="宋体" w:hAnsi="宋体" w:cs="宋体"/>
                <w:sz w:val="24"/>
                <w:szCs w:val="24"/>
              </w:rPr>
              <w:t>81.71</w:t>
            </w:r>
          </w:p>
        </w:tc>
        <w:tc>
          <w:tcPr>
            <w:tcW w:w="947" w:type="dxa"/>
            <w:vAlign w:val="top"/>
          </w:tcPr>
          <w:p w14:paraId="071E2B91">
            <w:pPr>
              <w:spacing w:line="360" w:lineRule="auto"/>
              <w:rPr>
                <w:rFonts w:ascii="宋体" w:hAnsi="宋体" w:cs="宋体"/>
                <w:sz w:val="24"/>
                <w:szCs w:val="24"/>
              </w:rPr>
            </w:pPr>
            <w:r>
              <w:rPr>
                <w:rFonts w:hint="eastAsia" w:ascii="宋体" w:hAnsi="宋体" w:cs="宋体"/>
                <w:sz w:val="24"/>
                <w:szCs w:val="24"/>
              </w:rPr>
              <w:t>77.34</w:t>
            </w:r>
          </w:p>
        </w:tc>
        <w:tc>
          <w:tcPr>
            <w:tcW w:w="947" w:type="dxa"/>
            <w:vAlign w:val="top"/>
          </w:tcPr>
          <w:p w14:paraId="4FFCD1AD">
            <w:pPr>
              <w:spacing w:line="360" w:lineRule="auto"/>
              <w:rPr>
                <w:rFonts w:ascii="宋体" w:hAnsi="宋体" w:cs="宋体"/>
                <w:sz w:val="24"/>
                <w:szCs w:val="24"/>
              </w:rPr>
            </w:pPr>
            <w:r>
              <w:rPr>
                <w:rFonts w:hint="eastAsia" w:ascii="宋体" w:hAnsi="宋体" w:cs="宋体"/>
                <w:sz w:val="24"/>
                <w:szCs w:val="24"/>
              </w:rPr>
              <w:t>75.96</w:t>
            </w:r>
          </w:p>
        </w:tc>
        <w:tc>
          <w:tcPr>
            <w:tcW w:w="947" w:type="dxa"/>
            <w:vAlign w:val="top"/>
          </w:tcPr>
          <w:p w14:paraId="6BA77554">
            <w:pPr>
              <w:spacing w:line="360" w:lineRule="auto"/>
              <w:rPr>
                <w:rFonts w:ascii="宋体" w:hAnsi="宋体" w:cs="宋体"/>
                <w:sz w:val="24"/>
                <w:szCs w:val="24"/>
              </w:rPr>
            </w:pPr>
            <w:r>
              <w:rPr>
                <w:rFonts w:hint="eastAsia" w:ascii="宋体" w:hAnsi="宋体" w:cs="宋体"/>
                <w:sz w:val="24"/>
                <w:szCs w:val="24"/>
              </w:rPr>
              <w:t>82.34</w:t>
            </w:r>
          </w:p>
        </w:tc>
      </w:tr>
    </w:tbl>
    <w:p w14:paraId="22B29AD5">
      <w:pPr>
        <w:numPr>
          <w:ilvl w:val="0"/>
          <w:numId w:val="6"/>
        </w:numPr>
        <w:spacing w:line="360" w:lineRule="auto"/>
        <w:rPr>
          <w:rFonts w:ascii="宋体" w:hAnsi="宋体" w:cs="宋体"/>
          <w:sz w:val="24"/>
          <w:szCs w:val="24"/>
        </w:rPr>
      </w:pPr>
      <w:r>
        <w:rPr>
          <w:rFonts w:hint="eastAsia" w:ascii="宋体" w:hAnsi="宋体" w:cs="宋体"/>
          <w:sz w:val="24"/>
          <w:szCs w:val="24"/>
        </w:rPr>
        <w:t>绩效目标</w:t>
      </w:r>
    </w:p>
    <w:p w14:paraId="6E9A42E3">
      <w:pPr>
        <w:numPr>
          <w:ilvl w:val="0"/>
          <w:numId w:val="7"/>
        </w:numPr>
        <w:spacing w:line="360" w:lineRule="auto"/>
        <w:rPr>
          <w:rFonts w:ascii="宋体" w:hAnsi="宋体" w:cs="宋体"/>
          <w:sz w:val="24"/>
          <w:szCs w:val="24"/>
        </w:rPr>
      </w:pPr>
      <w:r>
        <w:rPr>
          <w:rFonts w:hint="eastAsia" w:ascii="宋体" w:hAnsi="宋体" w:cs="宋体"/>
          <w:sz w:val="24"/>
          <w:szCs w:val="24"/>
        </w:rPr>
        <w:t>项目总体绩效目标</w:t>
      </w:r>
    </w:p>
    <w:p w14:paraId="729568FF">
      <w:pPr>
        <w:spacing w:line="360" w:lineRule="auto"/>
        <w:ind w:firstLine="480" w:firstLineChars="200"/>
        <w:rPr>
          <w:rFonts w:ascii="宋体" w:hAnsi="宋体" w:cs="宋体"/>
          <w:sz w:val="24"/>
          <w:szCs w:val="24"/>
        </w:rPr>
      </w:pPr>
      <w:r>
        <w:rPr>
          <w:rFonts w:hint="eastAsia" w:ascii="宋体" w:hAnsi="宋体" w:cs="宋体"/>
          <w:sz w:val="24"/>
          <w:szCs w:val="24"/>
        </w:rPr>
        <w:t>该项目总绩效目标为：2017年6月底前，乡镇、行政村（社区）建设或者配齐生活垃圾收集转运设施和设备，建立环卫队伍，完善“户分类、村收集、公司运作、县处理”的城乡生活垃圾收运处理体系，全面完成小型堆放点的农村陈年垃圾清理任务；全县所有乡镇建设垃圾中转站，建立健全农村环境卫生管理长效机制。2017年年底前，达到农村生活垃圾治理标准并通过省级验收，基本实现城乡环卫一体化；全县城乡生活垃圾治理形成制度，城乡环卫工作市场化运作机制全面形成。2020年年底前，全县90%以上的村庄生活垃圾得到有效治理，全面通过达标验收。</w:t>
      </w:r>
    </w:p>
    <w:p w14:paraId="008D1CD3">
      <w:pPr>
        <w:numPr>
          <w:ilvl w:val="0"/>
          <w:numId w:val="7"/>
        </w:numPr>
        <w:spacing w:line="360" w:lineRule="auto"/>
        <w:rPr>
          <w:rFonts w:ascii="宋体" w:hAnsi="宋体" w:cs="宋体"/>
          <w:sz w:val="24"/>
          <w:szCs w:val="24"/>
        </w:rPr>
      </w:pPr>
      <w:r>
        <w:rPr>
          <w:rFonts w:hint="eastAsia" w:ascii="宋体" w:hAnsi="宋体" w:cs="宋体"/>
          <w:sz w:val="24"/>
          <w:szCs w:val="24"/>
        </w:rPr>
        <w:t>项目具体绩效指标</w:t>
      </w:r>
    </w:p>
    <w:p w14:paraId="645E0738">
      <w:pPr>
        <w:spacing w:line="360" w:lineRule="auto"/>
        <w:rPr>
          <w:rFonts w:ascii="宋体" w:hAnsi="宋体" w:cs="宋体"/>
          <w:sz w:val="24"/>
          <w:szCs w:val="24"/>
        </w:rPr>
      </w:pPr>
      <w:r>
        <w:rPr>
          <w:rFonts w:hint="eastAsia" w:ascii="宋体" w:hAnsi="宋体" w:cs="宋体"/>
          <w:sz w:val="24"/>
          <w:szCs w:val="24"/>
        </w:rPr>
        <w:t xml:space="preserve">    根据项目基础情况表，该项目未设置具体的年度绩效指标，在项目产出方面，未能根据项目内容进行细化，在项目效果方面，未能有效反映项目预期的社会效益和环境效益等，总体上不能体现项目的绩效情况。评价小组结合项目特点，对项目年度绩效目标进行了进一步的完善，建议设置年度绩效目标如下：</w:t>
      </w:r>
    </w:p>
    <w:p w14:paraId="76E96937">
      <w:pPr>
        <w:spacing w:line="360" w:lineRule="auto"/>
        <w:ind w:firstLine="480"/>
        <w:rPr>
          <w:rFonts w:ascii="宋体" w:hAnsi="宋体" w:cs="宋体"/>
          <w:sz w:val="24"/>
          <w:szCs w:val="24"/>
        </w:rPr>
      </w:pPr>
      <w:r>
        <w:rPr>
          <w:rFonts w:hint="eastAsia" w:ascii="宋体" w:hAnsi="宋体" w:cs="宋体"/>
          <w:sz w:val="24"/>
          <w:szCs w:val="24"/>
        </w:rPr>
        <w:t>产出数量指标：县域内21个乡镇所辖的镇区街道、991个行政村的道路保洁及垃圾收集、压缩、中转和运送至垃圾处理场处理等。</w:t>
      </w:r>
    </w:p>
    <w:p w14:paraId="50034845">
      <w:pPr>
        <w:spacing w:line="360" w:lineRule="auto"/>
        <w:ind w:firstLine="480"/>
        <w:rPr>
          <w:rFonts w:ascii="宋体" w:hAnsi="宋体" w:cs="宋体"/>
          <w:sz w:val="24"/>
          <w:szCs w:val="24"/>
        </w:rPr>
      </w:pPr>
      <w:r>
        <w:rPr>
          <w:rFonts w:hint="eastAsia" w:ascii="宋体" w:hAnsi="宋体" w:cs="宋体"/>
          <w:sz w:val="24"/>
          <w:szCs w:val="24"/>
        </w:rPr>
        <w:t>产出质量指标：乡镇道路清扫保洁做到“六无六净</w:t>
      </w:r>
      <w:r>
        <w:rPr>
          <w:rFonts w:ascii="宋体" w:hAnsi="宋体" w:cs="宋体"/>
          <w:sz w:val="24"/>
          <w:szCs w:val="24"/>
        </w:rPr>
        <w:t>”</w:t>
      </w:r>
      <w:r>
        <w:rPr>
          <w:rFonts w:hint="eastAsia" w:ascii="宋体" w:hAnsi="宋体" w:cs="宋体"/>
          <w:sz w:val="24"/>
          <w:szCs w:val="24"/>
        </w:rPr>
        <w:t>,村庄清扫保洁应达到“五无五净”，定时洗扫和酒水降尘，原则上路面无尘土飞扬。</w:t>
      </w:r>
    </w:p>
    <w:p w14:paraId="17D3BCD4">
      <w:pPr>
        <w:spacing w:line="360" w:lineRule="auto"/>
        <w:ind w:firstLine="480"/>
        <w:rPr>
          <w:rFonts w:ascii="宋体" w:hAnsi="宋体" w:cs="宋体"/>
          <w:sz w:val="24"/>
          <w:szCs w:val="24"/>
        </w:rPr>
      </w:pPr>
      <w:r>
        <w:rPr>
          <w:rFonts w:hint="eastAsia" w:ascii="宋体" w:hAnsi="宋体" w:cs="宋体"/>
          <w:sz w:val="24"/>
          <w:szCs w:val="24"/>
        </w:rPr>
        <w:t>产出进度指标：按照合同约定，保洁清扫每天要做到“一扫”和“一收集”，垃圾收集转运要做到日产日清。</w:t>
      </w:r>
    </w:p>
    <w:p w14:paraId="42BA7732">
      <w:pPr>
        <w:spacing w:line="360" w:lineRule="auto"/>
        <w:ind w:firstLine="480"/>
        <w:rPr>
          <w:rFonts w:ascii="宋体" w:hAnsi="宋体" w:cs="宋体"/>
          <w:sz w:val="24"/>
          <w:szCs w:val="24"/>
        </w:rPr>
      </w:pPr>
      <w:r>
        <w:rPr>
          <w:rFonts w:hint="eastAsia" w:ascii="宋体" w:hAnsi="宋体" w:cs="宋体"/>
          <w:sz w:val="24"/>
          <w:szCs w:val="24"/>
        </w:rPr>
        <w:t>效果指标：实现农村生活垃圾减量化、资源化、无害化处理，让农村环境更整洁，村庄更宜居，生活更美好。</w:t>
      </w:r>
    </w:p>
    <w:p w14:paraId="4AC85ECC">
      <w:pPr>
        <w:spacing w:line="360" w:lineRule="auto"/>
        <w:ind w:firstLine="480"/>
        <w:rPr>
          <w:rFonts w:ascii="宋体" w:hAnsi="宋体" w:cs="宋体"/>
          <w:sz w:val="24"/>
          <w:szCs w:val="24"/>
        </w:rPr>
      </w:pPr>
      <w:r>
        <w:rPr>
          <w:rFonts w:hint="eastAsia" w:ascii="宋体" w:hAnsi="宋体" w:cs="宋体"/>
          <w:sz w:val="24"/>
          <w:szCs w:val="24"/>
        </w:rPr>
        <w:t>可持续影响指标：建立农村生活垃圾收集处理长效运转体系和农村环境卫生管理长效机制。</w:t>
      </w:r>
    </w:p>
    <w:p w14:paraId="72DEDB75">
      <w:pPr>
        <w:numPr>
          <w:ilvl w:val="0"/>
          <w:numId w:val="8"/>
        </w:numPr>
        <w:spacing w:line="360" w:lineRule="auto"/>
        <w:ind w:firstLine="480"/>
        <w:rPr>
          <w:rFonts w:ascii="宋体" w:hAnsi="宋体" w:cs="宋体"/>
          <w:b/>
          <w:bCs/>
          <w:sz w:val="24"/>
          <w:szCs w:val="24"/>
        </w:rPr>
      </w:pPr>
      <w:r>
        <w:rPr>
          <w:rFonts w:hint="eastAsia" w:ascii="宋体" w:hAnsi="宋体" w:cs="宋体"/>
          <w:b/>
          <w:bCs/>
          <w:sz w:val="24"/>
          <w:szCs w:val="24"/>
        </w:rPr>
        <w:t>绩效评价分析</w:t>
      </w:r>
    </w:p>
    <w:p w14:paraId="004C7DAD">
      <w:pPr>
        <w:numPr>
          <w:ilvl w:val="0"/>
          <w:numId w:val="9"/>
        </w:numPr>
        <w:spacing w:line="360" w:lineRule="auto"/>
        <w:rPr>
          <w:rFonts w:ascii="宋体" w:hAnsi="宋体" w:cs="宋体"/>
          <w:sz w:val="24"/>
          <w:szCs w:val="24"/>
        </w:rPr>
      </w:pPr>
      <w:r>
        <w:rPr>
          <w:rFonts w:hint="eastAsia" w:ascii="宋体" w:hAnsi="宋体" w:cs="宋体"/>
          <w:sz w:val="24"/>
          <w:szCs w:val="24"/>
        </w:rPr>
        <w:t>项目绩效目标评价分析</w:t>
      </w:r>
    </w:p>
    <w:p w14:paraId="36E21F82">
      <w:pPr>
        <w:numPr>
          <w:ilvl w:val="0"/>
          <w:numId w:val="10"/>
        </w:numPr>
        <w:spacing w:line="360" w:lineRule="auto"/>
        <w:rPr>
          <w:rFonts w:ascii="宋体" w:hAnsi="宋体" w:cs="宋体"/>
          <w:sz w:val="24"/>
          <w:szCs w:val="24"/>
        </w:rPr>
      </w:pPr>
      <w:r>
        <w:rPr>
          <w:rFonts w:hint="eastAsia" w:ascii="宋体" w:hAnsi="宋体" w:cs="宋体"/>
          <w:sz w:val="24"/>
          <w:szCs w:val="24"/>
        </w:rPr>
        <w:t>目标明确性分析</w:t>
      </w:r>
    </w:p>
    <w:p w14:paraId="1387E568">
      <w:pPr>
        <w:spacing w:line="360" w:lineRule="auto"/>
        <w:ind w:firstLine="480"/>
        <w:rPr>
          <w:rFonts w:ascii="宋体" w:hAnsi="宋体" w:cs="宋体"/>
          <w:sz w:val="24"/>
          <w:szCs w:val="24"/>
        </w:rPr>
      </w:pPr>
      <w:r>
        <w:rPr>
          <w:rFonts w:hint="eastAsia" w:ascii="宋体" w:hAnsi="宋体" w:cs="宋体"/>
          <w:sz w:val="24"/>
          <w:szCs w:val="24"/>
        </w:rPr>
        <w:t>该项目根据滑政办（2017）16号文件《滑县人民政府办公室关于印发滑县城乡环卫一体化工作实施方案》设定的绩效总目标，旨在通过项目实施，实现城乡环卫一体化，2020年底前，全县90%以上村庄生活垃圾得到有效治理，全面通过国家达标验收。</w:t>
      </w:r>
    </w:p>
    <w:p w14:paraId="1555965C">
      <w:pPr>
        <w:numPr>
          <w:ilvl w:val="0"/>
          <w:numId w:val="10"/>
        </w:numPr>
        <w:spacing w:line="360" w:lineRule="auto"/>
        <w:rPr>
          <w:rFonts w:ascii="宋体" w:hAnsi="宋体" w:cs="宋体"/>
          <w:sz w:val="24"/>
          <w:szCs w:val="24"/>
        </w:rPr>
      </w:pPr>
      <w:r>
        <w:rPr>
          <w:rFonts w:hint="eastAsia" w:ascii="宋体" w:hAnsi="宋体" w:cs="宋体"/>
          <w:sz w:val="24"/>
          <w:szCs w:val="24"/>
        </w:rPr>
        <w:t>目标合理化分析</w:t>
      </w:r>
    </w:p>
    <w:p w14:paraId="447D46AB">
      <w:pPr>
        <w:spacing w:line="360" w:lineRule="auto"/>
        <w:ind w:firstLine="480"/>
        <w:rPr>
          <w:rFonts w:ascii="宋体" w:hAnsi="宋体" w:cs="宋体"/>
          <w:sz w:val="24"/>
          <w:szCs w:val="24"/>
        </w:rPr>
      </w:pPr>
      <w:r>
        <w:rPr>
          <w:rFonts w:hint="eastAsia" w:ascii="宋体" w:hAnsi="宋体" w:cs="宋体"/>
          <w:sz w:val="24"/>
          <w:szCs w:val="24"/>
        </w:rPr>
        <w:t>该项目绩效目标的设立符合河南省人民政府办公厅《关于全面推进农村垃圾治理的实施意见》和滑县《关于改善农村人居环境五年行动计划（2016-2020年）》等有关文件要求，确定了让农村环境更整洁等效益目标，绩效目标设置较合理。</w:t>
      </w:r>
    </w:p>
    <w:p w14:paraId="1966D4C1">
      <w:pPr>
        <w:numPr>
          <w:ilvl w:val="0"/>
          <w:numId w:val="10"/>
        </w:numPr>
        <w:spacing w:line="360" w:lineRule="auto"/>
        <w:rPr>
          <w:rFonts w:ascii="宋体" w:hAnsi="宋体" w:cs="宋体"/>
          <w:sz w:val="24"/>
          <w:szCs w:val="24"/>
        </w:rPr>
      </w:pPr>
      <w:r>
        <w:rPr>
          <w:rFonts w:hint="eastAsia" w:ascii="宋体" w:hAnsi="宋体" w:cs="宋体"/>
          <w:sz w:val="24"/>
          <w:szCs w:val="24"/>
        </w:rPr>
        <w:t>目标细化程度分析</w:t>
      </w:r>
    </w:p>
    <w:p w14:paraId="114CF29B">
      <w:pPr>
        <w:spacing w:line="360" w:lineRule="auto"/>
        <w:ind w:firstLine="480"/>
        <w:rPr>
          <w:rFonts w:ascii="宋体" w:hAnsi="宋体" w:cs="宋体"/>
          <w:sz w:val="24"/>
          <w:szCs w:val="24"/>
        </w:rPr>
      </w:pPr>
      <w:r>
        <w:rPr>
          <w:rFonts w:hint="eastAsia" w:ascii="宋体" w:hAnsi="宋体" w:cs="宋体"/>
          <w:sz w:val="24"/>
          <w:szCs w:val="24"/>
        </w:rPr>
        <w:t>该项目未设置具体绩效指标。</w:t>
      </w:r>
    </w:p>
    <w:p w14:paraId="650D79AC">
      <w:pPr>
        <w:spacing w:line="360" w:lineRule="auto"/>
        <w:ind w:firstLine="480"/>
        <w:rPr>
          <w:rFonts w:ascii="宋体" w:hAnsi="宋体" w:cs="宋体"/>
          <w:sz w:val="24"/>
          <w:szCs w:val="24"/>
          <w:highlight w:val="yellow"/>
        </w:rPr>
      </w:pPr>
      <w:r>
        <w:rPr>
          <w:rFonts w:hint="eastAsia" w:ascii="宋体" w:hAnsi="宋体" w:cs="宋体"/>
          <w:sz w:val="24"/>
          <w:szCs w:val="24"/>
        </w:rPr>
        <w:t>评价认为，该项目绩效总目标设置符合项目单位职能职责，但未根据绩效总目标设定较为细化的绩效指标。</w:t>
      </w:r>
    </w:p>
    <w:p w14:paraId="380C8776">
      <w:pPr>
        <w:numPr>
          <w:ilvl w:val="0"/>
          <w:numId w:val="9"/>
        </w:numPr>
        <w:spacing w:line="360" w:lineRule="auto"/>
        <w:rPr>
          <w:rFonts w:ascii="宋体" w:hAnsi="宋体" w:cs="宋体"/>
          <w:sz w:val="24"/>
          <w:szCs w:val="24"/>
        </w:rPr>
      </w:pPr>
      <w:r>
        <w:rPr>
          <w:rFonts w:hint="eastAsia" w:ascii="宋体" w:hAnsi="宋体" w:cs="宋体"/>
          <w:sz w:val="24"/>
          <w:szCs w:val="24"/>
        </w:rPr>
        <w:t>项目绩效控制评价分析</w:t>
      </w:r>
    </w:p>
    <w:p w14:paraId="70CC9D6C">
      <w:pPr>
        <w:numPr>
          <w:ilvl w:val="0"/>
          <w:numId w:val="11"/>
        </w:numPr>
        <w:spacing w:line="360" w:lineRule="auto"/>
        <w:rPr>
          <w:rFonts w:ascii="宋体" w:hAnsi="宋体" w:cs="宋体"/>
          <w:sz w:val="24"/>
          <w:szCs w:val="24"/>
        </w:rPr>
      </w:pPr>
      <w:r>
        <w:rPr>
          <w:rFonts w:hint="eastAsia" w:ascii="宋体" w:hAnsi="宋体" w:cs="宋体"/>
          <w:sz w:val="24"/>
          <w:szCs w:val="24"/>
        </w:rPr>
        <w:t>资金使用及管理情况分析</w:t>
      </w:r>
    </w:p>
    <w:p w14:paraId="44F7AC36">
      <w:pPr>
        <w:spacing w:line="360" w:lineRule="auto"/>
        <w:ind w:firstLine="480"/>
        <w:rPr>
          <w:rFonts w:ascii="宋体" w:hAnsi="宋体" w:cs="宋体"/>
          <w:sz w:val="24"/>
          <w:szCs w:val="24"/>
        </w:rPr>
      </w:pPr>
      <w:r>
        <w:rPr>
          <w:rFonts w:hint="eastAsia" w:ascii="宋体" w:hAnsi="宋体" w:cs="宋体"/>
          <w:sz w:val="24"/>
          <w:szCs w:val="24"/>
        </w:rPr>
        <w:t>该项目试运营期间为2017年11月1日-2018年12月31日，项目预算为</w:t>
      </w:r>
      <w:r>
        <w:rPr>
          <w:rFonts w:hint="eastAsia" w:ascii="宋体" w:hAnsi="宋体" w:cs="宋体"/>
          <w:color w:val="FF0000"/>
          <w:sz w:val="24"/>
          <w:szCs w:val="24"/>
        </w:rPr>
        <w:t>6335</w:t>
      </w:r>
      <w:r>
        <w:rPr>
          <w:rFonts w:hint="eastAsia" w:ascii="宋体" w:hAnsi="宋体" w:cs="宋体"/>
          <w:sz w:val="24"/>
          <w:szCs w:val="24"/>
        </w:rPr>
        <w:t>万元，实际支付服务费为</w:t>
      </w:r>
      <w:r>
        <w:rPr>
          <w:rFonts w:hint="eastAsia" w:ascii="宋体" w:hAnsi="宋体" w:cs="宋体"/>
          <w:color w:val="FF0000"/>
          <w:sz w:val="24"/>
          <w:szCs w:val="24"/>
        </w:rPr>
        <w:t>5998.5</w:t>
      </w:r>
      <w:r>
        <w:rPr>
          <w:rFonts w:hint="eastAsia" w:ascii="宋体" w:hAnsi="宋体" w:cs="宋体"/>
          <w:sz w:val="24"/>
          <w:szCs w:val="24"/>
        </w:rPr>
        <w:t>万元，2019年项目预算为5997万元，截止评审日（2018年8月30日），共支付服务费3491.598万元。</w:t>
      </w:r>
      <w:r>
        <w:rPr>
          <w:rFonts w:hint="eastAsia" w:ascii="宋体" w:hAnsi="宋体" w:cs="宋体"/>
          <w:color w:val="FF0000"/>
          <w:sz w:val="24"/>
          <w:szCs w:val="24"/>
        </w:rPr>
        <w:t>（数据来源）</w:t>
      </w:r>
    </w:p>
    <w:p w14:paraId="23346223">
      <w:pPr>
        <w:spacing w:line="360" w:lineRule="auto"/>
        <w:ind w:firstLine="480"/>
        <w:rPr>
          <w:rFonts w:ascii="宋体" w:hAnsi="宋体" w:cs="宋体"/>
          <w:sz w:val="24"/>
          <w:szCs w:val="24"/>
        </w:rPr>
      </w:pPr>
      <w:r>
        <w:rPr>
          <w:rFonts w:hint="eastAsia" w:ascii="宋体" w:hAnsi="宋体" w:cs="宋体"/>
          <w:sz w:val="24"/>
          <w:szCs w:val="24"/>
        </w:rPr>
        <w:t>在评价过程中，我们发现项目单位存在扣除服务费未及时上交财政和未根据考核结果扣减服务费的现象。</w:t>
      </w:r>
    </w:p>
    <w:p w14:paraId="602CEF3D">
      <w:pPr>
        <w:spacing w:line="360" w:lineRule="auto"/>
        <w:ind w:firstLine="480"/>
        <w:rPr>
          <w:rFonts w:ascii="宋体" w:hAnsi="宋体" w:cs="宋体"/>
          <w:sz w:val="24"/>
          <w:szCs w:val="24"/>
        </w:rPr>
      </w:pPr>
      <w:r>
        <w:rPr>
          <w:rFonts w:hint="eastAsia" w:ascii="宋体" w:hAnsi="宋体" w:cs="宋体"/>
          <w:sz w:val="24"/>
          <w:szCs w:val="24"/>
        </w:rPr>
        <w:t>（1）2018年9月，城管局扣除试运营服务8万元，但未及时退回县财政局。</w:t>
      </w:r>
      <w:r>
        <w:rPr>
          <w:rFonts w:hint="eastAsia" w:ascii="宋体" w:hAnsi="宋体" w:cs="宋体"/>
          <w:color w:val="FF0000"/>
          <w:sz w:val="24"/>
          <w:szCs w:val="24"/>
        </w:rPr>
        <w:t>目前该款项已于2020年4月退回县财政局。</w:t>
      </w:r>
    </w:p>
    <w:p w14:paraId="5C59CA30">
      <w:pPr>
        <w:spacing w:line="360" w:lineRule="auto"/>
        <w:rPr>
          <w:rFonts w:ascii="宋体" w:hAnsi="宋体" w:cs="宋体"/>
          <w:sz w:val="24"/>
          <w:szCs w:val="24"/>
        </w:rPr>
      </w:pPr>
      <w:r>
        <w:rPr>
          <w:rFonts w:hint="eastAsia" w:ascii="宋体" w:hAnsi="宋体" w:cs="宋体"/>
          <w:sz w:val="24"/>
          <w:szCs w:val="24"/>
        </w:rPr>
        <w:t xml:space="preserve">    （2）2019年1月，根据“滑县农村生活垃圾治理考核汇总表”，应扣除服务费6.5620万元，实际扣除6.2620万元，少扣除服务费0.3万元。2019年2月，根据“滑县农村生活垃圾治理考核汇总表”，少扣除服务费14.8842万元。</w:t>
      </w:r>
      <w:r>
        <w:rPr>
          <w:rFonts w:hint="eastAsia" w:ascii="宋体" w:hAnsi="宋体" w:cs="宋体"/>
          <w:color w:val="FF0000"/>
          <w:sz w:val="24"/>
          <w:szCs w:val="24"/>
        </w:rPr>
        <w:t>目前该款项已于2020年4月进行了补扣。</w:t>
      </w:r>
    </w:p>
    <w:p w14:paraId="2A658F0E">
      <w:pPr>
        <w:spacing w:line="360" w:lineRule="auto"/>
        <w:ind w:firstLine="480"/>
        <w:rPr>
          <w:rFonts w:hint="eastAsia" w:ascii="宋体" w:hAnsi="宋体" w:cs="宋体"/>
          <w:sz w:val="24"/>
          <w:szCs w:val="24"/>
        </w:rPr>
      </w:pPr>
      <w:r>
        <w:rPr>
          <w:rFonts w:hint="eastAsia" w:ascii="宋体" w:hAnsi="宋体" w:cs="宋体"/>
          <w:sz w:val="24"/>
          <w:szCs w:val="24"/>
        </w:rPr>
        <w:t>评价认为，该项目资金使用和管理不太规范。</w:t>
      </w:r>
    </w:p>
    <w:p w14:paraId="2D583AAF">
      <w:pPr>
        <w:spacing w:line="360" w:lineRule="auto"/>
        <w:ind w:firstLine="480"/>
        <w:rPr>
          <w:rFonts w:ascii="宋体" w:hAnsi="宋体" w:cs="宋体"/>
          <w:sz w:val="24"/>
          <w:szCs w:val="24"/>
        </w:rPr>
      </w:pPr>
      <w:r>
        <w:rPr>
          <w:rFonts w:hint="eastAsia" w:ascii="宋体" w:hAnsi="宋体" w:cs="宋体"/>
          <w:sz w:val="24"/>
          <w:szCs w:val="24"/>
        </w:rPr>
        <w:t>项目组织情况分析</w:t>
      </w:r>
    </w:p>
    <w:p w14:paraId="4622428C">
      <w:pPr>
        <w:spacing w:line="360" w:lineRule="auto"/>
        <w:ind w:firstLine="480"/>
        <w:rPr>
          <w:rFonts w:ascii="宋体" w:hAnsi="宋体" w:cs="宋体"/>
          <w:sz w:val="24"/>
          <w:szCs w:val="24"/>
        </w:rPr>
      </w:pPr>
      <w:r>
        <w:rPr>
          <w:rFonts w:hint="eastAsia" w:ascii="宋体" w:hAnsi="宋体" w:cs="宋体"/>
          <w:sz w:val="24"/>
          <w:szCs w:val="24"/>
        </w:rPr>
        <w:t>该项目由滑县人民政府采用委托运营的方式，并授权城管局具体实施本项目。试运营期间为2017年11月1日-2018年12月31日，正式运营时间为2019年1月开始，通过公开招标的方式选择城发环保能源（滑县）有限公司作为中标单位，并签订了委托运营协议。</w:t>
      </w:r>
    </w:p>
    <w:p w14:paraId="38516BA6">
      <w:pPr>
        <w:spacing w:line="360" w:lineRule="auto"/>
        <w:ind w:firstLine="480"/>
        <w:rPr>
          <w:rFonts w:ascii="宋体" w:hAnsi="宋体" w:cs="宋体"/>
          <w:sz w:val="24"/>
          <w:szCs w:val="24"/>
        </w:rPr>
      </w:pPr>
      <w:r>
        <w:rPr>
          <w:rFonts w:hint="eastAsia" w:ascii="宋体" w:hAnsi="宋体" w:cs="宋体"/>
          <w:sz w:val="24"/>
          <w:szCs w:val="24"/>
        </w:rPr>
        <w:t>根据滑政办（2017年）16号文，该项目应于2017年5月底，完成招标工作，并启动公司化运营。但实际是2017年11月采用试运营方式，至2018年才进行公开招标。</w:t>
      </w:r>
    </w:p>
    <w:p w14:paraId="3956B5C0">
      <w:pPr>
        <w:spacing w:line="360" w:lineRule="auto"/>
        <w:ind w:firstLine="480"/>
        <w:rPr>
          <w:rFonts w:ascii="宋体" w:hAnsi="宋体" w:cs="宋体"/>
          <w:sz w:val="24"/>
          <w:szCs w:val="24"/>
        </w:rPr>
      </w:pPr>
      <w:r>
        <w:rPr>
          <w:rFonts w:hint="eastAsia" w:ascii="宋体" w:hAnsi="宋体" w:cs="宋体"/>
          <w:sz w:val="24"/>
          <w:szCs w:val="24"/>
        </w:rPr>
        <w:t>评价认为，该项目在管理上组织机构不够健全，分工明确性有待提高。</w:t>
      </w:r>
    </w:p>
    <w:p w14:paraId="50B93ECE">
      <w:pPr>
        <w:numPr>
          <w:ilvl w:val="0"/>
          <w:numId w:val="11"/>
        </w:numPr>
        <w:spacing w:line="360" w:lineRule="auto"/>
        <w:rPr>
          <w:rFonts w:ascii="宋体" w:hAnsi="宋体" w:cs="宋体"/>
          <w:sz w:val="24"/>
          <w:szCs w:val="24"/>
        </w:rPr>
      </w:pPr>
      <w:r>
        <w:rPr>
          <w:rFonts w:hint="eastAsia" w:ascii="宋体" w:hAnsi="宋体" w:cs="宋体"/>
          <w:sz w:val="24"/>
          <w:szCs w:val="24"/>
        </w:rPr>
        <w:t>项目管理情况分析</w:t>
      </w:r>
    </w:p>
    <w:p w14:paraId="0AF09CF4">
      <w:pPr>
        <w:spacing w:line="360" w:lineRule="auto"/>
        <w:ind w:firstLine="480"/>
        <w:rPr>
          <w:rFonts w:ascii="宋体" w:hAnsi="宋体" w:cs="宋体"/>
          <w:sz w:val="24"/>
          <w:szCs w:val="24"/>
        </w:rPr>
      </w:pPr>
      <w:r>
        <w:rPr>
          <w:rFonts w:hint="eastAsia" w:ascii="宋体" w:hAnsi="宋体" w:cs="宋体"/>
          <w:sz w:val="24"/>
          <w:szCs w:val="24"/>
        </w:rPr>
        <w:t>该项目实施过程中，运营单位城发环保能源（滑县）有限公司主管该项目的管理层发生变更，原管理层带走了项目资料，致使评价时未及时获取详细完整的资料。</w:t>
      </w:r>
    </w:p>
    <w:p w14:paraId="209CFA44">
      <w:pPr>
        <w:spacing w:line="360" w:lineRule="auto"/>
        <w:ind w:firstLine="480"/>
        <w:rPr>
          <w:rFonts w:ascii="宋体" w:hAnsi="宋体" w:cs="宋体"/>
          <w:sz w:val="24"/>
          <w:szCs w:val="24"/>
        </w:rPr>
      </w:pPr>
      <w:r>
        <w:rPr>
          <w:rFonts w:hint="eastAsia" w:ascii="宋体" w:hAnsi="宋体" w:cs="宋体"/>
          <w:sz w:val="24"/>
          <w:szCs w:val="24"/>
        </w:rPr>
        <w:t>评价认为，该项目管理不够规范，未对项目的实施进度、实施质量、执行进度进行全过程管理。</w:t>
      </w:r>
    </w:p>
    <w:p w14:paraId="3D3FC7DA">
      <w:pPr>
        <w:numPr>
          <w:ilvl w:val="0"/>
          <w:numId w:val="9"/>
        </w:numPr>
        <w:spacing w:line="360" w:lineRule="auto"/>
        <w:rPr>
          <w:rFonts w:ascii="宋体" w:hAnsi="宋体" w:cs="宋体"/>
          <w:sz w:val="24"/>
          <w:szCs w:val="24"/>
        </w:rPr>
      </w:pPr>
      <w:r>
        <w:rPr>
          <w:rFonts w:hint="eastAsia" w:ascii="宋体" w:hAnsi="宋体" w:cs="宋体"/>
          <w:sz w:val="24"/>
          <w:szCs w:val="24"/>
        </w:rPr>
        <w:t>项目产出及效果评价分析</w:t>
      </w:r>
    </w:p>
    <w:p w14:paraId="5D469AE6">
      <w:pPr>
        <w:spacing w:line="360" w:lineRule="auto"/>
        <w:ind w:firstLine="480"/>
        <w:rPr>
          <w:rFonts w:ascii="宋体" w:hAnsi="宋体" w:cs="宋体"/>
          <w:sz w:val="24"/>
          <w:szCs w:val="24"/>
        </w:rPr>
      </w:pPr>
      <w:r>
        <w:rPr>
          <w:rFonts w:hint="eastAsia" w:ascii="宋体" w:hAnsi="宋体" w:cs="宋体"/>
          <w:sz w:val="24"/>
          <w:szCs w:val="24"/>
        </w:rPr>
        <w:t>该项目通过政府采购的方式，预算批复2018年5430万元，2019年5997万元，截止2019年8月，累计支付9490.098万元。</w:t>
      </w:r>
    </w:p>
    <w:p w14:paraId="0556AE8D">
      <w:pPr>
        <w:numPr>
          <w:ilvl w:val="0"/>
          <w:numId w:val="12"/>
        </w:numPr>
        <w:spacing w:line="360" w:lineRule="auto"/>
        <w:rPr>
          <w:rFonts w:ascii="宋体" w:hAnsi="宋体" w:cs="宋体"/>
          <w:sz w:val="24"/>
          <w:szCs w:val="24"/>
        </w:rPr>
      </w:pPr>
      <w:r>
        <w:rPr>
          <w:rFonts w:hint="eastAsia" w:ascii="宋体" w:hAnsi="宋体" w:cs="宋体"/>
          <w:sz w:val="24"/>
          <w:szCs w:val="24"/>
        </w:rPr>
        <w:t>项目效率性分析</w:t>
      </w:r>
    </w:p>
    <w:p w14:paraId="76906925">
      <w:pPr>
        <w:numPr>
          <w:ilvl w:val="0"/>
          <w:numId w:val="13"/>
        </w:numPr>
        <w:spacing w:line="360" w:lineRule="auto"/>
        <w:rPr>
          <w:rFonts w:ascii="宋体" w:hAnsi="宋体" w:cs="宋体"/>
          <w:sz w:val="24"/>
          <w:szCs w:val="24"/>
        </w:rPr>
      </w:pPr>
      <w:r>
        <w:rPr>
          <w:rFonts w:hint="eastAsia" w:ascii="宋体" w:hAnsi="宋体" w:cs="宋体"/>
          <w:sz w:val="24"/>
          <w:szCs w:val="24"/>
        </w:rPr>
        <w:t>项目完成数量</w:t>
      </w:r>
    </w:p>
    <w:p w14:paraId="0ACAC0CE">
      <w:pPr>
        <w:spacing w:line="360" w:lineRule="auto"/>
        <w:ind w:firstLine="480"/>
        <w:rPr>
          <w:rFonts w:ascii="宋体" w:hAnsi="宋体" w:cs="宋体"/>
          <w:sz w:val="24"/>
          <w:szCs w:val="24"/>
        </w:rPr>
      </w:pPr>
      <w:r>
        <w:rPr>
          <w:rFonts w:hint="eastAsia" w:ascii="宋体" w:hAnsi="宋体" w:cs="宋体"/>
          <w:sz w:val="24"/>
          <w:szCs w:val="24"/>
        </w:rPr>
        <w:t>项目运营单位按照合同约定，对县域内21个乡镇所辖的镇区街道、991个行政村的道路保洁和垃圾收集清运进行了工作。由于项目试运行期间资料缺失，我们未取得该期间道路保洁和垃圾清运完成情况的相关资料。根据2019年提供的项目资料，运营单位按照《滑县城乡环卫一体化工作实施方案》的要求，对乡镇的镇区、村镇连接道路和村庄、沟渠水面等作业区域进行清扫保洁，以及垃圾收集、压缩中转和运送至垃圾处理场处理等。</w:t>
      </w:r>
    </w:p>
    <w:p w14:paraId="6041BB10">
      <w:pPr>
        <w:spacing w:line="360" w:lineRule="auto"/>
        <w:ind w:firstLine="480"/>
        <w:rPr>
          <w:rFonts w:ascii="宋体" w:hAnsi="宋体" w:cs="宋体"/>
          <w:sz w:val="24"/>
          <w:szCs w:val="24"/>
        </w:rPr>
      </w:pPr>
      <w:r>
        <w:rPr>
          <w:rFonts w:hint="eastAsia" w:ascii="宋体" w:hAnsi="宋体" w:cs="宋体"/>
          <w:sz w:val="24"/>
          <w:szCs w:val="24"/>
        </w:rPr>
        <w:t>评价认为，2019年1-8月该项目道路保洁和垃圾清运完成情况达到要求。</w:t>
      </w:r>
    </w:p>
    <w:p w14:paraId="6FA1B826">
      <w:pPr>
        <w:numPr>
          <w:ilvl w:val="0"/>
          <w:numId w:val="13"/>
        </w:numPr>
        <w:spacing w:line="360" w:lineRule="auto"/>
        <w:rPr>
          <w:rFonts w:ascii="宋体" w:hAnsi="宋体" w:cs="宋体"/>
          <w:sz w:val="24"/>
          <w:szCs w:val="24"/>
        </w:rPr>
      </w:pPr>
      <w:r>
        <w:rPr>
          <w:rFonts w:hint="eastAsia" w:ascii="宋体" w:hAnsi="宋体" w:cs="宋体"/>
          <w:sz w:val="24"/>
          <w:szCs w:val="24"/>
        </w:rPr>
        <w:t>项目完成质量</w:t>
      </w:r>
    </w:p>
    <w:p w14:paraId="2BBC26B1">
      <w:pPr>
        <w:spacing w:line="360" w:lineRule="auto"/>
        <w:ind w:firstLine="480"/>
        <w:rPr>
          <w:rFonts w:ascii="宋体" w:hAnsi="宋体" w:cs="宋体"/>
          <w:sz w:val="24"/>
          <w:szCs w:val="24"/>
        </w:rPr>
      </w:pPr>
      <w:r>
        <w:rPr>
          <w:rFonts w:hint="eastAsia" w:ascii="宋体" w:hAnsi="宋体" w:cs="宋体"/>
          <w:sz w:val="24"/>
          <w:szCs w:val="24"/>
        </w:rPr>
        <w:t>该项目的作业质量包括清扫保洁标准及要求、清扫保洁文明作业要求、垃圾收集清运工作质量要求、垃圾转运处理工作质量要求，根据《滑县城乡生活垃圾治理督查考核办法》，该项目2019年1-8月份考核平均得分为79.01分。</w:t>
      </w:r>
    </w:p>
    <w:p w14:paraId="723B82C4">
      <w:pPr>
        <w:spacing w:line="360" w:lineRule="auto"/>
        <w:ind w:firstLine="480"/>
        <w:rPr>
          <w:rFonts w:ascii="宋体" w:hAnsi="宋体" w:cs="宋体"/>
          <w:sz w:val="24"/>
          <w:szCs w:val="24"/>
        </w:rPr>
      </w:pPr>
      <w:r>
        <w:rPr>
          <w:rFonts w:hint="eastAsia" w:ascii="宋体" w:hAnsi="宋体" w:cs="宋体"/>
          <w:sz w:val="24"/>
          <w:szCs w:val="24"/>
        </w:rPr>
        <w:t>评价认为，项目完成质量基本达到要求。</w:t>
      </w:r>
    </w:p>
    <w:p w14:paraId="37CA6797">
      <w:pPr>
        <w:numPr>
          <w:ilvl w:val="0"/>
          <w:numId w:val="12"/>
        </w:numPr>
        <w:spacing w:line="360" w:lineRule="auto"/>
        <w:rPr>
          <w:rFonts w:ascii="宋体" w:hAnsi="宋体" w:cs="宋体"/>
          <w:sz w:val="24"/>
          <w:szCs w:val="24"/>
        </w:rPr>
      </w:pPr>
      <w:r>
        <w:rPr>
          <w:rFonts w:hint="eastAsia" w:ascii="宋体" w:hAnsi="宋体" w:cs="宋体"/>
          <w:sz w:val="24"/>
          <w:szCs w:val="24"/>
        </w:rPr>
        <w:t>项目效益性分析</w:t>
      </w:r>
    </w:p>
    <w:p w14:paraId="3FD717CF">
      <w:pPr>
        <w:numPr>
          <w:ilvl w:val="0"/>
          <w:numId w:val="14"/>
        </w:numPr>
        <w:spacing w:line="360" w:lineRule="auto"/>
        <w:rPr>
          <w:rFonts w:ascii="宋体" w:hAnsi="宋体" w:cs="宋体"/>
          <w:sz w:val="24"/>
          <w:szCs w:val="24"/>
        </w:rPr>
      </w:pPr>
      <w:r>
        <w:rPr>
          <w:rFonts w:hint="eastAsia" w:ascii="宋体" w:hAnsi="宋体" w:cs="宋体"/>
          <w:sz w:val="24"/>
          <w:szCs w:val="24"/>
        </w:rPr>
        <w:t>项目实施对社会的影响</w:t>
      </w:r>
    </w:p>
    <w:p w14:paraId="7E6D6DDA">
      <w:pPr>
        <w:spacing w:line="360" w:lineRule="auto"/>
        <w:ind w:firstLine="480"/>
        <w:rPr>
          <w:rFonts w:ascii="宋体" w:hAnsi="宋体" w:cs="宋体"/>
          <w:sz w:val="24"/>
          <w:szCs w:val="24"/>
        </w:rPr>
      </w:pPr>
      <w:r>
        <w:rPr>
          <w:rFonts w:hint="eastAsia" w:ascii="宋体" w:hAnsi="宋体" w:cs="宋体"/>
          <w:sz w:val="24"/>
          <w:szCs w:val="24"/>
        </w:rPr>
        <w:t>该项目的实施，提供了公益性岗位，录用的保洁员大多为本村无业村民，为他们提供了就业岗位，增加了收入，一定程度上带动就业；为村民创造了一个洁净、优美的生活环境，提高了村民的生活质量，促进养成良好文明的卫生习惯，有效推动了农村人居环境改善。</w:t>
      </w:r>
    </w:p>
    <w:p w14:paraId="45DEEAFA">
      <w:pPr>
        <w:spacing w:line="360" w:lineRule="auto"/>
        <w:ind w:firstLine="480"/>
        <w:rPr>
          <w:rFonts w:ascii="宋体" w:hAnsi="宋体" w:cs="宋体"/>
          <w:sz w:val="24"/>
          <w:szCs w:val="24"/>
        </w:rPr>
      </w:pPr>
      <w:r>
        <w:rPr>
          <w:rFonts w:hint="eastAsia" w:ascii="宋体" w:hAnsi="宋体" w:cs="宋体"/>
          <w:sz w:val="24"/>
          <w:szCs w:val="24"/>
        </w:rPr>
        <w:t>评价认为，该项目实施改善了农村环保设施的建设，提高了农村环境卫生保护意识，促进养成良好文明的卫生习惯等方面的社会效益显著。</w:t>
      </w:r>
    </w:p>
    <w:p w14:paraId="527A3D70">
      <w:pPr>
        <w:numPr>
          <w:ilvl w:val="0"/>
          <w:numId w:val="14"/>
        </w:numPr>
        <w:spacing w:line="360" w:lineRule="auto"/>
        <w:rPr>
          <w:rFonts w:ascii="宋体" w:hAnsi="宋体" w:cs="宋体"/>
          <w:sz w:val="24"/>
          <w:szCs w:val="24"/>
        </w:rPr>
      </w:pPr>
      <w:r>
        <w:rPr>
          <w:rFonts w:hint="eastAsia" w:ascii="宋体" w:hAnsi="宋体" w:cs="宋体"/>
          <w:sz w:val="24"/>
          <w:szCs w:val="24"/>
        </w:rPr>
        <w:t>项目的可持续影响</w:t>
      </w:r>
    </w:p>
    <w:p w14:paraId="6645E849">
      <w:pPr>
        <w:spacing w:line="360" w:lineRule="auto"/>
        <w:ind w:firstLine="480"/>
        <w:rPr>
          <w:rFonts w:ascii="宋体" w:hAnsi="宋体" w:cs="宋体"/>
          <w:sz w:val="24"/>
          <w:szCs w:val="24"/>
        </w:rPr>
      </w:pPr>
      <w:r>
        <w:rPr>
          <w:rFonts w:hint="eastAsia" w:ascii="宋体" w:hAnsi="宋体" w:cs="宋体"/>
          <w:sz w:val="24"/>
          <w:szCs w:val="24"/>
        </w:rPr>
        <w:t>该项目的实施，改善了农村人居环境，建立了农村生活垃圾收运体系和农村环境卫生管理制度长效制度。</w:t>
      </w:r>
    </w:p>
    <w:p w14:paraId="54687E40">
      <w:pPr>
        <w:spacing w:line="360" w:lineRule="auto"/>
        <w:ind w:firstLine="480"/>
        <w:rPr>
          <w:rFonts w:ascii="宋体" w:hAnsi="宋体" w:cs="宋体"/>
          <w:sz w:val="24"/>
          <w:szCs w:val="24"/>
        </w:rPr>
      </w:pPr>
      <w:r>
        <w:rPr>
          <w:rFonts w:hint="eastAsia" w:ascii="宋体" w:hAnsi="宋体" w:cs="宋体"/>
          <w:sz w:val="24"/>
          <w:szCs w:val="24"/>
        </w:rPr>
        <w:t>评价认为，该项目实施提高了农村环境质量水平，建立了“统一收集，统一运输，集中处理”的生活垃圾治理体系。</w:t>
      </w:r>
    </w:p>
    <w:p w14:paraId="7E1D5847">
      <w:pPr>
        <w:numPr>
          <w:ilvl w:val="0"/>
          <w:numId w:val="14"/>
        </w:numPr>
        <w:spacing w:line="360" w:lineRule="auto"/>
        <w:rPr>
          <w:rFonts w:ascii="宋体" w:hAnsi="宋体" w:cs="宋体"/>
          <w:sz w:val="24"/>
          <w:szCs w:val="24"/>
        </w:rPr>
      </w:pPr>
      <w:r>
        <w:rPr>
          <w:rFonts w:hint="eastAsia" w:ascii="宋体" w:hAnsi="宋体" w:cs="宋体"/>
          <w:sz w:val="24"/>
          <w:szCs w:val="24"/>
        </w:rPr>
        <w:t>服务对象满意度</w:t>
      </w:r>
    </w:p>
    <w:p w14:paraId="37C7AEFA">
      <w:pPr>
        <w:spacing w:line="360" w:lineRule="auto"/>
        <w:ind w:firstLine="480"/>
        <w:rPr>
          <w:rFonts w:ascii="宋体" w:hAnsi="宋体" w:cs="宋体"/>
          <w:sz w:val="24"/>
          <w:szCs w:val="24"/>
        </w:rPr>
      </w:pPr>
      <w:r>
        <w:rPr>
          <w:rFonts w:hint="eastAsia" w:ascii="宋体" w:hAnsi="宋体" w:cs="宋体"/>
          <w:sz w:val="24"/>
          <w:szCs w:val="24"/>
        </w:rPr>
        <w:t>通过向受益群众发放的满意度调查表，反馈的情况为比较满意。</w:t>
      </w:r>
    </w:p>
    <w:p w14:paraId="0911B39F">
      <w:pPr>
        <w:spacing w:line="360" w:lineRule="auto"/>
        <w:ind w:firstLine="480"/>
        <w:rPr>
          <w:rFonts w:ascii="宋体" w:hAnsi="宋体" w:cs="宋体"/>
          <w:sz w:val="24"/>
          <w:szCs w:val="24"/>
        </w:rPr>
      </w:pPr>
      <w:r>
        <w:rPr>
          <w:rFonts w:hint="eastAsia" w:ascii="宋体" w:hAnsi="宋体" w:cs="宋体"/>
          <w:sz w:val="24"/>
          <w:szCs w:val="24"/>
        </w:rPr>
        <w:t>评价认为，该项目服务对象评价为比较满意。</w:t>
      </w:r>
    </w:p>
    <w:p w14:paraId="318C48F6">
      <w:pPr>
        <w:spacing w:line="360" w:lineRule="auto"/>
        <w:ind w:firstLine="482" w:firstLineChars="200"/>
        <w:rPr>
          <w:rFonts w:ascii="宋体" w:hAnsi="宋体" w:cs="宋体"/>
          <w:b/>
          <w:bCs/>
          <w:sz w:val="24"/>
          <w:szCs w:val="24"/>
        </w:rPr>
      </w:pPr>
      <w:r>
        <w:rPr>
          <w:rFonts w:hint="eastAsia" w:ascii="宋体" w:hAnsi="宋体" w:cs="宋体"/>
          <w:b/>
          <w:bCs/>
          <w:sz w:val="24"/>
          <w:szCs w:val="24"/>
        </w:rPr>
        <w:t>三、评价结果</w:t>
      </w:r>
    </w:p>
    <w:p w14:paraId="647D83F3">
      <w:pPr>
        <w:spacing w:line="360" w:lineRule="auto"/>
        <w:ind w:firstLine="480" w:firstLineChars="200"/>
        <w:rPr>
          <w:rFonts w:ascii="宋体" w:hAnsi="宋体" w:cs="宋体"/>
          <w:sz w:val="24"/>
          <w:szCs w:val="24"/>
        </w:rPr>
      </w:pPr>
      <w:r>
        <w:rPr>
          <w:rFonts w:hint="eastAsia" w:ascii="宋体" w:hAnsi="宋体" w:cs="宋体"/>
          <w:sz w:val="24"/>
          <w:szCs w:val="24"/>
        </w:rPr>
        <w:t>（一）评分结果</w:t>
      </w:r>
    </w:p>
    <w:p w14:paraId="1F7DF577">
      <w:pPr>
        <w:spacing w:line="360" w:lineRule="auto"/>
        <w:ind w:firstLine="480" w:firstLineChars="200"/>
        <w:rPr>
          <w:rFonts w:ascii="宋体" w:hAnsi="宋体" w:cs="宋体"/>
          <w:sz w:val="24"/>
          <w:szCs w:val="24"/>
        </w:rPr>
      </w:pPr>
      <w:r>
        <w:rPr>
          <w:rFonts w:hint="eastAsia" w:ascii="宋体" w:hAnsi="宋体" w:cs="宋体"/>
          <w:sz w:val="24"/>
          <w:szCs w:val="24"/>
        </w:rPr>
        <w:t>根据《河南省省级预算绩效评价管理办法》（豫财预&lt;2019&gt;》176号），绩效评价结果实施百分制和四级分类，分别是：90-100分为优；80-89分为良；60-79分为中；0-59分为差。</w:t>
      </w:r>
    </w:p>
    <w:p w14:paraId="0A4DFB81">
      <w:pPr>
        <w:spacing w:line="360" w:lineRule="auto"/>
        <w:ind w:firstLine="480" w:firstLineChars="200"/>
        <w:rPr>
          <w:rFonts w:ascii="宋体" w:hAnsi="宋体" w:cs="宋体"/>
          <w:sz w:val="24"/>
          <w:szCs w:val="24"/>
          <w:highlight w:val="yellow"/>
        </w:rPr>
      </w:pPr>
      <w:r>
        <w:rPr>
          <w:rFonts w:hint="eastAsia" w:ascii="宋体" w:hAnsi="宋体" w:cs="宋体"/>
          <w:sz w:val="24"/>
          <w:szCs w:val="24"/>
        </w:rPr>
        <w:t>经评价，滑县农村生活垃圾清运项目绩效评价综合得分80.25分，项目绩效等级为“良”。其中决策类指标权重为15分，得分9.00分，得分率为60%；管理类指标权重为30分，得分22.50分，得分率为75%；产出类指标权重为25分，得分21.15分，得分率为84.60%；效果类指标权重为30分，得分27.60分，得分率为92%。具体情况详见下表：</w:t>
      </w:r>
    </w:p>
    <w:p w14:paraId="5D081D37">
      <w:pPr>
        <w:spacing w:line="360" w:lineRule="auto"/>
        <w:jc w:val="center"/>
        <w:rPr>
          <w:rFonts w:ascii="宋体" w:hAnsi="宋体" w:cs="宋体"/>
          <w:sz w:val="24"/>
          <w:szCs w:val="24"/>
        </w:rPr>
      </w:pPr>
      <w:r>
        <w:rPr>
          <w:rFonts w:hint="eastAsia" w:ascii="宋体" w:hAnsi="宋体" w:cs="宋体"/>
          <w:sz w:val="24"/>
          <w:szCs w:val="24"/>
        </w:rPr>
        <w:t>滑县农村生活垃圾清运项目绩效评价结论一览表</w:t>
      </w:r>
    </w:p>
    <w:tbl>
      <w:tblPr>
        <w:tblStyle w:val="11"/>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4"/>
        <w:gridCol w:w="1770"/>
        <w:gridCol w:w="2430"/>
        <w:gridCol w:w="2430"/>
      </w:tblGrid>
      <w:tr w14:paraId="60FE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dxa"/>
            <w:vAlign w:val="top"/>
          </w:tcPr>
          <w:p w14:paraId="3462C3DF">
            <w:pPr>
              <w:spacing w:line="360" w:lineRule="auto"/>
              <w:jc w:val="center"/>
              <w:rPr>
                <w:rFonts w:ascii="宋体" w:hAnsi="宋体" w:cs="宋体"/>
                <w:sz w:val="24"/>
                <w:szCs w:val="24"/>
              </w:rPr>
            </w:pPr>
            <w:r>
              <w:rPr>
                <w:rFonts w:hint="eastAsia" w:ascii="宋体" w:hAnsi="宋体" w:cs="宋体"/>
                <w:sz w:val="24"/>
                <w:szCs w:val="24"/>
              </w:rPr>
              <w:t>评价内容</w:t>
            </w:r>
          </w:p>
        </w:tc>
        <w:tc>
          <w:tcPr>
            <w:tcW w:w="1770" w:type="dxa"/>
            <w:vAlign w:val="top"/>
          </w:tcPr>
          <w:p w14:paraId="756F74CD">
            <w:pPr>
              <w:spacing w:line="360" w:lineRule="auto"/>
              <w:jc w:val="center"/>
              <w:rPr>
                <w:rFonts w:ascii="宋体" w:hAnsi="宋体" w:cs="宋体"/>
                <w:sz w:val="24"/>
                <w:szCs w:val="24"/>
              </w:rPr>
            </w:pPr>
            <w:r>
              <w:rPr>
                <w:rFonts w:hint="eastAsia" w:ascii="宋体" w:hAnsi="宋体" w:cs="宋体"/>
                <w:sz w:val="24"/>
                <w:szCs w:val="24"/>
              </w:rPr>
              <w:t>评价分值</w:t>
            </w:r>
          </w:p>
        </w:tc>
        <w:tc>
          <w:tcPr>
            <w:tcW w:w="2430" w:type="dxa"/>
            <w:vAlign w:val="top"/>
          </w:tcPr>
          <w:p w14:paraId="25815516">
            <w:pPr>
              <w:spacing w:line="360" w:lineRule="auto"/>
              <w:jc w:val="center"/>
              <w:rPr>
                <w:rFonts w:ascii="宋体" w:hAnsi="宋体" w:cs="宋体"/>
                <w:sz w:val="24"/>
                <w:szCs w:val="24"/>
              </w:rPr>
            </w:pPr>
            <w:r>
              <w:rPr>
                <w:rFonts w:hint="eastAsia" w:ascii="宋体" w:hAnsi="宋体" w:cs="宋体"/>
                <w:sz w:val="24"/>
                <w:szCs w:val="24"/>
              </w:rPr>
              <w:t>评价得分</w:t>
            </w:r>
          </w:p>
        </w:tc>
        <w:tc>
          <w:tcPr>
            <w:tcW w:w="2430" w:type="dxa"/>
            <w:vAlign w:val="top"/>
          </w:tcPr>
          <w:p w14:paraId="0B6CAD78">
            <w:pPr>
              <w:spacing w:line="360" w:lineRule="auto"/>
              <w:jc w:val="center"/>
              <w:rPr>
                <w:rFonts w:ascii="宋体" w:hAnsi="宋体" w:cs="宋体"/>
                <w:sz w:val="24"/>
                <w:szCs w:val="24"/>
              </w:rPr>
            </w:pPr>
            <w:r>
              <w:rPr>
                <w:rFonts w:hint="eastAsia" w:ascii="宋体" w:hAnsi="宋体" w:cs="宋体"/>
                <w:sz w:val="24"/>
                <w:szCs w:val="24"/>
              </w:rPr>
              <w:t>得分率</w:t>
            </w:r>
          </w:p>
        </w:tc>
      </w:tr>
      <w:tr w14:paraId="68E8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484" w:type="dxa"/>
            <w:vAlign w:val="top"/>
          </w:tcPr>
          <w:p w14:paraId="7006C027">
            <w:pPr>
              <w:spacing w:line="360" w:lineRule="auto"/>
              <w:jc w:val="center"/>
              <w:rPr>
                <w:rFonts w:ascii="宋体" w:hAnsi="宋体" w:cs="宋体"/>
                <w:sz w:val="24"/>
                <w:szCs w:val="24"/>
              </w:rPr>
            </w:pPr>
            <w:r>
              <w:rPr>
                <w:rFonts w:hint="eastAsia" w:ascii="宋体" w:hAnsi="宋体" w:cs="宋体"/>
                <w:sz w:val="24"/>
                <w:szCs w:val="24"/>
              </w:rPr>
              <w:t>决策</w:t>
            </w:r>
          </w:p>
        </w:tc>
        <w:tc>
          <w:tcPr>
            <w:tcW w:w="1770" w:type="dxa"/>
            <w:vAlign w:val="top"/>
          </w:tcPr>
          <w:p w14:paraId="63B6DC93">
            <w:pPr>
              <w:spacing w:line="360" w:lineRule="auto"/>
              <w:jc w:val="center"/>
              <w:rPr>
                <w:rFonts w:ascii="宋体" w:hAnsi="宋体" w:cs="宋体"/>
                <w:sz w:val="24"/>
                <w:szCs w:val="24"/>
              </w:rPr>
            </w:pPr>
            <w:r>
              <w:rPr>
                <w:rFonts w:hint="eastAsia" w:ascii="宋体" w:hAnsi="宋体" w:cs="宋体"/>
                <w:sz w:val="24"/>
                <w:szCs w:val="24"/>
              </w:rPr>
              <w:t>15</w:t>
            </w:r>
          </w:p>
        </w:tc>
        <w:tc>
          <w:tcPr>
            <w:tcW w:w="2430" w:type="dxa"/>
            <w:vAlign w:val="top"/>
          </w:tcPr>
          <w:p w14:paraId="618E88A4">
            <w:pPr>
              <w:spacing w:line="360" w:lineRule="auto"/>
              <w:jc w:val="center"/>
              <w:rPr>
                <w:rFonts w:ascii="宋体" w:hAnsi="宋体" w:cs="宋体"/>
                <w:sz w:val="24"/>
                <w:szCs w:val="24"/>
              </w:rPr>
            </w:pPr>
            <w:r>
              <w:rPr>
                <w:rFonts w:hint="eastAsia" w:ascii="宋体" w:hAnsi="宋体" w:cs="宋体"/>
                <w:sz w:val="24"/>
                <w:szCs w:val="24"/>
              </w:rPr>
              <w:t>9.00</w:t>
            </w:r>
          </w:p>
        </w:tc>
        <w:tc>
          <w:tcPr>
            <w:tcW w:w="2430" w:type="dxa"/>
            <w:vAlign w:val="top"/>
          </w:tcPr>
          <w:p w14:paraId="739D7214">
            <w:pPr>
              <w:spacing w:line="360" w:lineRule="auto"/>
              <w:jc w:val="center"/>
              <w:rPr>
                <w:rFonts w:ascii="宋体" w:hAnsi="宋体" w:cs="宋体"/>
                <w:sz w:val="24"/>
                <w:szCs w:val="24"/>
              </w:rPr>
            </w:pPr>
            <w:r>
              <w:rPr>
                <w:rFonts w:hint="eastAsia" w:ascii="宋体" w:hAnsi="宋体" w:cs="宋体"/>
                <w:sz w:val="24"/>
                <w:szCs w:val="24"/>
              </w:rPr>
              <w:t>60.00%</w:t>
            </w:r>
          </w:p>
        </w:tc>
      </w:tr>
      <w:tr w14:paraId="5FAB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dxa"/>
            <w:vAlign w:val="top"/>
          </w:tcPr>
          <w:p w14:paraId="7EE3DDC3">
            <w:pPr>
              <w:spacing w:line="360" w:lineRule="auto"/>
              <w:jc w:val="center"/>
              <w:rPr>
                <w:rFonts w:ascii="宋体" w:hAnsi="宋体" w:cs="宋体"/>
                <w:sz w:val="24"/>
                <w:szCs w:val="24"/>
              </w:rPr>
            </w:pPr>
            <w:r>
              <w:rPr>
                <w:rFonts w:hint="eastAsia" w:ascii="宋体" w:hAnsi="宋体" w:cs="宋体"/>
                <w:sz w:val="24"/>
                <w:szCs w:val="24"/>
              </w:rPr>
              <w:t>管理</w:t>
            </w:r>
          </w:p>
        </w:tc>
        <w:tc>
          <w:tcPr>
            <w:tcW w:w="1770" w:type="dxa"/>
            <w:vAlign w:val="top"/>
          </w:tcPr>
          <w:p w14:paraId="0B6F2C7F">
            <w:pPr>
              <w:spacing w:line="360" w:lineRule="auto"/>
              <w:jc w:val="center"/>
              <w:rPr>
                <w:rFonts w:ascii="宋体" w:hAnsi="宋体" w:cs="宋体"/>
                <w:sz w:val="24"/>
                <w:szCs w:val="24"/>
              </w:rPr>
            </w:pPr>
            <w:r>
              <w:rPr>
                <w:rFonts w:hint="eastAsia" w:ascii="宋体" w:hAnsi="宋体" w:cs="宋体"/>
                <w:sz w:val="24"/>
                <w:szCs w:val="24"/>
              </w:rPr>
              <w:t>30</w:t>
            </w:r>
          </w:p>
        </w:tc>
        <w:tc>
          <w:tcPr>
            <w:tcW w:w="2430" w:type="dxa"/>
            <w:vAlign w:val="top"/>
          </w:tcPr>
          <w:p w14:paraId="13900C58">
            <w:pPr>
              <w:spacing w:line="360" w:lineRule="auto"/>
              <w:jc w:val="center"/>
              <w:rPr>
                <w:rFonts w:ascii="宋体" w:hAnsi="宋体" w:cs="宋体"/>
                <w:sz w:val="24"/>
                <w:szCs w:val="24"/>
              </w:rPr>
            </w:pPr>
            <w:r>
              <w:rPr>
                <w:rFonts w:hint="eastAsia" w:ascii="宋体" w:hAnsi="宋体" w:cs="宋体"/>
                <w:sz w:val="24"/>
                <w:szCs w:val="24"/>
              </w:rPr>
              <w:t>22.50</w:t>
            </w:r>
          </w:p>
        </w:tc>
        <w:tc>
          <w:tcPr>
            <w:tcW w:w="2430" w:type="dxa"/>
            <w:vAlign w:val="top"/>
          </w:tcPr>
          <w:p w14:paraId="2F48095D">
            <w:pPr>
              <w:spacing w:line="360" w:lineRule="auto"/>
              <w:jc w:val="center"/>
              <w:rPr>
                <w:rFonts w:ascii="宋体" w:hAnsi="宋体" w:cs="宋体"/>
                <w:sz w:val="24"/>
                <w:szCs w:val="24"/>
              </w:rPr>
            </w:pPr>
            <w:r>
              <w:rPr>
                <w:rFonts w:hint="eastAsia" w:ascii="宋体" w:hAnsi="宋体" w:cs="宋体"/>
                <w:sz w:val="24"/>
                <w:szCs w:val="24"/>
              </w:rPr>
              <w:t>75.00%</w:t>
            </w:r>
          </w:p>
        </w:tc>
      </w:tr>
      <w:tr w14:paraId="28C4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dxa"/>
            <w:vAlign w:val="top"/>
          </w:tcPr>
          <w:p w14:paraId="6CAC0FB2">
            <w:pPr>
              <w:spacing w:line="360" w:lineRule="auto"/>
              <w:jc w:val="center"/>
              <w:rPr>
                <w:rFonts w:ascii="宋体" w:hAnsi="宋体" w:cs="宋体"/>
                <w:sz w:val="24"/>
                <w:szCs w:val="24"/>
              </w:rPr>
            </w:pPr>
            <w:r>
              <w:rPr>
                <w:rFonts w:hint="eastAsia" w:ascii="宋体" w:hAnsi="宋体" w:cs="宋体"/>
                <w:sz w:val="24"/>
                <w:szCs w:val="24"/>
              </w:rPr>
              <w:t>产出</w:t>
            </w:r>
          </w:p>
        </w:tc>
        <w:tc>
          <w:tcPr>
            <w:tcW w:w="1770" w:type="dxa"/>
            <w:vAlign w:val="top"/>
          </w:tcPr>
          <w:p w14:paraId="7FF00A82">
            <w:pPr>
              <w:spacing w:line="360" w:lineRule="auto"/>
              <w:jc w:val="center"/>
              <w:rPr>
                <w:rFonts w:ascii="宋体" w:hAnsi="宋体" w:cs="宋体"/>
                <w:sz w:val="24"/>
                <w:szCs w:val="24"/>
              </w:rPr>
            </w:pPr>
            <w:r>
              <w:rPr>
                <w:rFonts w:hint="eastAsia" w:ascii="宋体" w:hAnsi="宋体" w:cs="宋体"/>
                <w:sz w:val="24"/>
                <w:szCs w:val="24"/>
              </w:rPr>
              <w:t>25</w:t>
            </w:r>
          </w:p>
        </w:tc>
        <w:tc>
          <w:tcPr>
            <w:tcW w:w="2430" w:type="dxa"/>
            <w:vAlign w:val="top"/>
          </w:tcPr>
          <w:p w14:paraId="3ED22A8B">
            <w:pPr>
              <w:spacing w:line="360" w:lineRule="auto"/>
              <w:jc w:val="center"/>
              <w:rPr>
                <w:rFonts w:ascii="宋体" w:hAnsi="宋体" w:cs="宋体"/>
                <w:sz w:val="24"/>
                <w:szCs w:val="24"/>
              </w:rPr>
            </w:pPr>
            <w:r>
              <w:rPr>
                <w:rFonts w:hint="eastAsia" w:ascii="宋体" w:hAnsi="宋体" w:cs="宋体"/>
                <w:sz w:val="24"/>
                <w:szCs w:val="24"/>
              </w:rPr>
              <w:t>21.15</w:t>
            </w:r>
          </w:p>
        </w:tc>
        <w:tc>
          <w:tcPr>
            <w:tcW w:w="2430" w:type="dxa"/>
            <w:vAlign w:val="top"/>
          </w:tcPr>
          <w:p w14:paraId="39C388E8">
            <w:pPr>
              <w:spacing w:line="360" w:lineRule="auto"/>
              <w:jc w:val="center"/>
              <w:rPr>
                <w:rFonts w:ascii="宋体" w:hAnsi="宋体" w:cs="宋体"/>
                <w:sz w:val="24"/>
                <w:szCs w:val="24"/>
              </w:rPr>
            </w:pPr>
            <w:r>
              <w:rPr>
                <w:rFonts w:hint="eastAsia" w:ascii="宋体" w:hAnsi="宋体" w:cs="宋体"/>
                <w:sz w:val="24"/>
                <w:szCs w:val="24"/>
              </w:rPr>
              <w:t>84.60%</w:t>
            </w:r>
          </w:p>
        </w:tc>
      </w:tr>
      <w:tr w14:paraId="525B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dxa"/>
            <w:vAlign w:val="top"/>
          </w:tcPr>
          <w:p w14:paraId="246FBC19">
            <w:pPr>
              <w:spacing w:line="360" w:lineRule="auto"/>
              <w:jc w:val="center"/>
              <w:rPr>
                <w:rFonts w:ascii="宋体" w:hAnsi="宋体" w:cs="宋体"/>
                <w:sz w:val="24"/>
                <w:szCs w:val="24"/>
              </w:rPr>
            </w:pPr>
            <w:r>
              <w:rPr>
                <w:rFonts w:hint="eastAsia" w:ascii="宋体" w:hAnsi="宋体" w:cs="宋体"/>
                <w:sz w:val="24"/>
                <w:szCs w:val="24"/>
              </w:rPr>
              <w:t>效果</w:t>
            </w:r>
          </w:p>
        </w:tc>
        <w:tc>
          <w:tcPr>
            <w:tcW w:w="1770" w:type="dxa"/>
            <w:vAlign w:val="top"/>
          </w:tcPr>
          <w:p w14:paraId="3C47689C">
            <w:pPr>
              <w:spacing w:line="360" w:lineRule="auto"/>
              <w:jc w:val="center"/>
              <w:rPr>
                <w:rFonts w:ascii="宋体" w:hAnsi="宋体" w:cs="宋体"/>
                <w:sz w:val="24"/>
                <w:szCs w:val="24"/>
              </w:rPr>
            </w:pPr>
            <w:r>
              <w:rPr>
                <w:rFonts w:hint="eastAsia" w:ascii="宋体" w:hAnsi="宋体" w:cs="宋体"/>
                <w:sz w:val="24"/>
                <w:szCs w:val="24"/>
              </w:rPr>
              <w:t>30</w:t>
            </w:r>
          </w:p>
        </w:tc>
        <w:tc>
          <w:tcPr>
            <w:tcW w:w="2430" w:type="dxa"/>
            <w:vAlign w:val="top"/>
          </w:tcPr>
          <w:p w14:paraId="1BC2EF2C">
            <w:pPr>
              <w:spacing w:line="360" w:lineRule="auto"/>
              <w:jc w:val="center"/>
              <w:rPr>
                <w:rFonts w:ascii="宋体" w:hAnsi="宋体" w:cs="宋体"/>
                <w:sz w:val="24"/>
                <w:szCs w:val="24"/>
              </w:rPr>
            </w:pPr>
            <w:r>
              <w:rPr>
                <w:rFonts w:hint="eastAsia" w:ascii="宋体" w:hAnsi="宋体" w:cs="宋体"/>
                <w:sz w:val="24"/>
                <w:szCs w:val="24"/>
              </w:rPr>
              <w:t>27.60</w:t>
            </w:r>
          </w:p>
        </w:tc>
        <w:tc>
          <w:tcPr>
            <w:tcW w:w="2430" w:type="dxa"/>
            <w:vAlign w:val="top"/>
          </w:tcPr>
          <w:p w14:paraId="7C6EFBE0">
            <w:pPr>
              <w:spacing w:line="360" w:lineRule="auto"/>
              <w:jc w:val="center"/>
              <w:rPr>
                <w:rFonts w:ascii="宋体" w:hAnsi="宋体" w:cs="宋体"/>
                <w:sz w:val="24"/>
                <w:szCs w:val="24"/>
              </w:rPr>
            </w:pPr>
            <w:r>
              <w:rPr>
                <w:rFonts w:hint="eastAsia" w:ascii="宋体" w:hAnsi="宋体" w:cs="宋体"/>
                <w:sz w:val="24"/>
                <w:szCs w:val="24"/>
              </w:rPr>
              <w:t>92.00%</w:t>
            </w:r>
          </w:p>
        </w:tc>
      </w:tr>
      <w:tr w14:paraId="03A1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4" w:type="dxa"/>
            <w:vAlign w:val="top"/>
          </w:tcPr>
          <w:p w14:paraId="229217C5">
            <w:pPr>
              <w:spacing w:line="360" w:lineRule="auto"/>
              <w:jc w:val="center"/>
              <w:rPr>
                <w:rFonts w:ascii="宋体" w:hAnsi="宋体" w:cs="宋体"/>
                <w:sz w:val="24"/>
                <w:szCs w:val="24"/>
              </w:rPr>
            </w:pPr>
            <w:r>
              <w:rPr>
                <w:rFonts w:hint="eastAsia" w:ascii="宋体" w:hAnsi="宋体" w:cs="宋体"/>
                <w:sz w:val="24"/>
                <w:szCs w:val="24"/>
              </w:rPr>
              <w:t>综合得分</w:t>
            </w:r>
          </w:p>
        </w:tc>
        <w:tc>
          <w:tcPr>
            <w:tcW w:w="1770" w:type="dxa"/>
            <w:vAlign w:val="top"/>
          </w:tcPr>
          <w:p w14:paraId="5A06027E">
            <w:pPr>
              <w:spacing w:line="360" w:lineRule="auto"/>
              <w:jc w:val="center"/>
              <w:rPr>
                <w:rFonts w:ascii="宋体" w:hAnsi="宋体" w:cs="宋体"/>
                <w:sz w:val="24"/>
                <w:szCs w:val="24"/>
              </w:rPr>
            </w:pPr>
            <w:r>
              <w:rPr>
                <w:rFonts w:hint="eastAsia" w:ascii="宋体" w:hAnsi="宋体" w:cs="宋体"/>
                <w:sz w:val="24"/>
                <w:szCs w:val="24"/>
              </w:rPr>
              <w:t>100</w:t>
            </w:r>
          </w:p>
        </w:tc>
        <w:tc>
          <w:tcPr>
            <w:tcW w:w="2430" w:type="dxa"/>
            <w:vAlign w:val="top"/>
          </w:tcPr>
          <w:p w14:paraId="444D4B28">
            <w:pPr>
              <w:spacing w:line="360" w:lineRule="auto"/>
              <w:jc w:val="center"/>
              <w:rPr>
                <w:rFonts w:ascii="宋体" w:hAnsi="宋体" w:cs="宋体"/>
                <w:sz w:val="24"/>
                <w:szCs w:val="24"/>
              </w:rPr>
            </w:pPr>
            <w:r>
              <w:rPr>
                <w:rFonts w:hint="eastAsia" w:ascii="宋体" w:hAnsi="宋体" w:cs="宋体"/>
                <w:sz w:val="24"/>
                <w:szCs w:val="24"/>
              </w:rPr>
              <w:t>80.25</w:t>
            </w:r>
          </w:p>
        </w:tc>
        <w:tc>
          <w:tcPr>
            <w:tcW w:w="2430" w:type="dxa"/>
            <w:vAlign w:val="top"/>
          </w:tcPr>
          <w:p w14:paraId="380E08E9">
            <w:pPr>
              <w:spacing w:line="360" w:lineRule="auto"/>
              <w:jc w:val="center"/>
              <w:rPr>
                <w:rFonts w:ascii="宋体" w:hAnsi="宋体" w:cs="宋体"/>
                <w:sz w:val="24"/>
                <w:szCs w:val="24"/>
              </w:rPr>
            </w:pPr>
            <w:r>
              <w:rPr>
                <w:rFonts w:hint="eastAsia" w:ascii="宋体" w:hAnsi="宋体" w:cs="宋体"/>
                <w:sz w:val="24"/>
                <w:szCs w:val="24"/>
              </w:rPr>
              <w:t>80.25%</w:t>
            </w:r>
          </w:p>
        </w:tc>
      </w:tr>
    </w:tbl>
    <w:p w14:paraId="7FADF206">
      <w:pPr>
        <w:spacing w:line="360" w:lineRule="auto"/>
        <w:ind w:firstLine="480" w:firstLineChars="200"/>
        <w:rPr>
          <w:rFonts w:ascii="宋体" w:hAnsi="宋体" w:cs="宋体"/>
          <w:sz w:val="24"/>
          <w:szCs w:val="24"/>
        </w:rPr>
      </w:pPr>
      <w:r>
        <w:rPr>
          <w:rFonts w:hint="eastAsia" w:ascii="宋体" w:hAnsi="宋体" w:cs="宋体"/>
          <w:sz w:val="24"/>
          <w:szCs w:val="24"/>
        </w:rPr>
        <w:t>（二）整体评价结论</w:t>
      </w:r>
    </w:p>
    <w:p w14:paraId="2DDC4005">
      <w:pPr>
        <w:spacing w:line="360" w:lineRule="auto"/>
        <w:rPr>
          <w:rFonts w:ascii="宋体" w:hAnsi="宋体" w:cs="宋体"/>
          <w:b/>
          <w:bCs/>
          <w:sz w:val="24"/>
          <w:szCs w:val="24"/>
        </w:rPr>
      </w:pPr>
      <w:r>
        <w:rPr>
          <w:rFonts w:hint="eastAsia" w:ascii="宋体" w:hAnsi="宋体" w:cs="宋体"/>
          <w:sz w:val="24"/>
          <w:szCs w:val="24"/>
        </w:rPr>
        <w:t xml:space="preserve">    滑县农村生活垃圾清运项目分二个阶段，整体决策层面立项依据充分，项目绩效总目标设定合理；项目试运行阶段未与运营方签订服务合同。项目管理层面：项目管理方制度制定相对健全，并有效执行；制定有专项资金管理办法，但存在滞留专项资金的情况；对运营方的监督管理有待进一步加强。项目运营方内部管理制度健全，但执行效果不佳；项目运营方管理层于2019年5月发生变更，致使项目相关资料缺失。项目产出层面：道路保洁和垃圾清运完成率和及时率尚待提升；环卫保洁质量有待进一步提高。项目效果层面：该项目的实施，完善了农村环保设施建设，改善了农村人居环境，建立了农村生活垃圾收运和农村环境卫生管理长效机制，受益群众比较满意。</w:t>
      </w:r>
    </w:p>
    <w:p w14:paraId="7E8CA98C">
      <w:pPr>
        <w:spacing w:line="360" w:lineRule="auto"/>
        <w:ind w:firstLine="482" w:firstLineChars="200"/>
        <w:rPr>
          <w:rFonts w:ascii="宋体" w:hAnsi="宋体" w:cs="宋体"/>
          <w:b/>
          <w:bCs/>
          <w:sz w:val="24"/>
          <w:szCs w:val="24"/>
        </w:rPr>
      </w:pPr>
      <w:r>
        <w:rPr>
          <w:rFonts w:hint="eastAsia" w:ascii="宋体" w:hAnsi="宋体" w:cs="宋体"/>
          <w:b/>
          <w:bCs/>
          <w:sz w:val="24"/>
          <w:szCs w:val="24"/>
        </w:rPr>
        <w:t>四、存在问题</w:t>
      </w:r>
    </w:p>
    <w:p w14:paraId="2B8B5E32">
      <w:pPr>
        <w:spacing w:line="360" w:lineRule="auto"/>
        <w:ind w:firstLine="480" w:firstLineChars="200"/>
        <w:rPr>
          <w:rFonts w:ascii="宋体" w:hAnsi="宋体" w:cs="宋体"/>
          <w:sz w:val="24"/>
          <w:szCs w:val="24"/>
        </w:rPr>
      </w:pPr>
      <w:r>
        <w:rPr>
          <w:rFonts w:hint="eastAsia" w:ascii="宋体" w:hAnsi="宋体" w:cs="宋体"/>
          <w:sz w:val="24"/>
          <w:szCs w:val="24"/>
        </w:rPr>
        <w:t>（一）项目管理方对运营方的监督管理不完善，不利于对项目质量的把控</w:t>
      </w:r>
    </w:p>
    <w:p w14:paraId="29BF0780">
      <w:pPr>
        <w:spacing w:line="360" w:lineRule="auto"/>
        <w:ind w:firstLine="480" w:firstLineChars="200"/>
        <w:rPr>
          <w:rFonts w:ascii="宋体" w:hAnsi="宋体" w:cs="宋体"/>
          <w:sz w:val="24"/>
          <w:szCs w:val="24"/>
        </w:rPr>
      </w:pPr>
      <w:r>
        <w:rPr>
          <w:rFonts w:hint="eastAsia" w:ascii="宋体" w:hAnsi="宋体" w:cs="宋体"/>
          <w:sz w:val="24"/>
          <w:szCs w:val="24"/>
        </w:rPr>
        <w:t>该项目在运营过程中，运营单位城发环保能源（滑县）有限公司于2019年5月变更该项目的管理层，原项目管理层将变更前的项目资料及财务资料全部带走，影响评价时项目资料的及时获取和财务资料的完整。但项目管理方城管局未对运营方管理层变更的原由进行记录、分析和评价。</w:t>
      </w:r>
    </w:p>
    <w:p w14:paraId="3069A8F9">
      <w:pPr>
        <w:spacing w:line="360" w:lineRule="auto"/>
        <w:ind w:firstLine="480"/>
        <w:rPr>
          <w:rFonts w:ascii="宋体" w:hAnsi="宋体" w:cs="宋体"/>
          <w:sz w:val="24"/>
          <w:szCs w:val="24"/>
        </w:rPr>
      </w:pPr>
      <w:r>
        <w:rPr>
          <w:rFonts w:hint="eastAsia" w:ascii="宋体" w:hAnsi="宋体" w:cs="宋体"/>
          <w:sz w:val="24"/>
          <w:szCs w:val="24"/>
        </w:rPr>
        <w:t>（二）项目合同内容不够完善，不利于对服务方的监管</w:t>
      </w:r>
    </w:p>
    <w:p w14:paraId="0513C663">
      <w:pPr>
        <w:spacing w:line="360" w:lineRule="auto"/>
        <w:rPr>
          <w:rFonts w:ascii="宋体" w:hAnsi="宋体" w:cs="宋体"/>
          <w:sz w:val="24"/>
          <w:szCs w:val="24"/>
        </w:rPr>
      </w:pPr>
      <w:r>
        <w:rPr>
          <w:rFonts w:hint="eastAsia" w:ascii="宋体" w:hAnsi="宋体" w:cs="宋体"/>
          <w:sz w:val="24"/>
          <w:szCs w:val="24"/>
        </w:rPr>
        <w:t xml:space="preserve">    该项目合同签订格式与签订内容与招标文件不太一致。招标文件中对项目要求的服务标准及产出质量进行详细的要求，但项目合同中未体现该部分内容。</w:t>
      </w:r>
    </w:p>
    <w:p w14:paraId="3396534A">
      <w:pPr>
        <w:spacing w:line="360" w:lineRule="auto"/>
        <w:ind w:firstLine="482" w:firstLineChars="200"/>
        <w:rPr>
          <w:rFonts w:ascii="宋体" w:hAnsi="宋体" w:cs="宋体"/>
          <w:b/>
          <w:bCs/>
          <w:sz w:val="24"/>
          <w:szCs w:val="24"/>
        </w:rPr>
      </w:pPr>
      <w:r>
        <w:rPr>
          <w:rFonts w:hint="eastAsia" w:ascii="宋体" w:hAnsi="宋体" w:cs="宋体"/>
          <w:b/>
          <w:bCs/>
          <w:sz w:val="24"/>
          <w:szCs w:val="24"/>
        </w:rPr>
        <w:t>五、建议</w:t>
      </w:r>
    </w:p>
    <w:p w14:paraId="2088879A">
      <w:pPr>
        <w:spacing w:line="360" w:lineRule="auto"/>
        <w:ind w:firstLine="480" w:firstLineChars="200"/>
        <w:rPr>
          <w:rFonts w:ascii="宋体" w:hAnsi="宋体" w:cs="宋体"/>
          <w:sz w:val="24"/>
          <w:szCs w:val="24"/>
        </w:rPr>
      </w:pPr>
      <w:r>
        <w:rPr>
          <w:rFonts w:hint="eastAsia" w:ascii="宋体" w:hAnsi="宋体" w:cs="宋体"/>
          <w:sz w:val="24"/>
          <w:szCs w:val="24"/>
        </w:rPr>
        <w:t>（一）以后年度预算按照相关文件规定申报绩效目标指标</w:t>
      </w:r>
    </w:p>
    <w:p w14:paraId="178457A8">
      <w:pPr>
        <w:spacing w:line="360" w:lineRule="auto"/>
        <w:ind w:firstLine="480" w:firstLineChars="200"/>
        <w:rPr>
          <w:rFonts w:ascii="宋体" w:hAnsi="宋体" w:cs="宋体"/>
          <w:sz w:val="24"/>
          <w:szCs w:val="24"/>
        </w:rPr>
      </w:pPr>
      <w:r>
        <w:rPr>
          <w:rFonts w:hint="eastAsia" w:ascii="宋体" w:hAnsi="宋体" w:cs="宋体"/>
          <w:sz w:val="24"/>
          <w:szCs w:val="24"/>
        </w:rPr>
        <w:t>项目绩效预算编制是现阶段绩效预算编制的重点，预算部门（单位）要重视项目绩效目标编报与项目绩效预算编制的有机结合，不断提升项目绩效预算编制工作的质量和效率，项目绩效预算编制的数量和资金规模与项目绩效目标相适应。建议城管局以后年度进行项目绩效目标编制，参照绩效目标体系，根据项目计划完成内容和预算安排情况，对绩效目标进行细化，并赋予合适的指标值，从而反映项目内容的完成情况和预期效益。</w:t>
      </w:r>
    </w:p>
    <w:p w14:paraId="508CB1E6">
      <w:pPr>
        <w:spacing w:line="360" w:lineRule="auto"/>
        <w:ind w:firstLine="480" w:firstLineChars="200"/>
        <w:rPr>
          <w:rFonts w:ascii="宋体" w:hAnsi="宋体" w:cs="宋体"/>
          <w:sz w:val="24"/>
          <w:szCs w:val="24"/>
        </w:rPr>
      </w:pPr>
      <w:r>
        <w:rPr>
          <w:rFonts w:hint="eastAsia" w:ascii="宋体" w:hAnsi="宋体" w:cs="宋体"/>
          <w:sz w:val="24"/>
          <w:szCs w:val="24"/>
        </w:rPr>
        <w:t>（二）完善项目管理机制，提高对项目监管的全面性和有效性</w:t>
      </w:r>
    </w:p>
    <w:p w14:paraId="27009FAD">
      <w:pPr>
        <w:spacing w:line="360" w:lineRule="auto"/>
        <w:ind w:firstLine="480"/>
        <w:rPr>
          <w:rFonts w:ascii="宋体" w:hAnsi="宋体" w:cs="宋体"/>
          <w:sz w:val="24"/>
          <w:szCs w:val="24"/>
        </w:rPr>
      </w:pPr>
      <w:r>
        <w:rPr>
          <w:rFonts w:hint="eastAsia" w:ascii="宋体" w:hAnsi="宋体" w:cs="宋体"/>
          <w:sz w:val="24"/>
          <w:szCs w:val="24"/>
        </w:rPr>
        <w:t>建议城管局进一步强化绩效管理意识，通过服务对象满意度调查等方式收集绩效信息，及时分析绩效管理过程中存在的问题并提出解决措施，同时加强对运营单位的监督管理，及时发现项目运营中出现的问题，建立健全同运营单位的沟通协调机制，对项目进行全过程监督管理，逐步提升项目绩效管理的精细化水平。</w:t>
      </w:r>
    </w:p>
    <w:p w14:paraId="3D7B89FE">
      <w:pPr>
        <w:spacing w:line="360" w:lineRule="auto"/>
        <w:ind w:firstLine="480"/>
        <w:rPr>
          <w:rFonts w:ascii="宋体" w:hAnsi="宋体" w:cs="宋体"/>
          <w:sz w:val="24"/>
          <w:szCs w:val="24"/>
        </w:rPr>
      </w:pPr>
      <w:r>
        <w:rPr>
          <w:rFonts w:hint="eastAsia" w:ascii="宋体" w:hAnsi="宋体" w:cs="宋体"/>
          <w:sz w:val="24"/>
          <w:szCs w:val="24"/>
        </w:rPr>
        <w:t>（三）规范项目合同签订内容，把控项目内容完成进程</w:t>
      </w:r>
    </w:p>
    <w:p w14:paraId="2E8D4BF4">
      <w:pPr>
        <w:spacing w:line="360" w:lineRule="auto"/>
        <w:ind w:firstLine="480"/>
        <w:rPr>
          <w:rFonts w:ascii="宋体" w:hAnsi="宋体" w:cs="宋体"/>
          <w:sz w:val="24"/>
          <w:szCs w:val="24"/>
        </w:rPr>
      </w:pPr>
      <w:r>
        <w:rPr>
          <w:rFonts w:hint="eastAsia" w:ascii="宋体" w:hAnsi="宋体" w:cs="宋体"/>
          <w:sz w:val="24"/>
          <w:szCs w:val="24"/>
        </w:rPr>
        <w:t>建议城管局在以后年度与运营方签订合同时，将合同内容进行完善，明确项目服务标准和质量要求等内容，对项目质量要求根据项目特点进行细化，对项目考核要求进行清晰表述，从而加强对运营方的约束力度。</w:t>
      </w:r>
    </w:p>
    <w:p w14:paraId="6E9D6698">
      <w:pPr>
        <w:spacing w:line="360" w:lineRule="auto"/>
        <w:ind w:firstLine="480"/>
        <w:rPr>
          <w:rFonts w:ascii="宋体" w:hAnsi="宋体" w:cs="宋体"/>
          <w:color w:val="FF0000"/>
          <w:sz w:val="24"/>
          <w:szCs w:val="24"/>
        </w:rPr>
      </w:pPr>
    </w:p>
    <w:p w14:paraId="53494FCB">
      <w:pPr>
        <w:spacing w:line="360" w:lineRule="auto"/>
        <w:ind w:firstLine="3600" w:firstLineChars="1500"/>
        <w:rPr>
          <w:rFonts w:ascii="宋体" w:hAnsi="宋体" w:cs="宋体"/>
          <w:sz w:val="24"/>
          <w:szCs w:val="24"/>
        </w:rPr>
      </w:pPr>
    </w:p>
    <w:p w14:paraId="2992DF74">
      <w:pPr>
        <w:spacing w:line="360" w:lineRule="auto"/>
        <w:ind w:firstLine="3600" w:firstLineChars="1500"/>
        <w:rPr>
          <w:rFonts w:ascii="宋体" w:hAnsi="宋体" w:cs="宋体"/>
          <w:sz w:val="24"/>
          <w:szCs w:val="24"/>
        </w:rPr>
      </w:pPr>
    </w:p>
    <w:p w14:paraId="36D8979A">
      <w:pPr>
        <w:spacing w:line="360" w:lineRule="auto"/>
        <w:ind w:firstLine="4320" w:firstLineChars="1800"/>
        <w:rPr>
          <w:rFonts w:ascii="宋体" w:hAnsi="宋体" w:cs="宋体"/>
          <w:sz w:val="24"/>
          <w:szCs w:val="24"/>
        </w:rPr>
      </w:pPr>
    </w:p>
    <w:p w14:paraId="41B06C82">
      <w:pPr>
        <w:pStyle w:val="2"/>
        <w:rPr>
          <w:rFonts w:hint="default"/>
          <w:lang w:eastAsia="zh-CN"/>
        </w:rPr>
      </w:pPr>
    </w:p>
    <w:p w14:paraId="4C3AAEA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uorr" w:date="2020-04-26T18:49:00Z" w:initials="n">
    <w:p w14:paraId="3FBB7D6D">
      <w:pPr>
        <w:pStyle w:val="6"/>
        <w:rPr>
          <w:rFonts w:hint="eastAsia"/>
        </w:rPr>
      </w:pPr>
      <w:r>
        <w:rPr>
          <w:rFonts w:hint="eastAsia"/>
        </w:rPr>
        <w:t>根据财务分析报告修订</w:t>
      </w:r>
    </w:p>
  </w:comment>
  <w:comment w:id="1" w:author="nuorr" w:date="2020-04-26T18:50:00Z" w:initials="n">
    <w:p w14:paraId="468A1329">
      <w:pPr>
        <w:pStyle w:val="6"/>
      </w:pPr>
      <w:r>
        <w:rPr>
          <w:rFonts w:hint="eastAsia"/>
        </w:rPr>
        <w:t>修订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BB7D6D" w15:done="0"/>
  <w15:commentEx w15:paraId="468A13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462101"/>
      <w:docPartObj>
        <w:docPartGallery w:val="autotext"/>
      </w:docPartObj>
    </w:sdtPr>
    <w:sdtEndPr>
      <w:rPr>
        <w:rFonts w:ascii="Times New Roman" w:hAnsi="Times New Roman" w:cs="Times New Roman"/>
      </w:rPr>
    </w:sdtEndPr>
    <w:sdtContent>
      <w:sdt>
        <w:sdtPr>
          <w:id w:val="-1115827735"/>
          <w:docPartObj>
            <w:docPartGallery w:val="autotext"/>
          </w:docPartObj>
        </w:sdtPr>
        <w:sdtEndPr>
          <w:rPr>
            <w:rFonts w:ascii="Times New Roman" w:hAnsi="Times New Roman" w:cs="Times New Roman"/>
          </w:rPr>
        </w:sdtEndPr>
        <w:sdtContent>
          <w:p w14:paraId="6A7B737B">
            <w:pPr>
              <w:pStyle w:val="7"/>
              <w:jc w:val="center"/>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54</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99</w:t>
            </w:r>
            <w:r>
              <w:rPr>
                <w:rFonts w:ascii="Times New Roman" w:hAnsi="Times New Roman" w:cs="Times New Roman"/>
                <w:b/>
                <w:bCs/>
                <w:sz w:val="24"/>
                <w:szCs w:val="24"/>
              </w:rPr>
              <w:fldChar w:fldCharType="end"/>
            </w:r>
          </w:p>
        </w:sdtContent>
      </w:sdt>
    </w:sdtContent>
  </w:sdt>
  <w:p w14:paraId="2956DA4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83D790F">
      <w:pPr>
        <w:pStyle w:val="9"/>
        <w:spacing w:line="360" w:lineRule="exact"/>
        <w:rPr>
          <w:rFonts w:ascii="仿宋_GB2312" w:eastAsia="仿宋_GB2312"/>
          <w:sz w:val="20"/>
        </w:rPr>
      </w:pPr>
      <w:r>
        <w:rPr>
          <w:rStyle w:val="16"/>
          <w:rFonts w:hint="eastAsia" w:ascii="仿宋_GB2312" w:eastAsia="仿宋_GB2312"/>
          <w:sz w:val="20"/>
        </w:rPr>
        <w:footnoteRef/>
      </w:r>
      <w:r>
        <w:rPr>
          <w:rFonts w:hint="eastAsia" w:ascii="仿宋_GB2312" w:eastAsia="仿宋_GB2312"/>
          <w:sz w:val="20"/>
        </w:rPr>
        <w:t xml:space="preserve"> </w:t>
      </w:r>
      <w:r>
        <w:rPr>
          <w:rFonts w:hint="eastAsia" w:ascii="仿宋_GB2312" w:eastAsia="仿宋_GB2312"/>
          <w:sz w:val="21"/>
          <w:szCs w:val="21"/>
        </w:rPr>
        <w:t>根据《河南省省级预算绩效评价管理办法》（豫财预〔2019〕176号）,绩效评价结果实施百分制和四级分类,分别是:90-100分 为优,80-89分为良,60-79分为中,0-59为分差。</w:t>
      </w:r>
    </w:p>
  </w:footnote>
  <w:footnote w:id="1">
    <w:p w14:paraId="5108BFC0">
      <w:pPr>
        <w:pStyle w:val="9"/>
      </w:pPr>
      <w:r>
        <w:rPr>
          <w:rStyle w:val="16"/>
        </w:rPr>
        <w:footnoteRef/>
      </w:r>
      <w:r>
        <w:t xml:space="preserve"> </w:t>
      </w:r>
      <w:r>
        <w:rPr>
          <w:rFonts w:hint="eastAsia"/>
        </w:rPr>
        <w:t>由于2</w:t>
      </w:r>
      <w:r>
        <w:t>016</w:t>
      </w:r>
      <w:r>
        <w:rPr>
          <w:rFonts w:hint="eastAsia"/>
        </w:rPr>
        <w:t>年1</w:t>
      </w:r>
      <w:r>
        <w:t>1</w:t>
      </w:r>
      <w:r>
        <w:rPr>
          <w:rFonts w:hint="eastAsia"/>
        </w:rPr>
        <w:t>月至2</w:t>
      </w:r>
      <w:r>
        <w:t>017</w:t>
      </w:r>
      <w:r>
        <w:rPr>
          <w:rFonts w:hint="eastAsia"/>
        </w:rPr>
        <w:t>年2月期间滑县城区公交实施免费乘车，因此2</w:t>
      </w:r>
      <w:r>
        <w:t>016</w:t>
      </w:r>
      <w:r>
        <w:rPr>
          <w:rFonts w:hint="eastAsia"/>
        </w:rPr>
        <w:t>年最后两个月和2</w:t>
      </w:r>
      <w:r>
        <w:t>017</w:t>
      </w:r>
      <w:r>
        <w:rPr>
          <w:rFonts w:hint="eastAsia"/>
        </w:rPr>
        <w:t>年前两个月票面收入为零。综合考虑免费乘车影响，不考虑季节因素影响下，分别将2</w:t>
      </w:r>
      <w:r>
        <w:t>016</w:t>
      </w:r>
      <w:r>
        <w:rPr>
          <w:rFonts w:hint="eastAsia"/>
        </w:rPr>
        <w:t>、2</w:t>
      </w:r>
      <w:r>
        <w:t>017</w:t>
      </w:r>
      <w:r>
        <w:rPr>
          <w:rFonts w:hint="eastAsia"/>
        </w:rPr>
        <w:t>两年实际票面收入乘以1</w:t>
      </w:r>
      <w:r>
        <w:t>.2</w:t>
      </w:r>
      <w:r>
        <w:rPr>
          <w:rFonts w:hint="eastAsia"/>
        </w:rPr>
        <w:t>作为该年度票面收入调整后数额。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6F962"/>
    <w:multiLevelType w:val="singleLevel"/>
    <w:tmpl w:val="AC66F962"/>
    <w:lvl w:ilvl="0" w:tentative="0">
      <w:start w:val="1"/>
      <w:numFmt w:val="decimal"/>
      <w:suff w:val="nothing"/>
      <w:lvlText w:val="%1、"/>
      <w:lvlJc w:val="left"/>
      <w:pPr>
        <w:ind w:left="480" w:firstLine="0"/>
      </w:pPr>
    </w:lvl>
  </w:abstractNum>
  <w:abstractNum w:abstractNumId="1">
    <w:nsid w:val="CFF634DE"/>
    <w:multiLevelType w:val="singleLevel"/>
    <w:tmpl w:val="CFF634DE"/>
    <w:lvl w:ilvl="0" w:tentative="0">
      <w:start w:val="1"/>
      <w:numFmt w:val="decimal"/>
      <w:suff w:val="nothing"/>
      <w:lvlText w:val="%1、"/>
      <w:lvlJc w:val="left"/>
      <w:pPr>
        <w:ind w:left="480" w:firstLine="0"/>
      </w:pPr>
    </w:lvl>
  </w:abstractNum>
  <w:abstractNum w:abstractNumId="2">
    <w:nsid w:val="ECAD084D"/>
    <w:multiLevelType w:val="singleLevel"/>
    <w:tmpl w:val="ECAD084D"/>
    <w:lvl w:ilvl="0" w:tentative="0">
      <w:start w:val="2"/>
      <w:numFmt w:val="decimal"/>
      <w:suff w:val="nothing"/>
      <w:lvlText w:val="%1、"/>
      <w:lvlJc w:val="left"/>
    </w:lvl>
  </w:abstractNum>
  <w:abstractNum w:abstractNumId="3">
    <w:nsid w:val="FF069EC3"/>
    <w:multiLevelType w:val="singleLevel"/>
    <w:tmpl w:val="FF069EC3"/>
    <w:lvl w:ilvl="0" w:tentative="0">
      <w:start w:val="2"/>
      <w:numFmt w:val="chineseCounting"/>
      <w:suff w:val="nothing"/>
      <w:lvlText w:val="%1、"/>
      <w:lvlJc w:val="left"/>
      <w:rPr>
        <w:rFonts w:hint="eastAsia"/>
      </w:rPr>
    </w:lvl>
  </w:abstractNum>
  <w:abstractNum w:abstractNumId="4">
    <w:nsid w:val="15934CDA"/>
    <w:multiLevelType w:val="multilevel"/>
    <w:tmpl w:val="15934CDA"/>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6F59DBD"/>
    <w:multiLevelType w:val="singleLevel"/>
    <w:tmpl w:val="16F59DBD"/>
    <w:lvl w:ilvl="0" w:tentative="0">
      <w:start w:val="1"/>
      <w:numFmt w:val="decimal"/>
      <w:suff w:val="nothing"/>
      <w:lvlText w:val="（%1）"/>
      <w:lvlJc w:val="left"/>
      <w:pPr>
        <w:ind w:left="480" w:firstLine="0"/>
      </w:pPr>
    </w:lvl>
  </w:abstractNum>
  <w:abstractNum w:abstractNumId="6">
    <w:nsid w:val="320E6E1A"/>
    <w:multiLevelType w:val="singleLevel"/>
    <w:tmpl w:val="320E6E1A"/>
    <w:lvl w:ilvl="0" w:tentative="0">
      <w:start w:val="2"/>
      <w:numFmt w:val="chineseCounting"/>
      <w:suff w:val="nothing"/>
      <w:lvlText w:val="（%1）"/>
      <w:lvlJc w:val="left"/>
      <w:pPr>
        <w:ind w:left="480" w:firstLine="0"/>
      </w:pPr>
      <w:rPr>
        <w:rFonts w:hint="eastAsia"/>
      </w:rPr>
    </w:lvl>
  </w:abstractNum>
  <w:abstractNum w:abstractNumId="7">
    <w:nsid w:val="3867C848"/>
    <w:multiLevelType w:val="singleLevel"/>
    <w:tmpl w:val="3867C848"/>
    <w:lvl w:ilvl="0" w:tentative="0">
      <w:start w:val="1"/>
      <w:numFmt w:val="decimal"/>
      <w:suff w:val="nothing"/>
      <w:lvlText w:val="%1、"/>
      <w:lvlJc w:val="left"/>
      <w:pPr>
        <w:ind w:left="480" w:firstLine="0"/>
      </w:pPr>
    </w:lvl>
  </w:abstractNum>
  <w:abstractNum w:abstractNumId="8">
    <w:nsid w:val="4295DD03"/>
    <w:multiLevelType w:val="singleLevel"/>
    <w:tmpl w:val="4295DD03"/>
    <w:lvl w:ilvl="0" w:tentative="0">
      <w:start w:val="4"/>
      <w:numFmt w:val="chineseCounting"/>
      <w:suff w:val="nothing"/>
      <w:lvlText w:val="%1、"/>
      <w:lvlJc w:val="left"/>
      <w:rPr>
        <w:rFonts w:hint="eastAsia"/>
      </w:rPr>
    </w:lvl>
  </w:abstractNum>
  <w:abstractNum w:abstractNumId="9">
    <w:nsid w:val="51EC58EF"/>
    <w:multiLevelType w:val="singleLevel"/>
    <w:tmpl w:val="51EC58EF"/>
    <w:lvl w:ilvl="0" w:tentative="0">
      <w:start w:val="1"/>
      <w:numFmt w:val="chineseCounting"/>
      <w:suff w:val="nothing"/>
      <w:lvlText w:val="（%1）"/>
      <w:lvlJc w:val="left"/>
      <w:pPr>
        <w:ind w:left="480" w:firstLine="0"/>
      </w:pPr>
      <w:rPr>
        <w:rFonts w:hint="eastAsia"/>
      </w:rPr>
    </w:lvl>
  </w:abstractNum>
  <w:abstractNum w:abstractNumId="10">
    <w:nsid w:val="5A557FB5"/>
    <w:multiLevelType w:val="singleLevel"/>
    <w:tmpl w:val="5A557FB5"/>
    <w:lvl w:ilvl="0" w:tentative="0">
      <w:start w:val="2"/>
      <w:numFmt w:val="chineseCounting"/>
      <w:suff w:val="nothing"/>
      <w:lvlText w:val="%1、"/>
      <w:lvlJc w:val="left"/>
    </w:lvl>
  </w:abstractNum>
  <w:abstractNum w:abstractNumId="11">
    <w:nsid w:val="64B2FBEB"/>
    <w:multiLevelType w:val="singleLevel"/>
    <w:tmpl w:val="64B2FBEB"/>
    <w:lvl w:ilvl="0" w:tentative="0">
      <w:start w:val="1"/>
      <w:numFmt w:val="decimal"/>
      <w:suff w:val="nothing"/>
      <w:lvlText w:val="%1、"/>
      <w:lvlJc w:val="left"/>
      <w:pPr>
        <w:ind w:left="480" w:firstLine="0"/>
      </w:pPr>
    </w:lvl>
  </w:abstractNum>
  <w:abstractNum w:abstractNumId="12">
    <w:nsid w:val="6E6F7BA0"/>
    <w:multiLevelType w:val="singleLevel"/>
    <w:tmpl w:val="6E6F7BA0"/>
    <w:lvl w:ilvl="0" w:tentative="0">
      <w:start w:val="1"/>
      <w:numFmt w:val="decimal"/>
      <w:suff w:val="nothing"/>
      <w:lvlText w:val="（%1）"/>
      <w:lvlJc w:val="left"/>
      <w:pPr>
        <w:ind w:left="480" w:firstLine="0"/>
      </w:pPr>
    </w:lvl>
  </w:abstractNum>
  <w:abstractNum w:abstractNumId="13">
    <w:nsid w:val="7F5B2B8F"/>
    <w:multiLevelType w:val="multilevel"/>
    <w:tmpl w:val="7F5B2B8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8"/>
  </w:num>
  <w:num w:numId="2">
    <w:abstractNumId w:val="10"/>
  </w:num>
  <w:num w:numId="3">
    <w:abstractNumId w:val="4"/>
  </w:num>
  <w:num w:numId="4">
    <w:abstractNumId w:val="13"/>
  </w:num>
  <w:num w:numId="5">
    <w:abstractNumId w:val="2"/>
  </w:num>
  <w:num w:numId="6">
    <w:abstractNumId w:val="6"/>
  </w:num>
  <w:num w:numId="7">
    <w:abstractNumId w:val="1"/>
  </w:num>
  <w:num w:numId="8">
    <w:abstractNumId w:val="3"/>
  </w:num>
  <w:num w:numId="9">
    <w:abstractNumId w:val="9"/>
  </w:num>
  <w:num w:numId="10">
    <w:abstractNumId w:val="0"/>
  </w:num>
  <w:num w:numId="11">
    <w:abstractNumId w:val="11"/>
  </w:num>
  <w:num w:numId="12">
    <w:abstractNumId w:val="7"/>
  </w:num>
  <w:num w:numId="13">
    <w:abstractNumId w:val="5"/>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uorr">
    <w15:presenceInfo w15:providerId="None" w15:userId="nuo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13F66"/>
    <w:rsid w:val="05F65CCE"/>
    <w:rsid w:val="063F54B0"/>
    <w:rsid w:val="08816240"/>
    <w:rsid w:val="157C26DD"/>
    <w:rsid w:val="1EC16A83"/>
    <w:rsid w:val="246855B7"/>
    <w:rsid w:val="2D8F72A7"/>
    <w:rsid w:val="2FAA67AD"/>
    <w:rsid w:val="33407BC7"/>
    <w:rsid w:val="4C0A69FA"/>
    <w:rsid w:val="554B3E8B"/>
    <w:rsid w:val="603B0914"/>
    <w:rsid w:val="67EF7B2B"/>
    <w:rsid w:val="6C1F7825"/>
    <w:rsid w:val="70696D00"/>
    <w:rsid w:val="72E22DE6"/>
    <w:rsid w:val="7F21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仿宋_GB2312"/>
      <w:sz w:val="32"/>
      <w:szCs w:val="32"/>
    </w:rPr>
  </w:style>
  <w:style w:type="paragraph" w:styleId="6">
    <w:name w:val="annotation text"/>
    <w:basedOn w:val="1"/>
    <w:semiHidden/>
    <w:unhideWhenUsed/>
    <w:qFormat/>
    <w:uiPriority w:val="99"/>
    <w:pPr>
      <w:jc w:val="left"/>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footnote text"/>
    <w:basedOn w:val="1"/>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styleId="16">
    <w:name w:val="footnote reference"/>
    <w:basedOn w:val="13"/>
    <w:semiHidden/>
    <w:unhideWhenUsed/>
    <w:qFormat/>
    <w:uiPriority w:val="99"/>
    <w:rPr>
      <w:vertAlign w:val="superscript"/>
    </w:rPr>
  </w:style>
  <w:style w:type="paragraph" w:customStyle="1" w:styleId="1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8">
    <w:name w:val="闻政标题3"/>
    <w:basedOn w:val="5"/>
    <w:qFormat/>
    <w:uiPriority w:val="0"/>
    <w:pPr>
      <w:spacing w:before="120" w:after="60" w:line="500" w:lineRule="exact"/>
      <w:jc w:val="left"/>
      <w:outlineLvl w:val="0"/>
    </w:pPr>
    <w:rPr>
      <w:rFonts w:ascii="黑体" w:hAnsi="黑体" w:eastAsia="黑体" w:cs="Times New Roman"/>
      <w:b w:val="0"/>
      <w:kern w:val="0"/>
    </w:rPr>
  </w:style>
  <w:style w:type="paragraph" w:customStyle="1" w:styleId="19">
    <w:name w:val="闻政正文"/>
    <w:basedOn w:val="1"/>
    <w:qFormat/>
    <w:uiPriority w:val="0"/>
    <w:pPr>
      <w:spacing w:line="500" w:lineRule="exact"/>
      <w:ind w:firstLine="560" w:firstLineChars="200"/>
    </w:pPr>
    <w:rPr>
      <w:rFonts w:ascii="Times New Roman" w:hAnsi="Times New Roman" w:eastAsia="仿宋_GB2312" w:cs="Times New Roman"/>
      <w:kern w:val="0"/>
      <w:sz w:val="28"/>
      <w:szCs w:val="28"/>
    </w:rPr>
  </w:style>
  <w:style w:type="paragraph" w:customStyle="1" w:styleId="20">
    <w:name w:val="闻政标题4"/>
    <w:basedOn w:val="4"/>
    <w:qFormat/>
    <w:uiPriority w:val="0"/>
    <w:pPr>
      <w:spacing w:before="120" w:after="60" w:line="500" w:lineRule="exact"/>
      <w:ind w:firstLine="200" w:firstLineChars="200"/>
      <w:jc w:val="left"/>
    </w:pPr>
    <w:rPr>
      <w:rFonts w:ascii="Times New Roman" w:hAnsi="Times New Roman" w:eastAsia="仿宋_GB2312" w:cs="Times New Roman"/>
      <w:kern w:val="0"/>
      <w:sz w:val="28"/>
    </w:rPr>
  </w:style>
  <w:style w:type="paragraph" w:customStyle="1" w:styleId="21">
    <w:name w:val="闻政表"/>
    <w:basedOn w:val="1"/>
    <w:link w:val="22"/>
    <w:qFormat/>
    <w:uiPriority w:val="0"/>
    <w:pPr>
      <w:spacing w:before="60" w:after="60"/>
      <w:jc w:val="center"/>
    </w:pPr>
    <w:rPr>
      <w:rFonts w:ascii="Times New Roman" w:hAnsi="Times New Roman" w:eastAsia="仿宋_GB2312" w:cs="Times New Roman"/>
      <w:b/>
      <w:kern w:val="0"/>
      <w:sz w:val="24"/>
      <w:szCs w:val="28"/>
    </w:rPr>
  </w:style>
  <w:style w:type="character" w:customStyle="1" w:styleId="22">
    <w:name w:val="闻政表 Char"/>
    <w:link w:val="21"/>
    <w:qFormat/>
    <w:uiPriority w:val="0"/>
    <w:rPr>
      <w:rFonts w:ascii="Times New Roman" w:hAnsi="Times New Roman" w:eastAsia="仿宋_GB2312" w:cs="Times New Roman"/>
      <w:b/>
      <w:kern w:val="0"/>
      <w:sz w:val="24"/>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18832</Words>
  <Characters>21148</Characters>
  <Lines>0</Lines>
  <Paragraphs>0</Paragraphs>
  <TotalTime>7</TotalTime>
  <ScaleCrop>false</ScaleCrop>
  <LinksUpToDate>false</LinksUpToDate>
  <CharactersWithSpaces>21413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2020-10-14T09:09:00Z</dcterms:created>
  <dc:creator>ysk</dc:creator>
  <cp:lastModifiedBy>悦朝胜</cp:lastModifiedBy>
  <dcterms:modified xsi:type="dcterms:W3CDTF">2025-03-31T07:05:17Z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eyJoZGlkIjoiYTQ5ZTk3NGEwYjU5NTRjMGMyYTY3YmRhYjE4MGNkNDYiLCJ1c2VySWQiOiI0OTc1NjQ4ODAifQ==</vt:lpwstr>
  </property>
  <property fmtid="{D5CDD505-2E9C-101B-9397-08002B2CF9AE}" pid="4" name="ICV">
    <vt:lpwstr>8388F57E025344E5A9E78C9B2EBB987D_12</vt:lpwstr>
  </property>
</Properties>
</file>