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6DB" w:rsidRDefault="002F348A">
      <w:pPr>
        <w:pStyle w:val="a8"/>
        <w:widowControl/>
        <w:spacing w:line="360" w:lineRule="auto"/>
        <w:jc w:val="center"/>
        <w:rPr>
          <w:rFonts w:ascii="方正小标宋简体" w:eastAsia="方正小标宋简体" w:hAnsi="方正小标宋简体" w:cs="方正小标宋简体"/>
          <w:color w:val="333333"/>
          <w:sz w:val="30"/>
          <w:szCs w:val="30"/>
        </w:rPr>
      </w:pPr>
      <w:r>
        <w:rPr>
          <w:rFonts w:ascii="方正小标宋简体" w:eastAsia="方正小标宋简体" w:hAnsi="方正小标宋简体" w:cs="方正小标宋简体"/>
          <w:color w:val="333333"/>
          <w:sz w:val="30"/>
          <w:szCs w:val="30"/>
        </w:rPr>
        <w:t>关于</w:t>
      </w:r>
      <w:r>
        <w:rPr>
          <w:rFonts w:ascii="方正小标宋简体" w:eastAsia="方正小标宋简体" w:hAnsi="方正小标宋简体" w:cs="方正小标宋简体" w:hint="eastAsia"/>
          <w:color w:val="333333"/>
          <w:sz w:val="30"/>
          <w:szCs w:val="30"/>
        </w:rPr>
        <w:t>2025年2月12</w:t>
      </w:r>
      <w:r>
        <w:rPr>
          <w:rFonts w:ascii="方正小标宋简体" w:eastAsia="方正小标宋简体" w:hAnsi="方正小标宋简体" w:cs="方正小标宋简体"/>
          <w:color w:val="333333"/>
          <w:sz w:val="30"/>
          <w:szCs w:val="30"/>
        </w:rPr>
        <w:t>日</w:t>
      </w:r>
      <w:r>
        <w:rPr>
          <w:rFonts w:ascii="方正小标宋简体" w:eastAsia="方正小标宋简体" w:hAnsi="方正小标宋简体" w:cs="方正小标宋简体" w:hint="eastAsia"/>
          <w:color w:val="333333"/>
          <w:sz w:val="30"/>
          <w:szCs w:val="30"/>
        </w:rPr>
        <w:t>拟作出的建设项目环境影响评价文件</w:t>
      </w:r>
    </w:p>
    <w:p w:rsidR="005C56DB" w:rsidRDefault="002F348A">
      <w:pPr>
        <w:pStyle w:val="a8"/>
        <w:widowControl/>
        <w:spacing w:line="360" w:lineRule="auto"/>
        <w:jc w:val="center"/>
        <w:rPr>
          <w:rFonts w:ascii="方正小标宋简体" w:eastAsia="方正小标宋简体" w:hAnsi="方正小标宋简体" w:cs="方正小标宋简体"/>
          <w:color w:val="333333"/>
          <w:sz w:val="30"/>
          <w:szCs w:val="30"/>
        </w:rPr>
      </w:pPr>
      <w:r>
        <w:rPr>
          <w:rFonts w:ascii="方正小标宋简体" w:eastAsia="方正小标宋简体" w:hAnsi="方正小标宋简体" w:cs="方正小标宋简体" w:hint="eastAsia"/>
          <w:color w:val="333333"/>
          <w:sz w:val="30"/>
          <w:szCs w:val="30"/>
        </w:rPr>
        <w:t>批复决定的公示</w:t>
      </w:r>
    </w:p>
    <w:p w:rsidR="005C56DB" w:rsidRDefault="002F348A">
      <w:pPr>
        <w:pStyle w:val="a8"/>
        <w:widowControl/>
        <w:shd w:val="clear" w:color="auto" w:fill="FFFFFF"/>
        <w:spacing w:before="75" w:beforeAutospacing="0" w:after="75" w:afterAutospacing="0"/>
        <w:rPr>
          <w:rFonts w:ascii="sans-serif" w:eastAsia="sans-serif" w:hAnsi="sans-serif" w:cs="sans-serif"/>
          <w:color w:val="000000"/>
        </w:rPr>
      </w:pPr>
      <w:r>
        <w:rPr>
          <w:rFonts w:ascii="宋体" w:eastAsia="宋体" w:hAnsi="宋体" w:cs="宋体" w:hint="eastAsia"/>
          <w:color w:val="333333"/>
          <w:sz w:val="19"/>
          <w:szCs w:val="19"/>
          <w:shd w:val="clear" w:color="auto" w:fill="FFFFFF"/>
        </w:rPr>
        <w:t>  </w:t>
      </w:r>
      <w:r>
        <w:rPr>
          <w:rFonts w:ascii="宋体" w:eastAsia="宋体" w:hAnsi="宋体" w:cs="宋体" w:hint="eastAsia"/>
          <w:color w:val="000000"/>
          <w:sz w:val="21"/>
          <w:szCs w:val="21"/>
          <w:shd w:val="clear" w:color="auto" w:fill="FFFFFF"/>
        </w:rPr>
        <w:t>根据建设项目环境影响评价审批程序的有关规定，经审议，我局拟对1个建设项目环境影响评价文件作出审批意见。为保证审批意见的严肃性和公正性，现将各建设项目环境影响评价文件的基本情况予以公示。如有异议，请在公示期内反馈我局环评科。公示期为2025年2月18日－2025年2月18日（5个工作日）。</w:t>
      </w:r>
    </w:p>
    <w:p w:rsidR="005C56DB" w:rsidRDefault="002F348A">
      <w:pPr>
        <w:pStyle w:val="a8"/>
        <w:widowControl/>
        <w:shd w:val="clear" w:color="auto" w:fill="FFFFFF"/>
        <w:spacing w:before="75" w:beforeAutospacing="0" w:after="75" w:afterAutospacing="0"/>
        <w:rPr>
          <w:rFonts w:ascii="sans-serif" w:eastAsia="sans-serif" w:hAnsi="sans-serif" w:cs="sans-serif"/>
          <w:color w:val="000000"/>
        </w:rPr>
      </w:pPr>
      <w:r>
        <w:rPr>
          <w:rFonts w:ascii="宋体" w:eastAsia="宋体" w:hAnsi="宋体" w:cs="宋体" w:hint="eastAsia"/>
          <w:color w:val="000000"/>
          <w:sz w:val="21"/>
          <w:szCs w:val="21"/>
          <w:shd w:val="clear" w:color="auto" w:fill="FFFFFF"/>
        </w:rPr>
        <w:t>    电话：0372—8181590</w:t>
      </w:r>
    </w:p>
    <w:p w:rsidR="005C56DB" w:rsidRDefault="002F348A">
      <w:pPr>
        <w:pStyle w:val="a8"/>
        <w:widowControl/>
        <w:spacing w:before="75" w:beforeAutospacing="0" w:after="75" w:afterAutospacing="0"/>
        <w:rPr>
          <w:rFonts w:ascii="sans-serif" w:eastAsia="sans-serif" w:hAnsi="sans-serif" w:cs="sans-serif"/>
          <w:color w:val="000000"/>
        </w:rPr>
      </w:pPr>
      <w:r>
        <w:rPr>
          <w:rFonts w:ascii="宋体" w:eastAsia="宋体" w:hAnsi="宋体" w:cs="宋体" w:hint="eastAsia"/>
          <w:color w:val="000000"/>
          <w:sz w:val="21"/>
          <w:szCs w:val="21"/>
        </w:rPr>
        <w:t>    通讯地址：滑东新区创业大道与欧阳路交叉口东150米路南（456400）</w:t>
      </w:r>
    </w:p>
    <w:p w:rsidR="005C56DB" w:rsidRDefault="002F348A">
      <w:pPr>
        <w:pStyle w:val="a8"/>
        <w:widowControl/>
        <w:shd w:val="clear" w:color="auto" w:fill="FFFFFF"/>
        <w:spacing w:before="75" w:beforeAutospacing="0" w:after="75" w:afterAutospacing="0"/>
        <w:rPr>
          <w:rFonts w:ascii="sans-serif" w:eastAsia="sans-serif" w:hAnsi="sans-serif" w:cs="sans-serif"/>
          <w:color w:val="000000"/>
        </w:rPr>
      </w:pPr>
      <w:r>
        <w:rPr>
          <w:rFonts w:ascii="宋体" w:eastAsia="宋体" w:hAnsi="宋体" w:cs="宋体" w:hint="eastAsia"/>
          <w:color w:val="000000"/>
          <w:sz w:val="21"/>
          <w:szCs w:val="21"/>
          <w:shd w:val="clear" w:color="auto" w:fill="FFFFFF"/>
        </w:rPr>
        <w:t>    听证告知：依据《中华人民共和国行政许可法》，自公示起五个工作日内申请人、有重大利益关系的利害关系人可对以下拟作出的建设项目环境影响评价文件批复决定要求听证。</w:t>
      </w:r>
      <w:bookmarkStart w:id="0" w:name="_GoBack"/>
      <w:bookmarkEnd w:id="0"/>
    </w:p>
    <w:p w:rsidR="005C56DB" w:rsidRDefault="002F348A">
      <w:pPr>
        <w:pStyle w:val="a8"/>
        <w:widowControl/>
        <w:shd w:val="clear" w:color="auto" w:fill="FFFFFF"/>
        <w:spacing w:before="75" w:beforeAutospacing="0" w:after="75" w:afterAutospacing="0"/>
        <w:jc w:val="both"/>
        <w:rPr>
          <w:rFonts w:ascii="sans-serif" w:eastAsia="sans-serif" w:hAnsi="sans-serif" w:cs="sans-serif"/>
          <w:color w:val="000000"/>
        </w:rPr>
      </w:pPr>
      <w:r>
        <w:rPr>
          <w:rFonts w:ascii="宋体" w:eastAsia="宋体" w:hAnsi="宋体" w:cs="宋体" w:hint="eastAsia"/>
          <w:color w:val="000000"/>
          <w:sz w:val="21"/>
          <w:szCs w:val="21"/>
          <w:shd w:val="clear" w:color="auto" w:fill="FFFFFF"/>
        </w:rPr>
        <w:t>拟审批的建设项目环境影响文件</w:t>
      </w:r>
    </w:p>
    <w:tbl>
      <w:tblPr>
        <w:tblW w:w="8115" w:type="dxa"/>
        <w:tblCellMar>
          <w:top w:w="15" w:type="dxa"/>
          <w:left w:w="15" w:type="dxa"/>
          <w:bottom w:w="15" w:type="dxa"/>
          <w:right w:w="15" w:type="dxa"/>
        </w:tblCellMar>
        <w:tblLook w:val="04A0"/>
      </w:tblPr>
      <w:tblGrid>
        <w:gridCol w:w="450"/>
        <w:gridCol w:w="436"/>
        <w:gridCol w:w="571"/>
        <w:gridCol w:w="481"/>
        <w:gridCol w:w="842"/>
        <w:gridCol w:w="902"/>
        <w:gridCol w:w="4433"/>
      </w:tblGrid>
      <w:tr w:rsidR="005C56DB">
        <w:trPr>
          <w:trHeight w:val="90"/>
        </w:trPr>
        <w:tc>
          <w:tcPr>
            <w:tcW w:w="450" w:type="dxa"/>
            <w:tcBorders>
              <w:top w:val="single" w:sz="6" w:space="0" w:color="auto"/>
              <w:left w:val="single" w:sz="6" w:space="0" w:color="auto"/>
              <w:bottom w:val="single" w:sz="4" w:space="0" w:color="auto"/>
              <w:right w:val="single" w:sz="6" w:space="0" w:color="auto"/>
            </w:tcBorders>
            <w:shd w:val="clear" w:color="auto" w:fill="auto"/>
            <w:tcMar>
              <w:top w:w="0" w:type="dxa"/>
              <w:left w:w="0" w:type="dxa"/>
              <w:bottom w:w="0" w:type="dxa"/>
              <w:right w:w="0" w:type="dxa"/>
            </w:tcMar>
            <w:vAlign w:val="center"/>
          </w:tcPr>
          <w:p w:rsidR="005C56DB" w:rsidRDefault="002F348A">
            <w:pPr>
              <w:pStyle w:val="a8"/>
              <w:widowControl/>
              <w:spacing w:beforeAutospacing="0" w:afterAutospacing="0" w:line="300" w:lineRule="atLeast"/>
              <w:jc w:val="center"/>
            </w:pPr>
            <w:r>
              <w:rPr>
                <w:rStyle w:val="a9"/>
                <w:rFonts w:ascii="宋体" w:eastAsia="宋体" w:hAnsi="宋体" w:cs="宋体" w:hint="eastAsia"/>
                <w:color w:val="000000"/>
                <w:sz w:val="18"/>
                <w:szCs w:val="18"/>
              </w:rPr>
              <w:t>序号</w:t>
            </w:r>
          </w:p>
        </w:tc>
        <w:tc>
          <w:tcPr>
            <w:tcW w:w="436"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5C56DB" w:rsidRDefault="002F348A">
            <w:pPr>
              <w:pStyle w:val="a8"/>
              <w:widowControl/>
              <w:spacing w:beforeAutospacing="0" w:afterAutospacing="0" w:line="300" w:lineRule="atLeast"/>
              <w:jc w:val="center"/>
            </w:pPr>
            <w:r>
              <w:rPr>
                <w:rStyle w:val="a9"/>
                <w:rFonts w:ascii="宋体" w:eastAsia="宋体" w:hAnsi="宋体" w:cs="宋体" w:hint="eastAsia"/>
                <w:color w:val="000000"/>
                <w:sz w:val="18"/>
                <w:szCs w:val="18"/>
              </w:rPr>
              <w:t>建设</w:t>
            </w:r>
          </w:p>
          <w:p w:rsidR="005C56DB" w:rsidRDefault="002F348A">
            <w:pPr>
              <w:pStyle w:val="a8"/>
              <w:widowControl/>
              <w:spacing w:beforeAutospacing="0" w:afterAutospacing="0" w:line="300" w:lineRule="atLeast"/>
              <w:jc w:val="center"/>
            </w:pPr>
            <w:r>
              <w:rPr>
                <w:rStyle w:val="a9"/>
                <w:rFonts w:ascii="宋体" w:eastAsia="宋体" w:hAnsi="宋体" w:cs="宋体" w:hint="eastAsia"/>
                <w:color w:val="000000"/>
                <w:sz w:val="18"/>
                <w:szCs w:val="18"/>
              </w:rPr>
              <w:t>单位</w:t>
            </w:r>
          </w:p>
        </w:tc>
        <w:tc>
          <w:tcPr>
            <w:tcW w:w="571"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5C56DB" w:rsidRDefault="002F348A">
            <w:pPr>
              <w:pStyle w:val="a8"/>
              <w:widowControl/>
              <w:spacing w:beforeAutospacing="0" w:afterAutospacing="0" w:line="300" w:lineRule="atLeast"/>
              <w:jc w:val="center"/>
            </w:pPr>
            <w:r>
              <w:rPr>
                <w:rStyle w:val="a9"/>
                <w:rFonts w:ascii="宋体" w:eastAsia="宋体" w:hAnsi="宋体" w:cs="宋体" w:hint="eastAsia"/>
                <w:color w:val="000000"/>
                <w:sz w:val="18"/>
                <w:szCs w:val="18"/>
              </w:rPr>
              <w:t>项目</w:t>
            </w:r>
          </w:p>
          <w:p w:rsidR="005C56DB" w:rsidRDefault="002F348A">
            <w:pPr>
              <w:pStyle w:val="a8"/>
              <w:widowControl/>
              <w:spacing w:beforeAutospacing="0" w:afterAutospacing="0" w:line="300" w:lineRule="atLeast"/>
              <w:jc w:val="center"/>
            </w:pPr>
            <w:r>
              <w:rPr>
                <w:rStyle w:val="a9"/>
                <w:rFonts w:ascii="宋体" w:eastAsia="宋体" w:hAnsi="宋体" w:cs="宋体" w:hint="eastAsia"/>
                <w:color w:val="000000"/>
                <w:sz w:val="18"/>
                <w:szCs w:val="18"/>
              </w:rPr>
              <w:t>名称</w:t>
            </w:r>
          </w:p>
        </w:tc>
        <w:tc>
          <w:tcPr>
            <w:tcW w:w="481"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5C56DB" w:rsidRDefault="002F348A">
            <w:pPr>
              <w:pStyle w:val="a8"/>
              <w:widowControl/>
              <w:spacing w:beforeAutospacing="0" w:afterAutospacing="0" w:line="300" w:lineRule="atLeast"/>
              <w:jc w:val="center"/>
            </w:pPr>
            <w:r>
              <w:rPr>
                <w:rStyle w:val="a9"/>
                <w:rFonts w:ascii="宋体" w:eastAsia="宋体" w:hAnsi="宋体" w:cs="宋体" w:hint="eastAsia"/>
                <w:color w:val="000000"/>
                <w:sz w:val="18"/>
                <w:szCs w:val="18"/>
              </w:rPr>
              <w:t>建设</w:t>
            </w:r>
          </w:p>
          <w:p w:rsidR="005C56DB" w:rsidRDefault="002F348A">
            <w:pPr>
              <w:pStyle w:val="a8"/>
              <w:widowControl/>
              <w:spacing w:beforeAutospacing="0" w:afterAutospacing="0" w:line="300" w:lineRule="atLeast"/>
              <w:jc w:val="center"/>
            </w:pPr>
            <w:r>
              <w:rPr>
                <w:rStyle w:val="a9"/>
                <w:rFonts w:ascii="宋体" w:eastAsia="宋体" w:hAnsi="宋体" w:cs="宋体" w:hint="eastAsia"/>
                <w:color w:val="000000"/>
                <w:sz w:val="18"/>
                <w:szCs w:val="18"/>
              </w:rPr>
              <w:t>地点</w:t>
            </w:r>
          </w:p>
        </w:tc>
        <w:tc>
          <w:tcPr>
            <w:tcW w:w="842"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5C56DB" w:rsidRDefault="002F348A">
            <w:pPr>
              <w:pStyle w:val="a8"/>
              <w:widowControl/>
              <w:spacing w:beforeAutospacing="0" w:afterAutospacing="0" w:line="300" w:lineRule="atLeast"/>
              <w:jc w:val="center"/>
            </w:pPr>
            <w:r>
              <w:rPr>
                <w:rStyle w:val="a9"/>
                <w:rFonts w:ascii="宋体" w:eastAsia="宋体" w:hAnsi="宋体" w:cs="宋体" w:hint="eastAsia"/>
                <w:color w:val="000000"/>
                <w:sz w:val="18"/>
                <w:szCs w:val="18"/>
                <w:shd w:val="clear" w:color="auto" w:fill="FFFFFF"/>
              </w:rPr>
              <w:t>环境影响评价机构</w:t>
            </w:r>
          </w:p>
        </w:tc>
        <w:tc>
          <w:tcPr>
            <w:tcW w:w="902"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5C56DB" w:rsidRDefault="002F348A">
            <w:pPr>
              <w:pStyle w:val="a8"/>
              <w:widowControl/>
              <w:spacing w:beforeAutospacing="0" w:afterAutospacing="0" w:line="300" w:lineRule="atLeast"/>
              <w:jc w:val="center"/>
            </w:pPr>
            <w:r>
              <w:rPr>
                <w:rStyle w:val="a9"/>
                <w:rFonts w:ascii="宋体" w:eastAsia="宋体" w:hAnsi="宋体" w:cs="宋体" w:hint="eastAsia"/>
                <w:color w:val="000000"/>
                <w:sz w:val="18"/>
                <w:szCs w:val="18"/>
                <w:shd w:val="clear" w:color="auto" w:fill="FFFFFF"/>
              </w:rPr>
              <w:t>建设项目</w:t>
            </w:r>
          </w:p>
          <w:p w:rsidR="005C56DB" w:rsidRDefault="002F348A">
            <w:pPr>
              <w:pStyle w:val="a8"/>
              <w:widowControl/>
              <w:spacing w:beforeAutospacing="0" w:afterAutospacing="0" w:line="300" w:lineRule="atLeast"/>
              <w:jc w:val="center"/>
            </w:pPr>
            <w:r>
              <w:rPr>
                <w:rStyle w:val="a9"/>
                <w:rFonts w:ascii="宋体" w:eastAsia="宋体" w:hAnsi="宋体" w:cs="宋体" w:hint="eastAsia"/>
                <w:color w:val="000000"/>
                <w:sz w:val="18"/>
                <w:szCs w:val="18"/>
                <w:shd w:val="clear" w:color="auto" w:fill="FFFFFF"/>
              </w:rPr>
              <w:t>概况</w:t>
            </w:r>
          </w:p>
        </w:tc>
        <w:tc>
          <w:tcPr>
            <w:tcW w:w="4433" w:type="dxa"/>
            <w:tcBorders>
              <w:top w:val="single" w:sz="6"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5C56DB" w:rsidRDefault="002F348A">
            <w:pPr>
              <w:pStyle w:val="a8"/>
              <w:widowControl/>
              <w:spacing w:beforeAutospacing="0" w:afterAutospacing="0" w:line="300" w:lineRule="atLeast"/>
              <w:jc w:val="center"/>
            </w:pPr>
            <w:r>
              <w:rPr>
                <w:rStyle w:val="a9"/>
                <w:rFonts w:ascii="宋体" w:eastAsia="宋体" w:hAnsi="宋体" w:cs="宋体" w:hint="eastAsia"/>
                <w:color w:val="000000"/>
                <w:sz w:val="18"/>
                <w:szCs w:val="18"/>
                <w:shd w:val="clear" w:color="auto" w:fill="FFFFFF"/>
              </w:rPr>
              <w:t>主要环境影响及预防或减轻不良环境影响的对策和措施</w:t>
            </w:r>
          </w:p>
        </w:tc>
      </w:tr>
      <w:tr w:rsidR="005C56DB">
        <w:trPr>
          <w:trHeight w:val="90"/>
        </w:trPr>
        <w:tc>
          <w:tcPr>
            <w:tcW w:w="450" w:type="dxa"/>
            <w:tcBorders>
              <w:top w:val="single" w:sz="4" w:space="0" w:color="auto"/>
              <w:left w:val="single" w:sz="4" w:space="0" w:color="auto"/>
              <w:bottom w:val="single" w:sz="4" w:space="0" w:color="auto"/>
              <w:right w:val="single" w:sz="6" w:space="0" w:color="auto"/>
            </w:tcBorders>
            <w:shd w:val="clear" w:color="auto" w:fill="auto"/>
            <w:tcMar>
              <w:top w:w="0" w:type="dxa"/>
              <w:left w:w="0" w:type="dxa"/>
              <w:bottom w:w="0" w:type="dxa"/>
              <w:right w:w="0" w:type="dxa"/>
            </w:tcMar>
            <w:vAlign w:val="center"/>
          </w:tcPr>
          <w:p w:rsidR="005C56DB" w:rsidRDefault="002F348A">
            <w:pPr>
              <w:pStyle w:val="a8"/>
              <w:widowControl/>
              <w:spacing w:beforeAutospacing="0" w:afterAutospacing="0" w:line="300" w:lineRule="atLeast"/>
              <w:jc w:val="center"/>
              <w:rPr>
                <w:rFonts w:ascii="Times New Roman" w:hAnsi="Times New Roman"/>
                <w:color w:val="000000"/>
                <w:sz w:val="18"/>
                <w:szCs w:val="18"/>
              </w:rPr>
            </w:pPr>
            <w:r>
              <w:rPr>
                <w:rFonts w:ascii="Times New Roman" w:hAnsi="Times New Roman" w:hint="eastAsia"/>
                <w:color w:val="000000"/>
                <w:sz w:val="18"/>
                <w:szCs w:val="18"/>
              </w:rPr>
              <w:t>1.</w:t>
            </w:r>
          </w:p>
        </w:tc>
        <w:tc>
          <w:tcPr>
            <w:tcW w:w="436"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5C56DB" w:rsidRDefault="002F348A">
            <w:pPr>
              <w:pStyle w:val="a8"/>
              <w:widowControl/>
              <w:spacing w:beforeAutospacing="0" w:afterAutospacing="0" w:line="300" w:lineRule="atLeast"/>
              <w:jc w:val="center"/>
              <w:rPr>
                <w:rFonts w:ascii="Times New Roman" w:hAnsi="Times New Roman"/>
                <w:color w:val="000000"/>
                <w:sz w:val="18"/>
                <w:szCs w:val="18"/>
              </w:rPr>
            </w:pPr>
            <w:r w:rsidRPr="002F348A">
              <w:rPr>
                <w:rFonts w:ascii="Times New Roman" w:hAnsi="Times New Roman" w:hint="eastAsia"/>
                <w:color w:val="000000"/>
                <w:sz w:val="18"/>
                <w:szCs w:val="18"/>
              </w:rPr>
              <w:t>河南万马电缆有限公司目</w:t>
            </w:r>
          </w:p>
          <w:p w:rsidR="005C56DB" w:rsidRDefault="005C56DB">
            <w:pPr>
              <w:pStyle w:val="a8"/>
              <w:widowControl/>
              <w:spacing w:beforeAutospacing="0" w:afterAutospacing="0" w:line="300" w:lineRule="atLeast"/>
              <w:jc w:val="center"/>
              <w:rPr>
                <w:rFonts w:ascii="Times New Roman" w:hAnsi="Times New Roman"/>
                <w:color w:val="000000"/>
                <w:sz w:val="18"/>
                <w:szCs w:val="18"/>
              </w:rPr>
            </w:pPr>
          </w:p>
        </w:tc>
        <w:tc>
          <w:tcPr>
            <w:tcW w:w="571"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5C56DB" w:rsidRDefault="002F348A">
            <w:pPr>
              <w:pStyle w:val="a8"/>
              <w:widowControl/>
              <w:spacing w:beforeAutospacing="0" w:afterAutospacing="0" w:line="300" w:lineRule="atLeast"/>
              <w:jc w:val="center"/>
              <w:rPr>
                <w:rFonts w:ascii="Times New Roman" w:hAnsi="Times New Roman"/>
                <w:color w:val="000000"/>
                <w:sz w:val="18"/>
                <w:szCs w:val="18"/>
              </w:rPr>
            </w:pPr>
            <w:r w:rsidRPr="002F348A">
              <w:rPr>
                <w:rFonts w:ascii="Times New Roman" w:hAnsi="Times New Roman" w:hint="eastAsia"/>
                <w:color w:val="000000"/>
                <w:sz w:val="18"/>
                <w:szCs w:val="18"/>
              </w:rPr>
              <w:t>年加工</w:t>
            </w:r>
            <w:r w:rsidRPr="002F348A">
              <w:rPr>
                <w:rFonts w:ascii="Times New Roman" w:hAnsi="Times New Roman" w:hint="eastAsia"/>
                <w:color w:val="000000"/>
                <w:sz w:val="18"/>
                <w:szCs w:val="18"/>
              </w:rPr>
              <w:t>2500</w:t>
            </w:r>
            <w:r w:rsidRPr="002F348A">
              <w:rPr>
                <w:rFonts w:ascii="Times New Roman" w:hAnsi="Times New Roman" w:hint="eastAsia"/>
                <w:color w:val="000000"/>
                <w:sz w:val="18"/>
                <w:szCs w:val="18"/>
              </w:rPr>
              <w:t>万米电线电缆（</w:t>
            </w:r>
            <w:r w:rsidRPr="002F348A">
              <w:rPr>
                <w:rFonts w:ascii="Times New Roman" w:hAnsi="Times New Roman" w:hint="eastAsia"/>
                <w:color w:val="000000"/>
                <w:sz w:val="18"/>
                <w:szCs w:val="18"/>
              </w:rPr>
              <w:t>1kv</w:t>
            </w:r>
            <w:r w:rsidRPr="002F348A">
              <w:rPr>
                <w:rFonts w:ascii="Times New Roman" w:hAnsi="Times New Roman" w:hint="eastAsia"/>
                <w:color w:val="000000"/>
                <w:sz w:val="18"/>
                <w:szCs w:val="18"/>
              </w:rPr>
              <w:t>及以下）建设项</w:t>
            </w:r>
            <w:r>
              <w:rPr>
                <w:rFonts w:ascii="Times New Roman" w:hAnsi="Times New Roman"/>
                <w:color w:val="000000"/>
                <w:sz w:val="18"/>
                <w:szCs w:val="18"/>
              </w:rPr>
              <w:t xml:space="preserve">     </w:t>
            </w:r>
          </w:p>
        </w:tc>
        <w:tc>
          <w:tcPr>
            <w:tcW w:w="481"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5C56DB" w:rsidRDefault="002F348A">
            <w:pPr>
              <w:pStyle w:val="a8"/>
              <w:widowControl/>
              <w:spacing w:beforeAutospacing="0" w:afterAutospacing="0" w:line="300" w:lineRule="atLeast"/>
              <w:jc w:val="center"/>
              <w:rPr>
                <w:rFonts w:ascii="Times New Roman" w:hAnsi="Times New Roman"/>
                <w:color w:val="000000"/>
                <w:sz w:val="18"/>
                <w:szCs w:val="18"/>
              </w:rPr>
            </w:pPr>
            <w:r w:rsidRPr="002F348A">
              <w:rPr>
                <w:rFonts w:ascii="Times New Roman" w:hAnsi="Times New Roman"/>
                <w:color w:val="000000"/>
                <w:sz w:val="18"/>
                <w:szCs w:val="18"/>
              </w:rPr>
              <w:t>河南省安阳市滑县</w:t>
            </w:r>
            <w:r w:rsidRPr="002F348A">
              <w:rPr>
                <w:rFonts w:ascii="Times New Roman" w:hAnsi="Times New Roman" w:hint="eastAsia"/>
                <w:color w:val="000000"/>
                <w:sz w:val="18"/>
                <w:szCs w:val="18"/>
              </w:rPr>
              <w:t>白道口镇工业园区</w:t>
            </w:r>
            <w:r w:rsidRPr="002F348A">
              <w:rPr>
                <w:rFonts w:ascii="Times New Roman" w:hAnsi="Times New Roman" w:hint="eastAsia"/>
                <w:color w:val="000000"/>
                <w:sz w:val="18"/>
                <w:szCs w:val="18"/>
              </w:rPr>
              <w:t>377</w:t>
            </w:r>
            <w:r w:rsidRPr="002F348A">
              <w:rPr>
                <w:rFonts w:ascii="Times New Roman" w:hAnsi="Times New Roman" w:hint="eastAsia"/>
                <w:color w:val="000000"/>
                <w:sz w:val="18"/>
                <w:szCs w:val="18"/>
              </w:rPr>
              <w:t>号</w:t>
            </w:r>
          </w:p>
        </w:tc>
        <w:tc>
          <w:tcPr>
            <w:tcW w:w="842"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5C56DB" w:rsidRDefault="002F348A">
            <w:pPr>
              <w:pStyle w:val="a8"/>
              <w:widowControl/>
              <w:spacing w:beforeAutospacing="0" w:afterAutospacing="0" w:line="300" w:lineRule="atLeast"/>
              <w:jc w:val="center"/>
              <w:rPr>
                <w:rFonts w:ascii="Times New Roman" w:hAnsi="Times New Roman"/>
                <w:color w:val="000000"/>
                <w:sz w:val="18"/>
                <w:szCs w:val="18"/>
              </w:rPr>
            </w:pPr>
            <w:r w:rsidRPr="002F348A">
              <w:rPr>
                <w:rFonts w:ascii="Times New Roman" w:hAnsi="Times New Roman"/>
                <w:color w:val="000000"/>
                <w:sz w:val="18"/>
                <w:szCs w:val="18"/>
              </w:rPr>
              <w:t>河南</w:t>
            </w:r>
            <w:r w:rsidRPr="002F348A">
              <w:rPr>
                <w:rFonts w:ascii="Times New Roman" w:hAnsi="Times New Roman" w:hint="eastAsia"/>
                <w:color w:val="000000"/>
                <w:sz w:val="18"/>
                <w:szCs w:val="18"/>
              </w:rPr>
              <w:t>中环联创环保</w:t>
            </w:r>
            <w:r w:rsidRPr="002F348A">
              <w:rPr>
                <w:rFonts w:ascii="Times New Roman" w:hAnsi="Times New Roman"/>
                <w:color w:val="000000"/>
                <w:sz w:val="18"/>
                <w:szCs w:val="18"/>
              </w:rPr>
              <w:t>科技有限公司</w:t>
            </w:r>
          </w:p>
        </w:tc>
        <w:tc>
          <w:tcPr>
            <w:tcW w:w="902" w:type="dxa"/>
            <w:tcBorders>
              <w:top w:val="single" w:sz="4" w:space="0" w:color="auto"/>
              <w:left w:val="nil"/>
              <w:bottom w:val="single" w:sz="4" w:space="0" w:color="auto"/>
              <w:right w:val="single" w:sz="6" w:space="0" w:color="auto"/>
            </w:tcBorders>
            <w:shd w:val="clear" w:color="auto" w:fill="auto"/>
            <w:tcMar>
              <w:top w:w="0" w:type="dxa"/>
              <w:left w:w="0" w:type="dxa"/>
              <w:bottom w:w="0" w:type="dxa"/>
              <w:right w:w="0" w:type="dxa"/>
            </w:tcMar>
            <w:vAlign w:val="center"/>
          </w:tcPr>
          <w:p w:rsidR="005C56DB" w:rsidRDefault="002F348A">
            <w:pPr>
              <w:pStyle w:val="a8"/>
              <w:widowControl/>
              <w:spacing w:beforeAutospacing="0" w:afterAutospacing="0" w:line="300" w:lineRule="atLeast"/>
              <w:jc w:val="center"/>
              <w:rPr>
                <w:rFonts w:ascii="Times New Roman" w:hAnsi="Times New Roman"/>
                <w:color w:val="000000"/>
                <w:sz w:val="18"/>
                <w:szCs w:val="18"/>
              </w:rPr>
            </w:pPr>
            <w:r w:rsidRPr="002F348A">
              <w:rPr>
                <w:rFonts w:ascii="Times New Roman" w:hAnsi="Times New Roman"/>
                <w:color w:val="000000"/>
                <w:sz w:val="18"/>
                <w:szCs w:val="18"/>
              </w:rPr>
              <w:t>总投资</w:t>
            </w:r>
            <w:r w:rsidRPr="002F348A">
              <w:rPr>
                <w:rFonts w:ascii="Times New Roman" w:hAnsi="Times New Roman" w:hint="eastAsia"/>
                <w:color w:val="000000"/>
                <w:sz w:val="18"/>
                <w:szCs w:val="18"/>
              </w:rPr>
              <w:t>1</w:t>
            </w:r>
            <w:r w:rsidRPr="002F348A">
              <w:rPr>
                <w:rFonts w:ascii="Times New Roman" w:hAnsi="Times New Roman"/>
                <w:color w:val="000000"/>
                <w:sz w:val="18"/>
                <w:szCs w:val="18"/>
              </w:rPr>
              <w:t>00</w:t>
            </w:r>
            <w:r w:rsidRPr="002F348A">
              <w:rPr>
                <w:rFonts w:ascii="Times New Roman" w:hAnsi="Times New Roman"/>
                <w:color w:val="000000"/>
                <w:sz w:val="18"/>
                <w:szCs w:val="18"/>
              </w:rPr>
              <w:t>万元，环保投资</w:t>
            </w:r>
            <w:r w:rsidRPr="002F348A">
              <w:rPr>
                <w:rFonts w:ascii="Times New Roman" w:hAnsi="Times New Roman" w:hint="eastAsia"/>
                <w:color w:val="000000"/>
                <w:sz w:val="18"/>
                <w:szCs w:val="18"/>
              </w:rPr>
              <w:t>31</w:t>
            </w:r>
            <w:r w:rsidRPr="002F348A">
              <w:rPr>
                <w:rFonts w:ascii="Times New Roman" w:hAnsi="Times New Roman"/>
                <w:color w:val="000000"/>
                <w:sz w:val="18"/>
                <w:szCs w:val="18"/>
              </w:rPr>
              <w:t>万元</w:t>
            </w:r>
          </w:p>
        </w:tc>
        <w:tc>
          <w:tcPr>
            <w:tcW w:w="4433"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vAlign w:val="center"/>
          </w:tcPr>
          <w:p w:rsidR="00FB5EA4" w:rsidRPr="00FB5EA4" w:rsidRDefault="00FB5EA4" w:rsidP="00FB5EA4">
            <w:pPr>
              <w:spacing w:line="620" w:lineRule="exact"/>
              <w:ind w:firstLineChars="200" w:firstLine="360"/>
              <w:rPr>
                <w:rFonts w:ascii="Times New Roman" w:hAnsi="Times New Roman" w:cs="Times New Roman"/>
                <w:color w:val="000000"/>
                <w:kern w:val="0"/>
                <w:sz w:val="18"/>
                <w:szCs w:val="18"/>
              </w:rPr>
            </w:pPr>
            <w:r w:rsidRPr="00FB5EA4">
              <w:rPr>
                <w:rFonts w:ascii="Times New Roman" w:hAnsi="Times New Roman" w:cs="Times New Roman"/>
                <w:color w:val="000000"/>
                <w:kern w:val="0"/>
                <w:sz w:val="18"/>
                <w:szCs w:val="18"/>
              </w:rPr>
              <w:t>1.</w:t>
            </w:r>
            <w:r w:rsidRPr="00FB5EA4">
              <w:rPr>
                <w:rFonts w:ascii="Times New Roman" w:hAnsi="Times New Roman" w:cs="Times New Roman"/>
                <w:color w:val="000000"/>
                <w:kern w:val="0"/>
                <w:sz w:val="18"/>
                <w:szCs w:val="18"/>
              </w:rPr>
              <w:t>废气：挤出</w:t>
            </w:r>
            <w:r w:rsidRPr="00FB5EA4">
              <w:rPr>
                <w:rFonts w:ascii="Times New Roman" w:hAnsi="Times New Roman" w:cs="Times New Roman" w:hint="eastAsia"/>
                <w:color w:val="000000"/>
                <w:kern w:val="0"/>
                <w:sz w:val="18"/>
                <w:szCs w:val="18"/>
              </w:rPr>
              <w:t>设备二次密闭挤出废气经集气罩收集后通过“两级活性炭”处理后</w:t>
            </w:r>
            <w:r w:rsidRPr="00FB5EA4">
              <w:rPr>
                <w:rFonts w:ascii="Times New Roman" w:hAnsi="Times New Roman" w:cs="Times New Roman"/>
                <w:color w:val="000000"/>
                <w:kern w:val="0"/>
                <w:sz w:val="18"/>
                <w:szCs w:val="18"/>
              </w:rPr>
              <w:t>，</w:t>
            </w:r>
            <w:r w:rsidRPr="00FB5EA4">
              <w:rPr>
                <w:rFonts w:ascii="Times New Roman" w:hAnsi="Times New Roman" w:cs="Times New Roman" w:hint="eastAsia"/>
                <w:color w:val="000000"/>
                <w:kern w:val="0"/>
                <w:sz w:val="18"/>
                <w:szCs w:val="18"/>
              </w:rPr>
              <w:t>由</w:t>
            </w:r>
            <w:r w:rsidRPr="00FB5EA4">
              <w:rPr>
                <w:rFonts w:ascii="Times New Roman" w:hAnsi="Times New Roman" w:cs="Times New Roman" w:hint="eastAsia"/>
                <w:color w:val="000000"/>
                <w:kern w:val="0"/>
                <w:sz w:val="18"/>
                <w:szCs w:val="18"/>
              </w:rPr>
              <w:t>1</w:t>
            </w:r>
            <w:r w:rsidRPr="00FB5EA4">
              <w:rPr>
                <w:rFonts w:ascii="Times New Roman" w:hAnsi="Times New Roman" w:cs="Times New Roman" w:hint="eastAsia"/>
                <w:color w:val="000000"/>
                <w:kern w:val="0"/>
                <w:sz w:val="18"/>
                <w:szCs w:val="18"/>
              </w:rPr>
              <w:t>根</w:t>
            </w:r>
            <w:r w:rsidRPr="00FB5EA4">
              <w:rPr>
                <w:rFonts w:ascii="Times New Roman" w:hAnsi="Times New Roman" w:cs="Times New Roman"/>
                <w:color w:val="000000"/>
                <w:kern w:val="0"/>
                <w:sz w:val="18"/>
                <w:szCs w:val="18"/>
              </w:rPr>
              <w:t>15m</w:t>
            </w:r>
            <w:r w:rsidRPr="00FB5EA4">
              <w:rPr>
                <w:rFonts w:ascii="Times New Roman" w:hAnsi="Times New Roman" w:cs="Times New Roman"/>
                <w:color w:val="000000"/>
                <w:kern w:val="0"/>
                <w:sz w:val="18"/>
                <w:szCs w:val="18"/>
              </w:rPr>
              <w:t>高排气筒排放；废气排放须满足《大气污染物综合排放标准》（</w:t>
            </w:r>
            <w:r w:rsidRPr="00FB5EA4">
              <w:rPr>
                <w:rFonts w:ascii="Times New Roman" w:hAnsi="Times New Roman" w:cs="Times New Roman"/>
                <w:color w:val="000000"/>
                <w:kern w:val="0"/>
                <w:sz w:val="18"/>
                <w:szCs w:val="18"/>
              </w:rPr>
              <w:t>GB16297-1996</w:t>
            </w:r>
            <w:r w:rsidRPr="00FB5EA4">
              <w:rPr>
                <w:rFonts w:ascii="Times New Roman" w:hAnsi="Times New Roman" w:cs="Times New Roman"/>
                <w:color w:val="000000"/>
                <w:kern w:val="0"/>
                <w:sz w:val="18"/>
                <w:szCs w:val="18"/>
              </w:rPr>
              <w:t>）表</w:t>
            </w:r>
            <w:r w:rsidRPr="00FB5EA4">
              <w:rPr>
                <w:rFonts w:ascii="Times New Roman" w:hAnsi="Times New Roman" w:cs="Times New Roman"/>
                <w:color w:val="000000"/>
                <w:kern w:val="0"/>
                <w:sz w:val="18"/>
                <w:szCs w:val="18"/>
              </w:rPr>
              <w:t>2</w:t>
            </w:r>
            <w:r w:rsidRPr="00FB5EA4">
              <w:rPr>
                <w:rFonts w:ascii="Times New Roman" w:hAnsi="Times New Roman" w:cs="Times New Roman"/>
                <w:color w:val="000000"/>
                <w:kern w:val="0"/>
                <w:sz w:val="18"/>
                <w:szCs w:val="18"/>
              </w:rPr>
              <w:t>限值</w:t>
            </w:r>
            <w:r w:rsidRPr="00FB5EA4">
              <w:rPr>
                <w:rFonts w:ascii="Times New Roman" w:hAnsi="Times New Roman" w:cs="Times New Roman" w:hint="eastAsia"/>
                <w:color w:val="000000"/>
                <w:kern w:val="0"/>
                <w:sz w:val="18"/>
                <w:szCs w:val="18"/>
              </w:rPr>
              <w:t>、</w:t>
            </w:r>
            <w:r w:rsidRPr="00FB5EA4">
              <w:rPr>
                <w:rFonts w:ascii="Times New Roman" w:hAnsi="Times New Roman" w:cs="Times New Roman"/>
                <w:color w:val="000000"/>
                <w:kern w:val="0"/>
                <w:sz w:val="18"/>
                <w:szCs w:val="18"/>
              </w:rPr>
              <w:t>《合成树脂工业污染物排放标准》（</w:t>
            </w:r>
            <w:r w:rsidRPr="00FB5EA4">
              <w:rPr>
                <w:rFonts w:ascii="Times New Roman" w:hAnsi="Times New Roman" w:cs="Times New Roman"/>
                <w:color w:val="000000"/>
                <w:kern w:val="0"/>
                <w:sz w:val="18"/>
                <w:szCs w:val="18"/>
              </w:rPr>
              <w:t>GB31572-2015</w:t>
            </w:r>
            <w:r w:rsidRPr="00FB5EA4">
              <w:rPr>
                <w:rFonts w:ascii="Times New Roman" w:hAnsi="Times New Roman" w:cs="Times New Roman"/>
                <w:color w:val="000000"/>
                <w:kern w:val="0"/>
                <w:sz w:val="18"/>
                <w:szCs w:val="18"/>
              </w:rPr>
              <w:t>，含</w:t>
            </w:r>
            <w:r w:rsidRPr="00FB5EA4">
              <w:rPr>
                <w:rFonts w:ascii="Times New Roman" w:hAnsi="Times New Roman" w:cs="Times New Roman"/>
                <w:color w:val="000000"/>
                <w:kern w:val="0"/>
                <w:sz w:val="18"/>
                <w:szCs w:val="18"/>
              </w:rPr>
              <w:t>2024</w:t>
            </w:r>
            <w:r w:rsidRPr="00FB5EA4">
              <w:rPr>
                <w:rFonts w:ascii="Times New Roman" w:hAnsi="Times New Roman" w:cs="Times New Roman"/>
                <w:color w:val="000000"/>
                <w:kern w:val="0"/>
                <w:sz w:val="18"/>
                <w:szCs w:val="18"/>
              </w:rPr>
              <w:t>年修改单）限值要求、《河南省</w:t>
            </w:r>
            <w:r w:rsidRPr="00FB5EA4">
              <w:rPr>
                <w:rFonts w:ascii="Times New Roman" w:hAnsi="Times New Roman" w:cs="Times New Roman" w:hint="eastAsia"/>
                <w:color w:val="000000"/>
                <w:kern w:val="0"/>
                <w:sz w:val="18"/>
                <w:szCs w:val="18"/>
              </w:rPr>
              <w:t>印刷工业挥发性有机物排放标准</w:t>
            </w:r>
            <w:r w:rsidRPr="00FB5EA4">
              <w:rPr>
                <w:rFonts w:ascii="Times New Roman" w:hAnsi="Times New Roman" w:cs="Times New Roman"/>
                <w:color w:val="000000"/>
                <w:kern w:val="0"/>
                <w:sz w:val="18"/>
                <w:szCs w:val="18"/>
              </w:rPr>
              <w:t>》（</w:t>
            </w:r>
            <w:r w:rsidRPr="00FB5EA4">
              <w:rPr>
                <w:rFonts w:ascii="Times New Roman" w:hAnsi="Times New Roman" w:cs="Times New Roman" w:hint="eastAsia"/>
                <w:color w:val="000000"/>
                <w:kern w:val="0"/>
                <w:sz w:val="18"/>
                <w:szCs w:val="18"/>
              </w:rPr>
              <w:t>D</w:t>
            </w:r>
            <w:r w:rsidRPr="00FB5EA4">
              <w:rPr>
                <w:rFonts w:ascii="Times New Roman" w:hAnsi="Times New Roman" w:cs="Times New Roman"/>
                <w:color w:val="000000"/>
                <w:kern w:val="0"/>
                <w:sz w:val="18"/>
                <w:szCs w:val="18"/>
              </w:rPr>
              <w:t>B</w:t>
            </w:r>
            <w:r w:rsidRPr="00FB5EA4">
              <w:rPr>
                <w:rFonts w:ascii="Times New Roman" w:hAnsi="Times New Roman" w:cs="Times New Roman" w:hint="eastAsia"/>
                <w:color w:val="000000"/>
                <w:kern w:val="0"/>
                <w:sz w:val="18"/>
                <w:szCs w:val="18"/>
              </w:rPr>
              <w:t>41/1956</w:t>
            </w:r>
            <w:r w:rsidRPr="00FB5EA4">
              <w:rPr>
                <w:rFonts w:ascii="Times New Roman" w:hAnsi="Times New Roman" w:cs="Times New Roman"/>
                <w:color w:val="000000"/>
                <w:kern w:val="0"/>
                <w:sz w:val="18"/>
                <w:szCs w:val="18"/>
              </w:rPr>
              <w:t>-20</w:t>
            </w:r>
            <w:r w:rsidRPr="00FB5EA4">
              <w:rPr>
                <w:rFonts w:ascii="Times New Roman" w:hAnsi="Times New Roman" w:cs="Times New Roman" w:hint="eastAsia"/>
                <w:color w:val="000000"/>
                <w:kern w:val="0"/>
                <w:sz w:val="18"/>
                <w:szCs w:val="18"/>
              </w:rPr>
              <w:t>20</w:t>
            </w:r>
            <w:r w:rsidRPr="00FB5EA4">
              <w:rPr>
                <w:rFonts w:ascii="Times New Roman" w:hAnsi="Times New Roman" w:cs="Times New Roman"/>
                <w:color w:val="000000"/>
                <w:kern w:val="0"/>
                <w:sz w:val="18"/>
                <w:szCs w:val="18"/>
              </w:rPr>
              <w:t>）限值要求、《河南省重污染天气通用行业应急减排措施制定技术指南（</w:t>
            </w:r>
            <w:r w:rsidRPr="00FB5EA4">
              <w:rPr>
                <w:rFonts w:ascii="Times New Roman" w:hAnsi="Times New Roman" w:cs="Times New Roman"/>
                <w:color w:val="000000"/>
                <w:kern w:val="0"/>
                <w:sz w:val="18"/>
                <w:szCs w:val="18"/>
              </w:rPr>
              <w:t>2021</w:t>
            </w:r>
            <w:r w:rsidRPr="00FB5EA4">
              <w:rPr>
                <w:rFonts w:ascii="Times New Roman" w:hAnsi="Times New Roman" w:cs="Times New Roman"/>
                <w:color w:val="000000"/>
                <w:kern w:val="0"/>
                <w:sz w:val="18"/>
                <w:szCs w:val="18"/>
              </w:rPr>
              <w:t>年修订版）》中塑料制品行业</w:t>
            </w:r>
            <w:r w:rsidRPr="00FB5EA4">
              <w:rPr>
                <w:rFonts w:ascii="Times New Roman" w:hAnsi="Times New Roman" w:cs="Times New Roman"/>
                <w:color w:val="000000"/>
                <w:kern w:val="0"/>
                <w:sz w:val="18"/>
                <w:szCs w:val="18"/>
              </w:rPr>
              <w:t>A</w:t>
            </w:r>
            <w:r w:rsidRPr="00FB5EA4">
              <w:rPr>
                <w:rFonts w:ascii="Times New Roman" w:hAnsi="Times New Roman" w:cs="Times New Roman"/>
                <w:color w:val="000000"/>
                <w:kern w:val="0"/>
                <w:sz w:val="18"/>
                <w:szCs w:val="18"/>
              </w:rPr>
              <w:t>级要求、《挥发性有机物无组织排放控制标准》（</w:t>
            </w:r>
            <w:r w:rsidRPr="00FB5EA4">
              <w:rPr>
                <w:rFonts w:ascii="Times New Roman" w:hAnsi="Times New Roman" w:cs="Times New Roman"/>
                <w:color w:val="000000"/>
                <w:kern w:val="0"/>
                <w:sz w:val="18"/>
                <w:szCs w:val="18"/>
              </w:rPr>
              <w:t>GB37822-2019</w:t>
            </w:r>
            <w:r w:rsidRPr="00FB5EA4">
              <w:rPr>
                <w:rFonts w:ascii="Times New Roman" w:hAnsi="Times New Roman" w:cs="Times New Roman"/>
                <w:color w:val="000000"/>
                <w:kern w:val="0"/>
                <w:sz w:val="18"/>
                <w:szCs w:val="18"/>
              </w:rPr>
              <w:t>）限值要求</w:t>
            </w:r>
            <w:r w:rsidRPr="00FB5EA4">
              <w:rPr>
                <w:rFonts w:ascii="Times New Roman" w:hAnsi="Times New Roman" w:cs="Times New Roman" w:hint="eastAsia"/>
                <w:color w:val="000000"/>
                <w:kern w:val="0"/>
                <w:sz w:val="18"/>
                <w:szCs w:val="18"/>
              </w:rPr>
              <w:t>、</w:t>
            </w:r>
            <w:r w:rsidRPr="00FB5EA4">
              <w:rPr>
                <w:rFonts w:ascii="Times New Roman" w:hAnsi="Times New Roman" w:cs="Times New Roman"/>
                <w:color w:val="000000"/>
                <w:kern w:val="0"/>
                <w:sz w:val="18"/>
                <w:szCs w:val="18"/>
              </w:rPr>
              <w:t>《关于全省开展工业企业挥发性有机物专项治理工作中排放建议值的通知》（豫环攻坚办〔</w:t>
            </w:r>
            <w:r w:rsidRPr="00FB5EA4">
              <w:rPr>
                <w:rFonts w:ascii="Times New Roman" w:hAnsi="Times New Roman" w:cs="Times New Roman"/>
                <w:color w:val="000000"/>
                <w:kern w:val="0"/>
                <w:sz w:val="18"/>
                <w:szCs w:val="18"/>
              </w:rPr>
              <w:t>2017</w:t>
            </w:r>
            <w:r w:rsidRPr="00FB5EA4">
              <w:rPr>
                <w:rFonts w:ascii="Times New Roman" w:hAnsi="Times New Roman" w:cs="Times New Roman"/>
                <w:color w:val="000000"/>
                <w:kern w:val="0"/>
                <w:sz w:val="18"/>
                <w:szCs w:val="18"/>
              </w:rPr>
              <w:t>〕</w:t>
            </w:r>
            <w:r w:rsidRPr="00FB5EA4">
              <w:rPr>
                <w:rFonts w:ascii="Times New Roman" w:hAnsi="Times New Roman" w:cs="Times New Roman"/>
                <w:color w:val="000000"/>
                <w:kern w:val="0"/>
                <w:sz w:val="18"/>
                <w:szCs w:val="18"/>
              </w:rPr>
              <w:t>162</w:t>
            </w:r>
            <w:r w:rsidRPr="00FB5EA4">
              <w:rPr>
                <w:rFonts w:ascii="Times New Roman" w:hAnsi="Times New Roman" w:cs="Times New Roman"/>
                <w:color w:val="000000"/>
                <w:kern w:val="0"/>
                <w:sz w:val="18"/>
                <w:szCs w:val="18"/>
              </w:rPr>
              <w:t>号）要求。</w:t>
            </w:r>
          </w:p>
          <w:p w:rsidR="00FB5EA4" w:rsidRPr="00FB5EA4" w:rsidRDefault="00FB5EA4" w:rsidP="00FB5EA4">
            <w:pPr>
              <w:spacing w:line="620" w:lineRule="exact"/>
              <w:ind w:firstLineChars="200" w:firstLine="360"/>
              <w:rPr>
                <w:rFonts w:ascii="Times New Roman" w:hAnsi="Times New Roman" w:cs="Times New Roman"/>
                <w:color w:val="000000"/>
                <w:kern w:val="0"/>
                <w:sz w:val="18"/>
                <w:szCs w:val="18"/>
              </w:rPr>
            </w:pPr>
            <w:r w:rsidRPr="00FB5EA4">
              <w:rPr>
                <w:rFonts w:ascii="Times New Roman" w:hAnsi="Times New Roman" w:cs="Times New Roman"/>
                <w:color w:val="000000"/>
                <w:kern w:val="0"/>
                <w:sz w:val="18"/>
                <w:szCs w:val="18"/>
              </w:rPr>
              <w:lastRenderedPageBreak/>
              <w:t>2.</w:t>
            </w:r>
            <w:r w:rsidRPr="00FB5EA4">
              <w:rPr>
                <w:rFonts w:ascii="Times New Roman" w:hAnsi="Times New Roman" w:cs="Times New Roman"/>
                <w:color w:val="000000"/>
                <w:kern w:val="0"/>
                <w:sz w:val="18"/>
                <w:szCs w:val="18"/>
              </w:rPr>
              <w:t>废水：冷却废水循环使用，定期补充；生活废水</w:t>
            </w:r>
            <w:r w:rsidRPr="00FB5EA4">
              <w:rPr>
                <w:rFonts w:ascii="Times New Roman" w:hAnsi="Times New Roman" w:cs="Times New Roman" w:hint="eastAsia"/>
                <w:color w:val="000000"/>
                <w:kern w:val="0"/>
                <w:sz w:val="18"/>
                <w:szCs w:val="18"/>
              </w:rPr>
              <w:t>经</w:t>
            </w:r>
            <w:r w:rsidRPr="00FB5EA4">
              <w:rPr>
                <w:rFonts w:ascii="Times New Roman" w:hAnsi="Times New Roman" w:cs="Times New Roman"/>
                <w:color w:val="000000"/>
                <w:kern w:val="0"/>
                <w:sz w:val="18"/>
                <w:szCs w:val="18"/>
              </w:rPr>
              <w:t>化粪池（</w:t>
            </w:r>
            <w:r w:rsidRPr="00FB5EA4">
              <w:rPr>
                <w:rFonts w:ascii="Times New Roman" w:hAnsi="Times New Roman" w:cs="Times New Roman"/>
                <w:color w:val="000000"/>
                <w:kern w:val="0"/>
                <w:sz w:val="18"/>
                <w:szCs w:val="18"/>
              </w:rPr>
              <w:t>10m³</w:t>
            </w:r>
            <w:r w:rsidRPr="00FB5EA4">
              <w:rPr>
                <w:rFonts w:ascii="Times New Roman" w:hAnsi="Times New Roman" w:cs="Times New Roman"/>
                <w:color w:val="000000"/>
                <w:kern w:val="0"/>
                <w:sz w:val="18"/>
                <w:szCs w:val="18"/>
              </w:rPr>
              <w:t>）处理后由建设单位定期清运用于周边农田施肥。</w:t>
            </w:r>
          </w:p>
          <w:p w:rsidR="00FB5EA4" w:rsidRPr="00FB5EA4" w:rsidRDefault="00FB5EA4" w:rsidP="00FB5EA4">
            <w:pPr>
              <w:spacing w:line="620" w:lineRule="exact"/>
              <w:ind w:firstLineChars="200" w:firstLine="360"/>
              <w:rPr>
                <w:rFonts w:ascii="Times New Roman" w:hAnsi="Times New Roman" w:cs="Times New Roman"/>
                <w:color w:val="000000"/>
                <w:kern w:val="0"/>
                <w:sz w:val="18"/>
                <w:szCs w:val="18"/>
              </w:rPr>
            </w:pPr>
            <w:r w:rsidRPr="00FB5EA4">
              <w:rPr>
                <w:rFonts w:ascii="Times New Roman" w:hAnsi="Times New Roman" w:cs="Times New Roman"/>
                <w:color w:val="000000"/>
                <w:kern w:val="0"/>
                <w:sz w:val="18"/>
                <w:szCs w:val="18"/>
              </w:rPr>
              <w:t>3.</w:t>
            </w:r>
            <w:r w:rsidRPr="00FB5EA4">
              <w:rPr>
                <w:rFonts w:ascii="Times New Roman" w:hAnsi="Times New Roman" w:cs="Times New Roman"/>
                <w:color w:val="000000"/>
                <w:kern w:val="0"/>
                <w:sz w:val="18"/>
                <w:szCs w:val="18"/>
              </w:rPr>
              <w:t>噪声：经采取基础减振、厂房隔声、距离衰减等措施后，厂界噪声排放须满足《工业企业厂界环境噪声排放标准》（</w:t>
            </w:r>
            <w:r w:rsidRPr="00FB5EA4">
              <w:rPr>
                <w:rFonts w:ascii="Times New Roman" w:hAnsi="Times New Roman" w:cs="Times New Roman"/>
                <w:color w:val="000000"/>
                <w:kern w:val="0"/>
                <w:sz w:val="18"/>
                <w:szCs w:val="18"/>
              </w:rPr>
              <w:t>GB12348-2008</w:t>
            </w:r>
            <w:r w:rsidRPr="00FB5EA4">
              <w:rPr>
                <w:rFonts w:ascii="Times New Roman" w:hAnsi="Times New Roman" w:cs="Times New Roman"/>
                <w:color w:val="000000"/>
                <w:kern w:val="0"/>
                <w:sz w:val="18"/>
                <w:szCs w:val="18"/>
              </w:rPr>
              <w:t>）</w:t>
            </w:r>
            <w:r w:rsidRPr="00FB5EA4">
              <w:rPr>
                <w:rFonts w:ascii="Times New Roman" w:hAnsi="Times New Roman" w:cs="Times New Roman" w:hint="eastAsia"/>
                <w:color w:val="000000"/>
                <w:kern w:val="0"/>
                <w:sz w:val="18"/>
                <w:szCs w:val="18"/>
              </w:rPr>
              <w:t>2</w:t>
            </w:r>
            <w:r w:rsidRPr="00FB5EA4">
              <w:rPr>
                <w:rFonts w:ascii="Times New Roman" w:hAnsi="Times New Roman" w:cs="Times New Roman"/>
                <w:color w:val="000000"/>
                <w:kern w:val="0"/>
                <w:sz w:val="18"/>
                <w:szCs w:val="18"/>
              </w:rPr>
              <w:t>类标准限值。</w:t>
            </w:r>
          </w:p>
          <w:p w:rsidR="00FB5EA4" w:rsidRPr="00FB5EA4" w:rsidRDefault="00FB5EA4" w:rsidP="00FB5EA4">
            <w:pPr>
              <w:spacing w:line="620" w:lineRule="exact"/>
              <w:ind w:firstLineChars="200" w:firstLine="360"/>
              <w:rPr>
                <w:rFonts w:ascii="Times New Roman" w:hAnsi="Times New Roman" w:cs="Times New Roman"/>
                <w:color w:val="000000"/>
                <w:kern w:val="0"/>
                <w:sz w:val="18"/>
                <w:szCs w:val="18"/>
              </w:rPr>
            </w:pPr>
            <w:r w:rsidRPr="00FB5EA4">
              <w:rPr>
                <w:rFonts w:ascii="Times New Roman" w:hAnsi="Times New Roman" w:cs="Times New Roman"/>
                <w:color w:val="000000"/>
                <w:kern w:val="0"/>
                <w:sz w:val="18"/>
                <w:szCs w:val="18"/>
              </w:rPr>
              <w:t>4.</w:t>
            </w:r>
            <w:r w:rsidRPr="00FB5EA4">
              <w:rPr>
                <w:rFonts w:ascii="Times New Roman" w:hAnsi="Times New Roman" w:cs="Times New Roman"/>
                <w:color w:val="000000"/>
                <w:kern w:val="0"/>
                <w:sz w:val="18"/>
                <w:szCs w:val="18"/>
              </w:rPr>
              <w:t>固体废物：</w:t>
            </w:r>
            <w:r w:rsidRPr="00FB5EA4">
              <w:rPr>
                <w:rFonts w:ascii="Times New Roman" w:hAnsi="Times New Roman" w:cs="Times New Roman" w:hint="eastAsia"/>
                <w:color w:val="000000"/>
                <w:kern w:val="0"/>
                <w:sz w:val="18"/>
                <w:szCs w:val="18"/>
              </w:rPr>
              <w:t>废包装袋、废金属丝、废塑料、废减震垫、不合格产品</w:t>
            </w:r>
            <w:r w:rsidRPr="00FB5EA4">
              <w:rPr>
                <w:rFonts w:ascii="Times New Roman" w:hAnsi="Times New Roman" w:cs="Times New Roman"/>
                <w:color w:val="000000"/>
                <w:kern w:val="0"/>
                <w:sz w:val="18"/>
                <w:szCs w:val="18"/>
              </w:rPr>
              <w:t>暂存于一般固废间（</w:t>
            </w:r>
            <w:r w:rsidRPr="00FB5EA4">
              <w:rPr>
                <w:rFonts w:ascii="Times New Roman" w:hAnsi="Times New Roman" w:cs="Times New Roman"/>
                <w:color w:val="000000"/>
                <w:kern w:val="0"/>
                <w:sz w:val="18"/>
                <w:szCs w:val="18"/>
              </w:rPr>
              <w:t>20</w:t>
            </w:r>
            <w:r w:rsidRPr="00FB5EA4">
              <w:rPr>
                <w:rFonts w:ascii="Times New Roman" w:hAnsi="Times New Roman" w:cs="Times New Roman"/>
                <w:color w:val="000000"/>
                <w:kern w:val="0"/>
                <w:sz w:val="18"/>
                <w:szCs w:val="18"/>
              </w:rPr>
              <w:t>㎡），定期外售，废</w:t>
            </w:r>
            <w:r w:rsidRPr="00FB5EA4">
              <w:rPr>
                <w:rFonts w:ascii="Times New Roman" w:hAnsi="Times New Roman" w:cs="Times New Roman" w:hint="eastAsia"/>
                <w:color w:val="000000"/>
                <w:kern w:val="0"/>
                <w:sz w:val="18"/>
                <w:szCs w:val="18"/>
              </w:rPr>
              <w:t>油墨桶</w:t>
            </w:r>
            <w:r w:rsidRPr="00FB5EA4">
              <w:rPr>
                <w:rFonts w:ascii="Times New Roman" w:hAnsi="Times New Roman" w:cs="Times New Roman"/>
                <w:color w:val="000000"/>
                <w:kern w:val="0"/>
                <w:sz w:val="18"/>
                <w:szCs w:val="18"/>
              </w:rPr>
              <w:t>、废活性炭收集后暂存于</w:t>
            </w:r>
            <w:r w:rsidRPr="00FB5EA4">
              <w:rPr>
                <w:rFonts w:ascii="Times New Roman" w:hAnsi="Times New Roman" w:cs="Times New Roman"/>
                <w:color w:val="000000"/>
                <w:kern w:val="0"/>
                <w:sz w:val="18"/>
                <w:szCs w:val="18"/>
              </w:rPr>
              <w:t>1</w:t>
            </w:r>
            <w:r w:rsidRPr="00FB5EA4">
              <w:rPr>
                <w:rFonts w:ascii="Times New Roman" w:hAnsi="Times New Roman" w:cs="Times New Roman"/>
                <w:color w:val="000000"/>
                <w:kern w:val="0"/>
                <w:sz w:val="18"/>
                <w:szCs w:val="18"/>
              </w:rPr>
              <w:t>座</w:t>
            </w:r>
            <w:r w:rsidRPr="00FB5EA4">
              <w:rPr>
                <w:rFonts w:ascii="Times New Roman" w:hAnsi="Times New Roman" w:cs="Times New Roman"/>
                <w:color w:val="000000"/>
                <w:kern w:val="0"/>
                <w:sz w:val="18"/>
                <w:szCs w:val="18"/>
              </w:rPr>
              <w:t>15</w:t>
            </w:r>
            <w:r w:rsidRPr="00FB5EA4">
              <w:rPr>
                <w:rFonts w:ascii="Times New Roman" w:hAnsi="Times New Roman" w:cs="Times New Roman"/>
                <w:color w:val="000000"/>
                <w:kern w:val="0"/>
                <w:sz w:val="18"/>
                <w:szCs w:val="18"/>
              </w:rPr>
              <w:t>㎡的危废暂存间，定期交由有资质单位处理；生活垃圾经垃圾桶收集后，交环卫部门统一处理。一般固体废物暂存应满足《一般工业固体废物贮存和填埋污染控制标准》（</w:t>
            </w:r>
            <w:r w:rsidRPr="00FB5EA4">
              <w:rPr>
                <w:rFonts w:ascii="Times New Roman" w:hAnsi="Times New Roman" w:cs="Times New Roman"/>
                <w:color w:val="000000"/>
                <w:kern w:val="0"/>
                <w:sz w:val="18"/>
                <w:szCs w:val="18"/>
              </w:rPr>
              <w:t>GB18599 -2020</w:t>
            </w:r>
            <w:r w:rsidRPr="00FB5EA4">
              <w:rPr>
                <w:rFonts w:ascii="Times New Roman" w:hAnsi="Times New Roman" w:cs="Times New Roman"/>
                <w:color w:val="000000"/>
                <w:kern w:val="0"/>
                <w:sz w:val="18"/>
                <w:szCs w:val="18"/>
              </w:rPr>
              <w:t>）要求，危险废物暂存应满足《危险废物贮存污染控制标准》（</w:t>
            </w:r>
            <w:r w:rsidRPr="00FB5EA4">
              <w:rPr>
                <w:rFonts w:ascii="Times New Roman" w:hAnsi="Times New Roman" w:cs="Times New Roman"/>
                <w:color w:val="000000"/>
                <w:kern w:val="0"/>
                <w:sz w:val="18"/>
                <w:szCs w:val="18"/>
              </w:rPr>
              <w:t>GB18597-2023</w:t>
            </w:r>
            <w:r w:rsidRPr="00FB5EA4">
              <w:rPr>
                <w:rFonts w:ascii="Times New Roman" w:hAnsi="Times New Roman" w:cs="Times New Roman"/>
                <w:color w:val="000000"/>
                <w:kern w:val="0"/>
                <w:sz w:val="18"/>
                <w:szCs w:val="18"/>
              </w:rPr>
              <w:t>）要求。</w:t>
            </w:r>
          </w:p>
          <w:p w:rsidR="005C56DB" w:rsidRDefault="005C56DB">
            <w:pPr>
              <w:spacing w:line="620" w:lineRule="exact"/>
              <w:ind w:firstLineChars="200" w:firstLine="360"/>
              <w:rPr>
                <w:rFonts w:ascii="Times New Roman" w:hAnsi="Times New Roman"/>
                <w:color w:val="000000"/>
                <w:sz w:val="18"/>
                <w:szCs w:val="18"/>
              </w:rPr>
            </w:pPr>
          </w:p>
        </w:tc>
      </w:tr>
    </w:tbl>
    <w:p w:rsidR="005C56DB" w:rsidRDefault="005C56DB">
      <w:pPr>
        <w:pStyle w:val="a8"/>
        <w:widowControl/>
        <w:spacing w:beforeAutospacing="0" w:afterAutospacing="0" w:line="300" w:lineRule="atLeast"/>
        <w:jc w:val="center"/>
        <w:rPr>
          <w:rFonts w:ascii="Times New Roman" w:hAnsi="Times New Roman"/>
          <w:color w:val="000000"/>
          <w:sz w:val="18"/>
          <w:szCs w:val="18"/>
        </w:rPr>
      </w:pPr>
    </w:p>
    <w:sectPr w:rsidR="005C56DB" w:rsidSect="005C56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48A" w:rsidRDefault="002F348A" w:rsidP="002F348A">
      <w:r>
        <w:separator/>
      </w:r>
    </w:p>
  </w:endnote>
  <w:endnote w:type="continuationSeparator" w:id="0">
    <w:p w:rsidR="002F348A" w:rsidRDefault="002F348A" w:rsidP="002F34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Microsoft YaHei UI"/>
    <w:charset w:val="86"/>
    <w:family w:val="script"/>
    <w:pitch w:val="default"/>
    <w:sig w:usb0="00000000" w:usb1="080E0000" w:usb2="00000000" w:usb3="00000000" w:csb0="00040000" w:csb1="00000000"/>
  </w:font>
  <w:font w:name="sans-serif">
    <w:altName w:val="Segoe Print"/>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48A" w:rsidRDefault="002F348A" w:rsidP="002F348A">
      <w:r>
        <w:separator/>
      </w:r>
    </w:p>
  </w:footnote>
  <w:footnote w:type="continuationSeparator" w:id="0">
    <w:p w:rsidR="002F348A" w:rsidRDefault="002F348A" w:rsidP="002F34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216F0"/>
    <w:multiLevelType w:val="multilevel"/>
    <w:tmpl w:val="1DA216F0"/>
    <w:lvl w:ilvl="0">
      <w:start w:val="1"/>
      <w:numFmt w:val="chineseCountingThousand"/>
      <w:pStyle w:val="2"/>
      <w:lvlText w:val="第%1章　"/>
      <w:lvlJc w:val="left"/>
      <w:pPr>
        <w:tabs>
          <w:tab w:val="left" w:pos="1440"/>
        </w:tabs>
        <w:ind w:left="720" w:hanging="720"/>
      </w:pPr>
      <w:rPr>
        <w:rFonts w:hint="eastAsia"/>
        <w:sz w:val="32"/>
        <w:szCs w:val="32"/>
      </w:rPr>
    </w:lvl>
    <w:lvl w:ilvl="1">
      <w:start w:val="1"/>
      <w:numFmt w:val="lowerRoman"/>
      <w:lvlText w:val="(%2)"/>
      <w:lvlJc w:val="left"/>
      <w:pPr>
        <w:tabs>
          <w:tab w:val="left" w:pos="861"/>
        </w:tabs>
        <w:ind w:left="861" w:hanging="720"/>
      </w:pPr>
      <w:rPr>
        <w:rFonts w:hint="eastAsia"/>
      </w:rPr>
    </w:lvl>
    <w:lvl w:ilvl="2">
      <w:start w:val="1"/>
      <w:numFmt w:val="lowerLetter"/>
      <w:lvlText w:val="(%3)"/>
      <w:lvlJc w:val="left"/>
      <w:pPr>
        <w:tabs>
          <w:tab w:val="left" w:pos="1335"/>
        </w:tabs>
        <w:ind w:left="1335" w:hanging="49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jBjYTBhZThlNzU1YzE4MTAxZTVkY2IyYzEzZGQxMDYifQ=="/>
  </w:docVars>
  <w:rsids>
    <w:rsidRoot w:val="00D553BD"/>
    <w:rsid w:val="00021B7D"/>
    <w:rsid w:val="00051C04"/>
    <w:rsid w:val="000934E9"/>
    <w:rsid w:val="000C13E5"/>
    <w:rsid w:val="00191A76"/>
    <w:rsid w:val="00272D6F"/>
    <w:rsid w:val="002932FD"/>
    <w:rsid w:val="002D40B0"/>
    <w:rsid w:val="002F348A"/>
    <w:rsid w:val="00346272"/>
    <w:rsid w:val="0034687D"/>
    <w:rsid w:val="00351DEE"/>
    <w:rsid w:val="00424CC3"/>
    <w:rsid w:val="005227EA"/>
    <w:rsid w:val="0052598B"/>
    <w:rsid w:val="005901A6"/>
    <w:rsid w:val="005C56DB"/>
    <w:rsid w:val="00612AF7"/>
    <w:rsid w:val="00613302"/>
    <w:rsid w:val="007F6C56"/>
    <w:rsid w:val="00836AE6"/>
    <w:rsid w:val="00854859"/>
    <w:rsid w:val="00896DDB"/>
    <w:rsid w:val="008F6A17"/>
    <w:rsid w:val="00B101CB"/>
    <w:rsid w:val="00B21E60"/>
    <w:rsid w:val="00B72CC9"/>
    <w:rsid w:val="00B72D3B"/>
    <w:rsid w:val="00C53645"/>
    <w:rsid w:val="00CE0507"/>
    <w:rsid w:val="00CE3621"/>
    <w:rsid w:val="00D553BD"/>
    <w:rsid w:val="00D93271"/>
    <w:rsid w:val="00DB2F10"/>
    <w:rsid w:val="00E12EFF"/>
    <w:rsid w:val="00EB48B5"/>
    <w:rsid w:val="00FA45AC"/>
    <w:rsid w:val="00FB5EA4"/>
    <w:rsid w:val="00FD244D"/>
    <w:rsid w:val="09E6605D"/>
    <w:rsid w:val="126D0F3F"/>
    <w:rsid w:val="23BC64AB"/>
    <w:rsid w:val="28B71175"/>
    <w:rsid w:val="29F8185A"/>
    <w:rsid w:val="2ADD44ED"/>
    <w:rsid w:val="2DC302F1"/>
    <w:rsid w:val="2DC86D5C"/>
    <w:rsid w:val="31811015"/>
    <w:rsid w:val="383B30F1"/>
    <w:rsid w:val="3A25474B"/>
    <w:rsid w:val="3B0E64B4"/>
    <w:rsid w:val="3E6B2E9F"/>
    <w:rsid w:val="3FAE1904"/>
    <w:rsid w:val="47A4392B"/>
    <w:rsid w:val="4AA43B88"/>
    <w:rsid w:val="4DB91C07"/>
    <w:rsid w:val="4F2D1826"/>
    <w:rsid w:val="506B2B73"/>
    <w:rsid w:val="51C957E0"/>
    <w:rsid w:val="52376698"/>
    <w:rsid w:val="56C81A1D"/>
    <w:rsid w:val="56E408B3"/>
    <w:rsid w:val="591254C2"/>
    <w:rsid w:val="5AC029C4"/>
    <w:rsid w:val="5F050D4A"/>
    <w:rsid w:val="62712768"/>
    <w:rsid w:val="664F2219"/>
    <w:rsid w:val="6A074AD5"/>
    <w:rsid w:val="6CD213AC"/>
    <w:rsid w:val="73257025"/>
    <w:rsid w:val="75B96372"/>
    <w:rsid w:val="78E76149"/>
    <w:rsid w:val="79F92000"/>
    <w:rsid w:val="7A7604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semiHidden="1"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Body Text" w:qFormat="1"/>
    <w:lsdException w:name="Body Text Indent" w:qFormat="1"/>
    <w:lsdException w:name="Subtitle" w:qFormat="1"/>
    <w:lsdException w:name="Body Text First Indent 2" w:qFormat="1"/>
    <w:lsdException w:name="Body Text 2" w:uiPriority="99"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5C56D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5C56DB"/>
    <w:pPr>
      <w:keepNext/>
      <w:keepLines/>
      <w:spacing w:beforeAutospacing="1" w:afterAutospacing="1"/>
      <w:jc w:val="center"/>
      <w:outlineLvl w:val="0"/>
    </w:pPr>
    <w:rPr>
      <w:b/>
      <w:kern w:val="44"/>
      <w:sz w:val="44"/>
    </w:rPr>
  </w:style>
  <w:style w:type="paragraph" w:styleId="4">
    <w:name w:val="heading 4"/>
    <w:basedOn w:val="a"/>
    <w:next w:val="a"/>
    <w:unhideWhenUsed/>
    <w:qFormat/>
    <w:rsid w:val="005C56DB"/>
    <w:pPr>
      <w:spacing w:before="100" w:beforeAutospacing="1" w:after="100" w:afterAutospacing="1"/>
      <w:jc w:val="left"/>
      <w:outlineLvl w:val="3"/>
    </w:pPr>
    <w:rPr>
      <w:rFonts w:ascii="宋体" w:eastAsia="宋体" w:hAnsi="宋体" w:cs="Times New Roman" w:hint="eastAsia"/>
      <w:b/>
      <w:kern w:val="0"/>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semiHidden/>
    <w:qFormat/>
    <w:rsid w:val="005C56DB"/>
    <w:pPr>
      <w:ind w:left="1680"/>
    </w:pPr>
    <w:rPr>
      <w:rFonts w:eastAsia="Times New Roman"/>
      <w:sz w:val="32"/>
    </w:rPr>
  </w:style>
  <w:style w:type="paragraph" w:styleId="a3">
    <w:name w:val="Body Text"/>
    <w:basedOn w:val="a"/>
    <w:next w:val="a"/>
    <w:qFormat/>
    <w:rsid w:val="005C56DB"/>
    <w:rPr>
      <w:b/>
      <w:bCs/>
      <w:sz w:val="24"/>
    </w:rPr>
  </w:style>
  <w:style w:type="paragraph" w:styleId="a4">
    <w:name w:val="Body Text Indent"/>
    <w:basedOn w:val="a"/>
    <w:next w:val="a"/>
    <w:qFormat/>
    <w:rsid w:val="005C56DB"/>
    <w:pPr>
      <w:ind w:leftChars="200" w:left="420"/>
    </w:pPr>
  </w:style>
  <w:style w:type="paragraph" w:styleId="a5">
    <w:name w:val="Block Text"/>
    <w:basedOn w:val="a"/>
    <w:next w:val="a"/>
    <w:qFormat/>
    <w:rsid w:val="005C56DB"/>
    <w:pPr>
      <w:spacing w:line="320" w:lineRule="exact"/>
      <w:ind w:left="113" w:right="113"/>
      <w:jc w:val="center"/>
    </w:pPr>
    <w:rPr>
      <w:b/>
      <w:sz w:val="13"/>
      <w:szCs w:val="15"/>
    </w:rPr>
  </w:style>
  <w:style w:type="paragraph" w:styleId="a6">
    <w:name w:val="footer"/>
    <w:basedOn w:val="a"/>
    <w:link w:val="Char"/>
    <w:qFormat/>
    <w:rsid w:val="005C56DB"/>
    <w:pPr>
      <w:tabs>
        <w:tab w:val="center" w:pos="4153"/>
        <w:tab w:val="right" w:pos="8306"/>
      </w:tabs>
      <w:snapToGrid w:val="0"/>
      <w:jc w:val="left"/>
    </w:pPr>
    <w:rPr>
      <w:sz w:val="18"/>
      <w:szCs w:val="18"/>
    </w:rPr>
  </w:style>
  <w:style w:type="paragraph" w:styleId="a7">
    <w:name w:val="header"/>
    <w:basedOn w:val="a"/>
    <w:link w:val="Char0"/>
    <w:qFormat/>
    <w:rsid w:val="005C56DB"/>
    <w:pPr>
      <w:pBdr>
        <w:bottom w:val="single" w:sz="6" w:space="1" w:color="auto"/>
      </w:pBdr>
      <w:tabs>
        <w:tab w:val="center" w:pos="4153"/>
        <w:tab w:val="right" w:pos="8306"/>
      </w:tabs>
      <w:snapToGrid w:val="0"/>
      <w:jc w:val="center"/>
    </w:pPr>
    <w:rPr>
      <w:sz w:val="18"/>
      <w:szCs w:val="18"/>
    </w:rPr>
  </w:style>
  <w:style w:type="paragraph" w:styleId="2">
    <w:name w:val="Body Text 2"/>
    <w:basedOn w:val="a"/>
    <w:uiPriority w:val="99"/>
    <w:qFormat/>
    <w:rsid w:val="005C56DB"/>
    <w:pPr>
      <w:numPr>
        <w:numId w:val="1"/>
      </w:numPr>
      <w:spacing w:beforeLines="50" w:line="336" w:lineRule="auto"/>
      <w:ind w:left="0" w:firstLine="0"/>
    </w:pPr>
    <w:rPr>
      <w:rFonts w:ascii="Times New Roman" w:eastAsia="仿宋_GB2312" w:hAnsi="Times New Roman" w:cs="Times New Roman"/>
      <w:kern w:val="0"/>
      <w:lang w:val="en-GB" w:eastAsia="en-US"/>
    </w:rPr>
  </w:style>
  <w:style w:type="paragraph" w:styleId="a8">
    <w:name w:val="Normal (Web)"/>
    <w:basedOn w:val="a"/>
    <w:qFormat/>
    <w:rsid w:val="005C56DB"/>
    <w:pPr>
      <w:spacing w:beforeAutospacing="1" w:afterAutospacing="1"/>
      <w:jc w:val="left"/>
    </w:pPr>
    <w:rPr>
      <w:rFonts w:cs="Times New Roman"/>
      <w:kern w:val="0"/>
      <w:sz w:val="24"/>
    </w:rPr>
  </w:style>
  <w:style w:type="paragraph" w:styleId="20">
    <w:name w:val="Body Text First Indent 2"/>
    <w:basedOn w:val="a4"/>
    <w:next w:val="a"/>
    <w:qFormat/>
    <w:rsid w:val="005C56DB"/>
    <w:pPr>
      <w:ind w:firstLineChars="200" w:firstLine="200"/>
    </w:pPr>
    <w:rPr>
      <w:szCs w:val="21"/>
    </w:rPr>
  </w:style>
  <w:style w:type="character" w:styleId="a9">
    <w:name w:val="Strong"/>
    <w:basedOn w:val="a0"/>
    <w:qFormat/>
    <w:rsid w:val="005C56DB"/>
    <w:rPr>
      <w:b/>
    </w:rPr>
  </w:style>
  <w:style w:type="character" w:styleId="aa">
    <w:name w:val="annotation reference"/>
    <w:basedOn w:val="a0"/>
    <w:qFormat/>
    <w:rsid w:val="005C56DB"/>
    <w:rPr>
      <w:sz w:val="21"/>
      <w:szCs w:val="21"/>
    </w:rPr>
  </w:style>
  <w:style w:type="paragraph" w:customStyle="1" w:styleId="Default">
    <w:name w:val="Default"/>
    <w:basedOn w:val="10"/>
    <w:uiPriority w:val="99"/>
    <w:unhideWhenUsed/>
    <w:qFormat/>
    <w:rsid w:val="005C56DB"/>
    <w:pPr>
      <w:autoSpaceDE w:val="0"/>
      <w:autoSpaceDN w:val="0"/>
    </w:pPr>
    <w:rPr>
      <w:rFonts w:ascii="仿宋_GB2312" w:eastAsia="仿宋_GB2312" w:hAnsi="仿宋_GB2312" w:cs="Times New Roman" w:hint="eastAsia"/>
      <w:color w:val="000000"/>
      <w:sz w:val="24"/>
    </w:rPr>
  </w:style>
  <w:style w:type="paragraph" w:customStyle="1" w:styleId="10">
    <w:name w:val="纯文本1"/>
    <w:basedOn w:val="a"/>
    <w:qFormat/>
    <w:rsid w:val="005C56DB"/>
    <w:pPr>
      <w:adjustRightInd w:val="0"/>
    </w:pPr>
    <w:rPr>
      <w:rFonts w:ascii="宋体" w:hAnsi="Courier New"/>
    </w:rPr>
  </w:style>
  <w:style w:type="character" w:customStyle="1" w:styleId="Char0">
    <w:name w:val="页眉 Char"/>
    <w:basedOn w:val="a0"/>
    <w:link w:val="a7"/>
    <w:qFormat/>
    <w:rsid w:val="005C56DB"/>
    <w:rPr>
      <w:rFonts w:asciiTheme="minorHAnsi" w:eastAsiaTheme="minorEastAsia" w:hAnsiTheme="minorHAnsi" w:cstheme="minorBidi"/>
      <w:kern w:val="2"/>
      <w:sz w:val="18"/>
      <w:szCs w:val="18"/>
    </w:rPr>
  </w:style>
  <w:style w:type="character" w:customStyle="1" w:styleId="Char">
    <w:name w:val="页脚 Char"/>
    <w:basedOn w:val="a0"/>
    <w:link w:val="a6"/>
    <w:qFormat/>
    <w:rsid w:val="005C56D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958</Words>
  <Characters>193</Characters>
  <Application>Microsoft Office Word</Application>
  <DocSecurity>0</DocSecurity>
  <Lines>1</Lines>
  <Paragraphs>2</Paragraphs>
  <ScaleCrop>false</ScaleCrop>
  <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21</cp:revision>
  <dcterms:created xsi:type="dcterms:W3CDTF">2014-10-29T12:08:00Z</dcterms:created>
  <dcterms:modified xsi:type="dcterms:W3CDTF">2025-02-20T07:21:00Z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8BE8F78994014D048921BA9B8DEF1A8D</vt:lpwstr>
  </property>
  <property fmtid="{D5CDD505-2E9C-101B-9397-08002B2CF9AE}" pid="4" name="KSOTemplateDocerSaveRecord">
    <vt:lpwstr>eyJoZGlkIjoiYmEyZGYyMWJhNzliMThlM2ViYzM1NjRjNjNlMTZlNzAiLCJ1c2VySWQiOiI0MzE3NTg1ODUifQ==</vt:lpwstr>
  </property>
</Properties>
</file>