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975B">
      <w:pPr>
        <w:pStyle w:val="11"/>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2025年1月1</w:t>
      </w:r>
      <w:r>
        <w:rPr>
          <w:rFonts w:hint="eastAsia" w:ascii="方正小标宋简体" w:hAnsi="方正小标宋简体" w:eastAsia="方正小标宋简体" w:cs="方正小标宋简体"/>
          <w:color w:val="333333"/>
          <w:sz w:val="30"/>
          <w:szCs w:val="30"/>
          <w:lang w:val="en-US" w:eastAsia="zh-CN"/>
        </w:rPr>
        <w:t>3</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338DCACB">
      <w:pPr>
        <w:pStyle w:val="11"/>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0B8878FA">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1月1</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日－2025年1月1</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日（5</w:t>
      </w:r>
      <w:r>
        <w:rPr>
          <w:rFonts w:hint="eastAsia" w:ascii="宋体" w:hAnsi="宋体" w:eastAsia="宋体" w:cs="宋体"/>
          <w:color w:val="000000"/>
          <w:sz w:val="21"/>
          <w:szCs w:val="21"/>
          <w:shd w:val="clear" w:color="auto" w:fill="FFFFFF"/>
          <w:lang w:val="en-US" w:eastAsia="zh-CN"/>
        </w:rPr>
        <w:t>个工作</w:t>
      </w:r>
      <w:r>
        <w:rPr>
          <w:rFonts w:hint="eastAsia" w:ascii="宋体" w:hAnsi="宋体" w:eastAsia="宋体" w:cs="宋体"/>
          <w:color w:val="000000"/>
          <w:sz w:val="21"/>
          <w:szCs w:val="21"/>
          <w:shd w:val="clear" w:color="auto" w:fill="FFFFFF"/>
        </w:rPr>
        <w:t>日）。</w:t>
      </w:r>
      <w:bookmarkStart w:id="0" w:name="_GoBack"/>
      <w:bookmarkEnd w:id="0"/>
    </w:p>
    <w:p w14:paraId="441406D1">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256DA823">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7A8EEA9D">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w:t>
      </w:r>
      <w:r>
        <w:rPr>
          <w:rFonts w:hint="eastAsia" w:ascii="宋体" w:hAnsi="宋体" w:eastAsia="宋体" w:cs="宋体"/>
          <w:color w:val="000000"/>
          <w:sz w:val="21"/>
          <w:szCs w:val="21"/>
          <w:shd w:val="clear" w:color="auto" w:fill="FFFFFF"/>
          <w:lang w:val="en-US" w:eastAsia="zh-CN"/>
        </w:rPr>
        <w:t>个工作</w:t>
      </w:r>
      <w:r>
        <w:rPr>
          <w:rFonts w:hint="eastAsia" w:ascii="宋体" w:hAnsi="宋体" w:eastAsia="宋体" w:cs="宋体"/>
          <w:color w:val="000000"/>
          <w:sz w:val="21"/>
          <w:szCs w:val="21"/>
          <w:shd w:val="clear" w:color="auto" w:fill="FFFFFF"/>
        </w:rPr>
        <w:t>日内申请人、有重大利益关系的利害关系人可对以下拟作出的建设项目环境影响评价文件批复决定要求听证。</w:t>
      </w:r>
    </w:p>
    <w:p w14:paraId="31C8EA3F">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49"/>
        <w:gridCol w:w="435"/>
        <w:gridCol w:w="570"/>
        <w:gridCol w:w="480"/>
        <w:gridCol w:w="839"/>
        <w:gridCol w:w="922"/>
        <w:gridCol w:w="4420"/>
      </w:tblGrid>
      <w:tr w14:paraId="12CAE39C">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6FFC1A19">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64A6FE2">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597819F2">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ABD6F59">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14:paraId="675BE7FE">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929122B">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57DC4A46">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F054100">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9CC1A23">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建设项目</w:t>
            </w:r>
          </w:p>
          <w:p w14:paraId="663EA8F8">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1F892CF">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14:paraId="3967ECBC">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0212771E">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294F374">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河南清澈鱼缸有限公司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1E59A0F">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年加工生产1000套生态鱼缸建设项目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CDD6158">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eastAsia="zh-CN"/>
              </w:rPr>
              <w:t>滑县四间房镇位南呼村向西50米</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83793A8">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中南金尚环境工程</w:t>
            </w:r>
            <w:r>
              <w:rPr>
                <w:rFonts w:ascii="Times New Roman" w:hAnsi="Times New Roman"/>
                <w:color w:val="000000"/>
                <w:sz w:val="18"/>
                <w:szCs w:val="18"/>
              </w:rPr>
              <w:t>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9D4B410">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占地面积为666.67m2，</w:t>
            </w:r>
            <w:r>
              <w:rPr>
                <w:rFonts w:hint="default" w:ascii="Times New Roman" w:hAnsi="Times New Roman"/>
                <w:color w:val="000000"/>
                <w:sz w:val="18"/>
                <w:szCs w:val="18"/>
              </w:rPr>
              <w:t>总投资</w:t>
            </w:r>
            <w:r>
              <w:rPr>
                <w:rFonts w:hint="eastAsia" w:ascii="Times New Roman" w:hAnsi="Times New Roman"/>
                <w:color w:val="000000"/>
                <w:sz w:val="18"/>
                <w:szCs w:val="18"/>
                <w:lang w:val="en-US" w:eastAsia="zh-CN"/>
              </w:rPr>
              <w:t>50</w:t>
            </w:r>
            <w:r>
              <w:rPr>
                <w:rFonts w:hint="default" w:ascii="Times New Roman" w:hAnsi="Times New Roman"/>
                <w:color w:val="000000"/>
                <w:sz w:val="18"/>
                <w:szCs w:val="18"/>
              </w:rPr>
              <w:t>万元</w:t>
            </w:r>
            <w:r>
              <w:rPr>
                <w:rFonts w:hint="default" w:ascii="Times New Roman" w:hAnsi="Times New Roman"/>
                <w:color w:val="000000"/>
                <w:sz w:val="18"/>
                <w:szCs w:val="18"/>
                <w:lang w:eastAsia="zh-CN"/>
              </w:rPr>
              <w:t>，环保投资</w:t>
            </w:r>
            <w:r>
              <w:rPr>
                <w:rFonts w:hint="eastAsia" w:ascii="Times New Roman" w:hAnsi="Times New Roman"/>
                <w:color w:val="000000"/>
                <w:sz w:val="18"/>
                <w:szCs w:val="18"/>
                <w:lang w:val="en-US" w:eastAsia="zh-CN"/>
              </w:rPr>
              <w:t>7.5</w:t>
            </w:r>
            <w:r>
              <w:rPr>
                <w:rFonts w:hint="default" w:ascii="Times New Roman" w:hAnsi="Times New Roman"/>
                <w:color w:val="000000"/>
                <w:sz w:val="18"/>
                <w:szCs w:val="18"/>
                <w:lang w:val="en-US" w:eastAsia="zh-CN"/>
              </w:rPr>
              <w:t>万元</w:t>
            </w:r>
            <w:r>
              <w:rPr>
                <w:rFonts w:hint="eastAsia" w:ascii="Times New Roman" w:hAnsi="Times New Roman"/>
                <w:color w:val="000000"/>
                <w:sz w:val="18"/>
                <w:szCs w:val="18"/>
                <w:lang w:val="en-US" w:eastAsia="zh-CN"/>
              </w:rPr>
              <w:t>。</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C349626">
            <w:pPr>
              <w:spacing w:line="620" w:lineRule="exact"/>
              <w:ind w:firstLine="360" w:firstLineChars="200"/>
              <w:rPr>
                <w:rFonts w:hint="default" w:ascii="Times New Roman" w:hAnsi="Times New Roman"/>
                <w:color w:val="000000"/>
                <w:sz w:val="18"/>
                <w:szCs w:val="18"/>
                <w:lang w:val="en-US" w:eastAsia="zh-CN"/>
              </w:rPr>
            </w:pPr>
            <w:r>
              <w:rPr>
                <w:rFonts w:hint="default" w:ascii="Times New Roman" w:hAnsi="Times New Roman"/>
                <w:color w:val="000000"/>
                <w:sz w:val="18"/>
                <w:szCs w:val="18"/>
              </w:rPr>
              <w:t>1. 废气：</w:t>
            </w:r>
            <w:r>
              <w:rPr>
                <w:rFonts w:hint="eastAsia" w:ascii="Times New Roman" w:hAnsi="Times New Roman"/>
                <w:color w:val="000000"/>
                <w:sz w:val="18"/>
                <w:szCs w:val="18"/>
                <w:lang w:val="en-US" w:eastAsia="zh-CN"/>
              </w:rPr>
              <w:t>打胶废气经集气罩收集至两级活性炭吸附装置处理后通过15m高排气筒排放。</w:t>
            </w:r>
            <w:r>
              <w:rPr>
                <w:rFonts w:hint="default" w:ascii="Times New Roman" w:hAnsi="Times New Roman"/>
                <w:color w:val="000000"/>
                <w:sz w:val="18"/>
                <w:szCs w:val="18"/>
                <w:lang w:val="en-US" w:eastAsia="zh-CN"/>
              </w:rPr>
              <w:t>废气排放须满足《大气污染物综合排放标准》（GB16297-1996）表2二级标准、《挥发性有机物无组织排放控制标准》（GB37822-2019）</w:t>
            </w:r>
            <w:r>
              <w:rPr>
                <w:rFonts w:hint="eastAsia" w:ascii="Times New Roman" w:hAnsi="Times New Roman"/>
                <w:color w:val="000000"/>
                <w:sz w:val="18"/>
                <w:szCs w:val="18"/>
                <w:lang w:val="en-US" w:eastAsia="zh-CN"/>
              </w:rPr>
              <w:t>表A.1标准限值、</w:t>
            </w:r>
            <w:r>
              <w:rPr>
                <w:rFonts w:hint="default" w:ascii="Times New Roman" w:hAnsi="Times New Roman"/>
                <w:color w:val="000000"/>
                <w:sz w:val="18"/>
                <w:szCs w:val="18"/>
                <w:lang w:val="en-US" w:eastAsia="zh-CN"/>
              </w:rPr>
              <w:t>《关于全省开展工业企业挥发性有机物专项治理工作中排放建议值的通知》（豫环攻坚办〔20</w:t>
            </w:r>
            <w:r>
              <w:rPr>
                <w:rFonts w:hint="eastAsia" w:ascii="Times New Roman" w:hAnsi="Times New Roman"/>
                <w:color w:val="000000"/>
                <w:sz w:val="18"/>
                <w:szCs w:val="18"/>
                <w:lang w:val="en-US" w:eastAsia="zh-CN"/>
              </w:rPr>
              <w:t>17</w:t>
            </w:r>
            <w:r>
              <w:rPr>
                <w:rFonts w:hint="default" w:ascii="Times New Roman" w:hAnsi="Times New Roman"/>
                <w:color w:val="000000"/>
                <w:sz w:val="18"/>
                <w:szCs w:val="18"/>
                <w:lang w:val="en-US" w:eastAsia="zh-CN"/>
              </w:rPr>
              <w:t>〕162号）</w:t>
            </w:r>
            <w:r>
              <w:rPr>
                <w:rFonts w:hint="eastAsia" w:ascii="Times New Roman" w:hAnsi="Times New Roman"/>
                <w:color w:val="000000"/>
                <w:sz w:val="18"/>
                <w:szCs w:val="18"/>
                <w:lang w:val="en-US" w:eastAsia="zh-CN"/>
              </w:rPr>
              <w:t>要求及《河南省重污染天气通用行业应急减排措施制定技术指南（2024年修订版）》相关要求。</w:t>
            </w:r>
          </w:p>
          <w:p w14:paraId="62BB7F71">
            <w:pPr>
              <w:spacing w:line="620" w:lineRule="exact"/>
              <w:ind w:firstLine="360" w:firstLineChars="200"/>
              <w:rPr>
                <w:rFonts w:hint="default" w:ascii="Times New Roman" w:hAnsi="Times New Roman"/>
                <w:color w:val="000000"/>
                <w:sz w:val="18"/>
                <w:szCs w:val="18"/>
              </w:rPr>
            </w:pPr>
            <w:r>
              <w:rPr>
                <w:rFonts w:hint="default" w:ascii="Times New Roman" w:hAnsi="Times New Roman"/>
                <w:color w:val="000000"/>
                <w:sz w:val="18"/>
                <w:szCs w:val="18"/>
              </w:rPr>
              <w:t>废水：</w:t>
            </w:r>
            <w:r>
              <w:rPr>
                <w:rFonts w:hint="default" w:ascii="Times New Roman" w:hAnsi="Times New Roman"/>
                <w:color w:val="000000"/>
                <w:sz w:val="18"/>
                <w:szCs w:val="18"/>
                <w:lang w:val="en-US" w:eastAsia="zh-CN"/>
              </w:rPr>
              <w:t>生活污水</w:t>
            </w:r>
            <w:r>
              <w:rPr>
                <w:rFonts w:hint="eastAsia" w:ascii="Times New Roman" w:hAnsi="Times New Roman"/>
                <w:color w:val="000000"/>
                <w:sz w:val="18"/>
                <w:szCs w:val="18"/>
                <w:lang w:val="en-US" w:eastAsia="zh-CN"/>
              </w:rPr>
              <w:t>经</w:t>
            </w:r>
            <w:r>
              <w:rPr>
                <w:rFonts w:hint="default" w:ascii="Times New Roman" w:hAnsi="Times New Roman"/>
                <w:color w:val="000000"/>
                <w:sz w:val="18"/>
                <w:szCs w:val="18"/>
                <w:lang w:val="en-US" w:eastAsia="zh-CN"/>
              </w:rPr>
              <w:t>化粪池（2m3）处理后，定期清掏，由</w:t>
            </w:r>
            <w:r>
              <w:rPr>
                <w:rFonts w:hint="eastAsia" w:ascii="Times New Roman" w:hAnsi="Times New Roman"/>
                <w:color w:val="000000"/>
                <w:sz w:val="18"/>
                <w:szCs w:val="18"/>
                <w:lang w:val="en-US" w:eastAsia="zh-CN"/>
              </w:rPr>
              <w:t>建设单位</w:t>
            </w:r>
            <w:r>
              <w:rPr>
                <w:rFonts w:hint="default" w:ascii="Times New Roman" w:hAnsi="Times New Roman"/>
                <w:color w:val="000000"/>
                <w:sz w:val="18"/>
                <w:szCs w:val="18"/>
                <w:lang w:val="en-US" w:eastAsia="zh-CN"/>
              </w:rPr>
              <w:t>拉走肥</w:t>
            </w:r>
            <w:r>
              <w:rPr>
                <w:rFonts w:hint="eastAsia" w:ascii="Times New Roman" w:hAnsi="Times New Roman"/>
                <w:color w:val="000000"/>
                <w:sz w:val="18"/>
                <w:szCs w:val="18"/>
                <w:lang w:val="en-US" w:eastAsia="zh-CN"/>
              </w:rPr>
              <w:t>田。</w:t>
            </w:r>
          </w:p>
          <w:p w14:paraId="1DB81C40">
            <w:pPr>
              <w:spacing w:line="620" w:lineRule="exact"/>
              <w:ind w:firstLine="360" w:firstLineChars="200"/>
              <w:rPr>
                <w:rFonts w:hint="default" w:ascii="Times New Roman" w:hAnsi="Times New Roman"/>
                <w:color w:val="000000"/>
                <w:sz w:val="18"/>
                <w:szCs w:val="18"/>
              </w:rPr>
            </w:pPr>
            <w:r>
              <w:rPr>
                <w:rFonts w:hint="default" w:ascii="Times New Roman" w:hAnsi="Times New Roman"/>
                <w:color w:val="000000"/>
                <w:sz w:val="18"/>
                <w:szCs w:val="18"/>
              </w:rPr>
              <w:t>噪声</w:t>
            </w:r>
            <w:r>
              <w:rPr>
                <w:rFonts w:hint="default" w:ascii="Times New Roman" w:hAnsi="Times New Roman"/>
                <w:color w:val="000000"/>
                <w:sz w:val="18"/>
                <w:szCs w:val="18"/>
                <w:lang w:eastAsia="zh-CN"/>
              </w:rPr>
              <w:t>：</w:t>
            </w:r>
            <w:r>
              <w:rPr>
                <w:rFonts w:hint="eastAsia" w:ascii="Times New Roman" w:hAnsi="Times New Roman"/>
                <w:color w:val="000000"/>
                <w:sz w:val="18"/>
                <w:szCs w:val="18"/>
                <w:lang w:val="en-US" w:eastAsia="zh-CN"/>
              </w:rPr>
              <w:t>经采取生产车间门窗、墙面设置隔音棉、厂房隔声等措施后</w:t>
            </w:r>
            <w:r>
              <w:rPr>
                <w:rFonts w:hint="default" w:ascii="Times New Roman" w:hAnsi="Times New Roman"/>
                <w:color w:val="000000"/>
                <w:sz w:val="18"/>
                <w:szCs w:val="18"/>
                <w:lang w:eastAsia="zh-CN"/>
              </w:rPr>
              <w:t>，</w:t>
            </w:r>
            <w:r>
              <w:rPr>
                <w:rFonts w:hint="default" w:ascii="Times New Roman" w:hAnsi="Times New Roman"/>
                <w:color w:val="000000"/>
                <w:sz w:val="18"/>
                <w:szCs w:val="18"/>
                <w:lang w:val="en-US" w:eastAsia="zh-CN"/>
              </w:rPr>
              <w:t>厂界噪声排放须满足《工业企业厂界环境噪声排放标准》（GB12348-2008）</w:t>
            </w:r>
            <w:r>
              <w:rPr>
                <w:rFonts w:hint="eastAsia" w:ascii="Times New Roman" w:hAnsi="Times New Roman"/>
                <w:color w:val="000000"/>
                <w:sz w:val="18"/>
                <w:szCs w:val="18"/>
                <w:lang w:val="en-US" w:eastAsia="zh-CN"/>
              </w:rPr>
              <w:t>1</w:t>
            </w:r>
            <w:r>
              <w:rPr>
                <w:rFonts w:hint="default" w:ascii="Times New Roman" w:hAnsi="Times New Roman"/>
                <w:color w:val="000000"/>
                <w:sz w:val="18"/>
                <w:szCs w:val="18"/>
                <w:lang w:val="en-US" w:eastAsia="zh-CN"/>
              </w:rPr>
              <w:t>类标准。</w:t>
            </w:r>
          </w:p>
          <w:p w14:paraId="4EE13D4C">
            <w:pPr>
              <w:spacing w:line="620" w:lineRule="exact"/>
              <w:ind w:firstLine="360" w:firstLineChars="200"/>
              <w:rPr>
                <w:rFonts w:hint="default" w:ascii="Times New Roman" w:hAnsi="Times New Roman"/>
                <w:color w:val="000000"/>
                <w:sz w:val="18"/>
                <w:szCs w:val="18"/>
              </w:rPr>
            </w:pPr>
            <w:r>
              <w:rPr>
                <w:rFonts w:hint="default" w:ascii="Times New Roman" w:hAnsi="Times New Roman"/>
                <w:color w:val="000000"/>
                <w:sz w:val="18"/>
                <w:szCs w:val="18"/>
              </w:rPr>
              <w:t>固体废物</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生活垃圾收集后交环卫部门处理。</w:t>
            </w:r>
            <w:r>
              <w:rPr>
                <w:rFonts w:hint="default" w:ascii="Times New Roman" w:hAnsi="Times New Roman"/>
                <w:color w:val="000000"/>
                <w:sz w:val="18"/>
                <w:szCs w:val="18"/>
                <w:lang w:val="en-US" w:eastAsia="zh-CN"/>
              </w:rPr>
              <w:t>金属屑暂存于10m2一般固废暂存间，定期外售。废活性炭、废硅酮胶管</w:t>
            </w:r>
            <w:r>
              <w:rPr>
                <w:rFonts w:hint="eastAsia" w:ascii="Times New Roman" w:hAnsi="Times New Roman"/>
                <w:color w:val="000000"/>
                <w:sz w:val="18"/>
                <w:szCs w:val="18"/>
                <w:lang w:val="en-US" w:eastAsia="zh-CN"/>
              </w:rPr>
              <w:t>、</w:t>
            </w:r>
            <w:r>
              <w:rPr>
                <w:rFonts w:hint="default" w:ascii="Times New Roman" w:hAnsi="Times New Roman"/>
                <w:color w:val="000000"/>
                <w:sz w:val="18"/>
                <w:szCs w:val="18"/>
                <w:lang w:val="en-US" w:eastAsia="zh-CN"/>
              </w:rPr>
              <w:t>废胶边角料暂存于10m2危废暂存间，定期交有资质单位处置。一般固体废物暂存应满足《一般工业固体废物贮存和填埋污染控制标准》（GB18599 -2020）要求，危险废物暂存应满足《危险废物贮存污染控制标准》（GB18597-2023）要求</w:t>
            </w:r>
            <w:r>
              <w:rPr>
                <w:rFonts w:hint="default" w:ascii="Times New Roman" w:hAnsi="Times New Roman"/>
                <w:color w:val="000000"/>
                <w:sz w:val="18"/>
                <w:szCs w:val="18"/>
                <w:lang w:eastAsia="zh-CN"/>
              </w:rPr>
              <w:t>。</w:t>
            </w:r>
          </w:p>
          <w:p w14:paraId="1391E9BD">
            <w:pPr>
              <w:spacing w:line="620" w:lineRule="exact"/>
              <w:ind w:firstLine="360" w:firstLineChars="200"/>
              <w:rPr>
                <w:rFonts w:ascii="Times New Roman" w:hAnsi="Times New Roman"/>
                <w:color w:val="000000"/>
                <w:sz w:val="18"/>
                <w:szCs w:val="18"/>
              </w:rPr>
            </w:pPr>
          </w:p>
        </w:tc>
      </w:tr>
    </w:tbl>
    <w:p w14:paraId="540C70A4">
      <w:pPr>
        <w:pStyle w:val="11"/>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424CC3"/>
    <w:rsid w:val="005227EA"/>
    <w:rsid w:val="005901A6"/>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AC029C4"/>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Body Text"/>
    <w:basedOn w:val="1"/>
    <w:next w:val="1"/>
    <w:qFormat/>
    <w:uiPriority w:val="0"/>
    <w:rPr>
      <w:b/>
      <w:bCs/>
      <w:sz w:val="24"/>
    </w:rPr>
  </w:style>
  <w:style w:type="paragraph" w:styleId="6">
    <w:name w:val="Body Text Indent"/>
    <w:basedOn w:val="1"/>
    <w:next w:val="1"/>
    <w:qFormat/>
    <w:uiPriority w:val="0"/>
    <w:pPr>
      <w:ind w:left="420" w:leftChars="200"/>
    </w:p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200" w:firstLineChars="200"/>
    </w:pPr>
    <w:rPr>
      <w:szCs w:val="21"/>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basedOn w:val="18"/>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qFormat/>
    <w:uiPriority w:val="0"/>
    <w:pPr>
      <w:adjustRightInd w:val="0"/>
    </w:pPr>
    <w:rPr>
      <w:rFonts w:ascii="宋体" w:hAnsi="Courier New"/>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983</Words>
  <Characters>1105</Characters>
  <Lines>1</Lines>
  <Paragraphs>2</Paragraphs>
  <TotalTime>0</TotalTime>
  <ScaleCrop>false</ScaleCrop>
  <LinksUpToDate>false</LinksUpToDate>
  <CharactersWithSpaces>1129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2025-01-22T01:48:29Z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