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ascii="Times New Roman" w:hAnsi="方正小标宋简体" w:eastAsia="方正小标宋简体" w:cs="Times New Roman"/>
          <w:color w:val="000000"/>
          <w:sz w:val="32"/>
          <w:szCs w:val="32"/>
        </w:rPr>
      </w:pPr>
      <w:r>
        <w:rPr>
          <w:rFonts w:hint="eastAsia" w:ascii="Times New Roman" w:hAnsi="方正小标宋简体" w:eastAsia="方正小标宋简体" w:cs="Times New Roman"/>
          <w:color w:val="000000"/>
          <w:sz w:val="32"/>
          <w:szCs w:val="32"/>
          <w:lang w:val="en-US" w:eastAsia="zh-CN"/>
        </w:rPr>
        <w:t>成人</w:t>
      </w:r>
      <w:r>
        <w:rPr>
          <w:rFonts w:hint="eastAsia" w:ascii="Times New Roman" w:hAnsi="方正小标宋简体" w:eastAsia="方正小标宋简体" w:cs="Times New Roman"/>
          <w:color w:val="000000"/>
          <w:sz w:val="32"/>
          <w:szCs w:val="32"/>
        </w:rPr>
        <w:t>纸尿裤（片、垫）</w:t>
      </w:r>
      <w:r>
        <w:rPr>
          <w:rFonts w:ascii="Times New Roman" w:hAnsi="方正小标宋简体" w:eastAsia="方正小标宋简体" w:cs="Times New Roman"/>
          <w:color w:val="000000"/>
          <w:sz w:val="32"/>
          <w:szCs w:val="32"/>
        </w:rPr>
        <w:t>产品质量</w:t>
      </w:r>
      <w:r>
        <w:rPr>
          <w:rFonts w:hint="eastAsia" w:ascii="Times New Roman" w:hAnsi="方正小标宋简体" w:eastAsia="方正小标宋简体" w:cs="Times New Roman"/>
          <w:color w:val="000000"/>
          <w:sz w:val="32"/>
          <w:szCs w:val="32"/>
          <w:lang w:eastAsia="zh-CN"/>
        </w:rPr>
        <w:t>滑县</w:t>
      </w:r>
      <w:r>
        <w:rPr>
          <w:rFonts w:ascii="Times New Roman" w:hAnsi="方正小标宋简体" w:eastAsia="方正小标宋简体" w:cs="Times New Roman"/>
          <w:color w:val="000000"/>
          <w:sz w:val="32"/>
          <w:szCs w:val="32"/>
        </w:rPr>
        <w:t>监督抽查实施细则</w:t>
      </w:r>
    </w:p>
    <w:p>
      <w:pPr>
        <w:snapToGrid w:val="0"/>
        <w:spacing w:line="594" w:lineRule="exact"/>
        <w:jc w:val="center"/>
        <w:rPr>
          <w:rFonts w:hint="eastAsia" w:ascii="Times New Roman" w:hAnsi="方正小标宋简体" w:eastAsia="方正小标宋简体" w:cs="Times New Roman"/>
          <w:color w:val="000000"/>
          <w:sz w:val="32"/>
          <w:szCs w:val="32"/>
          <w:lang w:eastAsia="zh-CN"/>
        </w:rPr>
      </w:pPr>
      <w:r>
        <w:rPr>
          <w:rFonts w:hint="eastAsia" w:ascii="Times New Roman" w:hAnsi="方正小标宋简体" w:eastAsia="方正小标宋简体" w:cs="Times New Roman"/>
          <w:color w:val="000000"/>
          <w:sz w:val="32"/>
          <w:szCs w:val="32"/>
          <w:lang w:eastAsia="zh-CN"/>
        </w:rPr>
        <w:t>（</w:t>
      </w:r>
      <w:r>
        <w:rPr>
          <w:rFonts w:hint="eastAsia" w:ascii="Times New Roman" w:hAnsi="方正小标宋简体" w:eastAsia="方正小标宋简体" w:cs="Times New Roman"/>
          <w:color w:val="000000"/>
          <w:sz w:val="32"/>
          <w:szCs w:val="32"/>
          <w:lang w:val="en-US" w:eastAsia="zh-CN"/>
        </w:rPr>
        <w:t>2023年版</w:t>
      </w:r>
      <w:r>
        <w:rPr>
          <w:rFonts w:hint="eastAsia" w:ascii="Times New Roman" w:hAnsi="方正小标宋简体" w:eastAsia="方正小标宋简体" w:cs="Times New Roman"/>
          <w:color w:val="000000"/>
          <w:sz w:val="32"/>
          <w:szCs w:val="32"/>
          <w:lang w:eastAsia="zh-CN"/>
        </w:rPr>
        <w:t>）</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spacing w:line="560" w:lineRule="exact"/>
        <w:ind w:firstLine="548" w:firstLineChars="200"/>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本细则适用</w:t>
      </w:r>
      <w:r>
        <w:rPr>
          <w:rFonts w:hint="eastAsia" w:ascii="Times New Roman" w:hAnsi="Times New Roman" w:eastAsia="仿宋_GB2312" w:cs="Times New Roman"/>
          <w:sz w:val="28"/>
          <w:szCs w:val="28"/>
          <w:lang w:eastAsia="zh-CN"/>
        </w:rPr>
        <w:t>滑县</w:t>
      </w:r>
      <w:r>
        <w:rPr>
          <w:rFonts w:ascii="Times New Roman" w:hAnsi="Times New Roman" w:eastAsia="仿宋_GB2312" w:cs="Times New Roman"/>
          <w:sz w:val="28"/>
          <w:szCs w:val="28"/>
        </w:rPr>
        <w:t>市场监督管理局组织的</w:t>
      </w:r>
      <w:r>
        <w:rPr>
          <w:rFonts w:hint="eastAsia" w:ascii="Times New Roman" w:hAnsi="Times New Roman" w:eastAsia="仿宋_GB2312" w:cs="Times New Roman"/>
          <w:sz w:val="28"/>
          <w:szCs w:val="28"/>
          <w:lang w:val="en-US" w:eastAsia="zh-CN"/>
        </w:rPr>
        <w:t>成人</w:t>
      </w:r>
      <w:r>
        <w:rPr>
          <w:rFonts w:ascii="Times New Roman" w:hAnsi="Times New Roman" w:eastAsia="仿宋_GB2312" w:cs="Times New Roman"/>
          <w:sz w:val="28"/>
          <w:szCs w:val="28"/>
        </w:rPr>
        <w:t>纸尿裤</w:t>
      </w:r>
      <w:r>
        <w:rPr>
          <w:rFonts w:hint="eastAsia" w:ascii="Times New Roman" w:hAnsi="Times New Roman" w:eastAsia="仿宋_GB2312" w:cs="Times New Roman"/>
          <w:sz w:val="28"/>
          <w:szCs w:val="28"/>
        </w:rPr>
        <w:t>（片、垫）</w:t>
      </w:r>
      <w:r>
        <w:rPr>
          <w:rFonts w:ascii="Times New Roman" w:hAnsi="Times New Roman" w:eastAsia="仿宋_GB2312" w:cs="Times New Roman"/>
          <w:sz w:val="28"/>
          <w:szCs w:val="28"/>
        </w:rPr>
        <w:t>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snapToGrid w:val="0"/>
        <w:spacing w:line="560" w:lineRule="exact"/>
        <w:ind w:firstLine="548" w:firstLineChars="200"/>
        <w:textAlignment w:val="auto"/>
        <w:rPr>
          <w:rFonts w:ascii="Times New Roman" w:hAnsi="Times New Roman" w:eastAsia="黑体" w:cs="Times New Roman"/>
          <w:b w:val="0"/>
          <w:bCs/>
          <w:color w:val="000000"/>
          <w:sz w:val="28"/>
          <w:szCs w:val="28"/>
        </w:rPr>
      </w:pPr>
      <w:r>
        <w:rPr>
          <w:rFonts w:ascii="Times New Roman" w:hAnsi="Times New Roman" w:eastAsia="黑体" w:cs="Times New Roman"/>
          <w:b w:val="0"/>
          <w:bCs/>
          <w:color w:val="000000"/>
          <w:sz w:val="28"/>
          <w:szCs w:val="28"/>
        </w:rPr>
        <w:t>1</w:t>
      </w:r>
      <w:r>
        <w:rPr>
          <w:rFonts w:hint="eastAsia" w:ascii="Times New Roman" w:hAnsi="Times New Roman" w:eastAsia="黑体" w:cs="Times New Roman"/>
          <w:b w:val="0"/>
          <w:bCs/>
          <w:color w:val="000000"/>
          <w:sz w:val="28"/>
          <w:szCs w:val="28"/>
        </w:rPr>
        <w:t xml:space="preserve"> </w:t>
      </w:r>
      <w:r>
        <w:rPr>
          <w:rFonts w:ascii="Times New Roman" w:hAnsi="黑体" w:eastAsia="黑体" w:cs="Times New Roman"/>
          <w:b w:val="0"/>
          <w:bCs/>
          <w:color w:val="000000"/>
          <w:sz w:val="28"/>
          <w:szCs w:val="28"/>
        </w:rPr>
        <w:t>抽样方法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548" w:firstLineChars="200"/>
        <w:textAlignment w:val="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以随机抽样方式在被抽样生产者、销售者的待销产品中抽取。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548" w:firstLineChars="200"/>
        <w:textAlignment w:val="auto"/>
        <w:rPr>
          <w:rFonts w:ascii="Times New Roman" w:hAnsi="Times New Roman" w:eastAsia="仿宋_GB2312" w:cs="Times New Roman"/>
          <w:color w:val="000000"/>
          <w:spacing w:val="-6"/>
          <w:sz w:val="28"/>
          <w:szCs w:val="28"/>
        </w:rPr>
      </w:pPr>
      <w:r>
        <w:rPr>
          <w:rFonts w:ascii="Times New Roman" w:hAnsi="Times New Roman" w:eastAsia="仿宋_GB2312" w:cs="Times New Roman"/>
          <w:color w:val="000000"/>
          <w:sz w:val="28"/>
          <w:szCs w:val="28"/>
        </w:rPr>
        <w:t>随</w:t>
      </w:r>
      <w:r>
        <w:rPr>
          <w:rFonts w:ascii="Times New Roman" w:hAnsi="Times New Roman" w:eastAsia="仿宋_GB2312" w:cs="Times New Roman"/>
          <w:color w:val="000000"/>
          <w:spacing w:val="-6"/>
          <w:sz w:val="28"/>
          <w:szCs w:val="28"/>
        </w:rPr>
        <w:t>机数一般可使用随机数表、随机数骰子或扑克牌等方法产生。</w:t>
      </w:r>
    </w:p>
    <w:p>
      <w:pPr>
        <w:adjustRightInd w:val="0"/>
        <w:snapToGrid w:val="0"/>
        <w:spacing w:beforeLines="50" w:line="560" w:lineRule="exact"/>
        <w:jc w:val="center"/>
        <w:rPr>
          <w:rFonts w:ascii="Times New Roman" w:hAnsi="Times New Roman" w:eastAsia="仿宋_GB2312" w:cs="Times New Roman"/>
          <w:b/>
          <w:bCs/>
          <w:color w:val="000000"/>
          <w:kern w:val="0"/>
          <w:sz w:val="28"/>
          <w:szCs w:val="28"/>
        </w:rPr>
      </w:pPr>
      <w:r>
        <w:rPr>
          <w:rFonts w:ascii="Times New Roman" w:hAnsi="Times New Roman" w:eastAsia="仿宋_GB2312" w:cs="Times New Roman"/>
          <w:b/>
          <w:bCs/>
          <w:color w:val="000000"/>
          <w:kern w:val="0"/>
          <w:sz w:val="28"/>
          <w:szCs w:val="28"/>
        </w:rPr>
        <w:t>表1</w:t>
      </w:r>
      <w:r>
        <w:rPr>
          <w:rFonts w:hint="eastAsia" w:ascii="Times New Roman" w:hAnsi="Times New Roman" w:eastAsia="仿宋_GB2312" w:cs="Times New Roman"/>
          <w:b/>
          <w:bCs/>
          <w:color w:val="000000"/>
          <w:kern w:val="0"/>
          <w:sz w:val="28"/>
          <w:szCs w:val="28"/>
        </w:rPr>
        <w:t xml:space="preserve"> </w:t>
      </w:r>
      <w:r>
        <w:rPr>
          <w:rFonts w:ascii="Times New Roman" w:hAnsi="Times New Roman" w:eastAsia="仿宋_GB2312" w:cs="Times New Roman"/>
          <w:b/>
          <w:bCs/>
          <w:color w:val="000000"/>
          <w:kern w:val="0"/>
          <w:sz w:val="28"/>
          <w:szCs w:val="28"/>
        </w:rPr>
        <w:t>抽取样品数量</w:t>
      </w:r>
    </w:p>
    <w:tbl>
      <w:tblPr>
        <w:tblStyle w:val="9"/>
        <w:tblW w:w="88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810"/>
        <w:gridCol w:w="1669"/>
        <w:gridCol w:w="2411"/>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60"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序号</w:t>
            </w:r>
          </w:p>
        </w:tc>
        <w:tc>
          <w:tcPr>
            <w:tcW w:w="1810"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产品种类</w:t>
            </w:r>
          </w:p>
        </w:tc>
        <w:tc>
          <w:tcPr>
            <w:tcW w:w="1669"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抽样数量（包）</w:t>
            </w:r>
          </w:p>
        </w:tc>
        <w:tc>
          <w:tcPr>
            <w:tcW w:w="2411"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检验样品数量（包）</w:t>
            </w:r>
          </w:p>
        </w:tc>
        <w:tc>
          <w:tcPr>
            <w:tcW w:w="2228"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备用样品数量（包）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0"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1</w:t>
            </w:r>
          </w:p>
        </w:tc>
        <w:tc>
          <w:tcPr>
            <w:tcW w:w="1810" w:type="dxa"/>
            <w:vAlign w:val="center"/>
          </w:tcPr>
          <w:p>
            <w:pPr>
              <w:jc w:val="center"/>
              <w:rPr>
                <w:rFonts w:ascii="Times New Roman" w:hAnsi="Times New Roman" w:eastAsia="仿宋_GB2312" w:cs="Times New Roman"/>
                <w:bCs/>
                <w:color w:val="000000"/>
                <w:kern w:val="0"/>
                <w:sz w:val="22"/>
                <w:szCs w:val="28"/>
              </w:rPr>
            </w:pPr>
            <w:r>
              <w:rPr>
                <w:rFonts w:ascii="Times New Roman" w:hAnsi="Times New Roman" w:eastAsia="仿宋_GB2312" w:cs="Times New Roman"/>
                <w:bCs/>
                <w:color w:val="000000"/>
                <w:kern w:val="0"/>
                <w:sz w:val="22"/>
                <w:szCs w:val="28"/>
              </w:rPr>
              <w:t>纸尿裤</w:t>
            </w:r>
            <w:r>
              <w:rPr>
                <w:rFonts w:hint="eastAsia" w:ascii="Times New Roman" w:hAnsi="Times New Roman" w:eastAsia="仿宋_GB2312" w:cs="Times New Roman"/>
                <w:bCs/>
                <w:color w:val="000000"/>
                <w:kern w:val="0"/>
                <w:sz w:val="22"/>
                <w:szCs w:val="28"/>
              </w:rPr>
              <w:t>（片、垫）</w:t>
            </w:r>
          </w:p>
        </w:tc>
        <w:tc>
          <w:tcPr>
            <w:tcW w:w="1669" w:type="dxa"/>
            <w:vAlign w:val="center"/>
          </w:tcPr>
          <w:p>
            <w:pPr>
              <w:jc w:val="center"/>
              <w:rPr>
                <w:rFonts w:hint="eastAsia" w:ascii="Times New Roman" w:hAnsi="Times New Roman" w:eastAsia="仿宋_GB2312" w:cs="Times New Roman"/>
                <w:bCs/>
                <w:color w:val="000000"/>
                <w:kern w:val="0"/>
                <w:sz w:val="22"/>
                <w:szCs w:val="28"/>
                <w:lang w:eastAsia="zh-CN"/>
              </w:rPr>
            </w:pPr>
            <w:r>
              <w:rPr>
                <w:rFonts w:hint="eastAsia" w:ascii="Times New Roman" w:hAnsi="Times New Roman" w:eastAsia="仿宋_GB2312" w:cs="Times New Roman"/>
                <w:bCs/>
                <w:color w:val="000000"/>
                <w:kern w:val="0"/>
                <w:sz w:val="22"/>
                <w:szCs w:val="28"/>
                <w:lang w:val="en-US" w:eastAsia="zh-CN"/>
              </w:rPr>
              <w:t>5</w:t>
            </w:r>
          </w:p>
        </w:tc>
        <w:tc>
          <w:tcPr>
            <w:tcW w:w="2411" w:type="dxa"/>
            <w:vAlign w:val="center"/>
          </w:tcPr>
          <w:p>
            <w:pPr>
              <w:jc w:val="center"/>
              <w:rPr>
                <w:rFonts w:hint="eastAsia" w:ascii="Times New Roman" w:hAnsi="Times New Roman" w:eastAsia="仿宋_GB2312" w:cs="Times New Roman"/>
                <w:bCs/>
                <w:color w:val="000000"/>
                <w:kern w:val="0"/>
                <w:sz w:val="22"/>
                <w:szCs w:val="28"/>
                <w:lang w:eastAsia="zh-CN"/>
              </w:rPr>
            </w:pPr>
            <w:r>
              <w:rPr>
                <w:rFonts w:hint="eastAsia" w:ascii="Times New Roman" w:hAnsi="Times New Roman" w:eastAsia="仿宋_GB2312" w:cs="Times New Roman"/>
                <w:bCs/>
                <w:color w:val="000000"/>
                <w:kern w:val="0"/>
                <w:sz w:val="22"/>
                <w:szCs w:val="28"/>
                <w:lang w:val="en-US" w:eastAsia="zh-CN"/>
              </w:rPr>
              <w:t>3</w:t>
            </w:r>
          </w:p>
        </w:tc>
        <w:tc>
          <w:tcPr>
            <w:tcW w:w="2228" w:type="dxa"/>
            <w:vAlign w:val="center"/>
          </w:tcPr>
          <w:p>
            <w:pPr>
              <w:jc w:val="center"/>
              <w:rPr>
                <w:rFonts w:hint="eastAsia" w:ascii="Times New Roman" w:hAnsi="Times New Roman" w:eastAsia="仿宋_GB2312" w:cs="Times New Roman"/>
                <w:bCs/>
                <w:color w:val="000000"/>
                <w:kern w:val="0"/>
                <w:sz w:val="22"/>
                <w:szCs w:val="28"/>
                <w:lang w:eastAsia="zh-CN"/>
              </w:rPr>
            </w:pPr>
            <w:r>
              <w:rPr>
                <w:rFonts w:hint="eastAsia" w:ascii="Times New Roman" w:hAnsi="Times New Roman" w:eastAsia="仿宋_GB2312" w:cs="Times New Roman"/>
                <w:bCs/>
                <w:color w:val="000000"/>
                <w:kern w:val="0"/>
                <w:sz w:val="22"/>
                <w:szCs w:val="28"/>
                <w:lang w:val="en-US" w:eastAsia="zh-CN"/>
              </w:rPr>
              <w:t>2</w:t>
            </w:r>
            <w:bookmarkStart w:id="0" w:name="_GoBack"/>
            <w:bookmarkEnd w:id="0"/>
          </w:p>
        </w:tc>
      </w:tr>
    </w:tbl>
    <w:p>
      <w:pPr>
        <w:snapToGrid w:val="0"/>
        <w:spacing w:line="594" w:lineRule="exact"/>
        <w:ind w:firstLine="548" w:firstLineChars="200"/>
        <w:rPr>
          <w:rFonts w:ascii="Times New Roman" w:hAnsi="Times New Roman" w:eastAsia="黑体" w:cs="Times New Roman"/>
          <w:b w:val="0"/>
          <w:bCs/>
          <w:color w:val="000000"/>
          <w:sz w:val="28"/>
          <w:szCs w:val="28"/>
        </w:rPr>
      </w:pPr>
      <w:r>
        <w:rPr>
          <w:rFonts w:ascii="Times New Roman" w:hAnsi="Times New Roman" w:eastAsia="黑体" w:cs="Times New Roman"/>
          <w:b w:val="0"/>
          <w:bCs/>
          <w:color w:val="000000"/>
          <w:sz w:val="28"/>
          <w:szCs w:val="28"/>
        </w:rPr>
        <w:t>2</w:t>
      </w:r>
      <w:r>
        <w:rPr>
          <w:rFonts w:hint="eastAsia" w:ascii="Times New Roman" w:hAnsi="Times New Roman" w:eastAsia="黑体" w:cs="Times New Roman"/>
          <w:b w:val="0"/>
          <w:bCs/>
          <w:color w:val="000000"/>
          <w:sz w:val="28"/>
          <w:szCs w:val="28"/>
        </w:rPr>
        <w:t xml:space="preserve"> </w:t>
      </w:r>
      <w:r>
        <w:rPr>
          <w:rFonts w:ascii="Times New Roman" w:hAnsi="黑体" w:eastAsia="黑体" w:cs="Times New Roman"/>
          <w:b w:val="0"/>
          <w:bCs/>
          <w:color w:val="000000"/>
          <w:sz w:val="28"/>
          <w:szCs w:val="28"/>
        </w:rPr>
        <w:t>检验依据</w:t>
      </w:r>
    </w:p>
    <w:p>
      <w:pPr>
        <w:adjustRightInd w:val="0"/>
        <w:snapToGrid w:val="0"/>
        <w:spacing w:beforeLines="50" w:line="560" w:lineRule="exact"/>
        <w:jc w:val="center"/>
        <w:rPr>
          <w:rFonts w:ascii="Times New Roman" w:hAnsi="Times New Roman" w:eastAsia="仿宋_GB2312" w:cs="Times New Roman"/>
          <w:color w:val="000000"/>
          <w:sz w:val="28"/>
          <w:szCs w:val="28"/>
          <w:highlight w:val="none"/>
        </w:rPr>
      </w:pPr>
      <w:r>
        <w:rPr>
          <w:rFonts w:ascii="Times New Roman" w:hAnsi="Times New Roman" w:eastAsia="仿宋_GB2312" w:cs="Times New Roman"/>
          <w:b/>
          <w:bCs/>
          <w:color w:val="000000"/>
          <w:kern w:val="0"/>
          <w:sz w:val="28"/>
          <w:szCs w:val="28"/>
          <w:highlight w:val="none"/>
        </w:rPr>
        <w:t>表</w:t>
      </w:r>
      <w:r>
        <w:rPr>
          <w:rFonts w:hint="eastAsia" w:ascii="Times New Roman" w:hAnsi="Times New Roman" w:eastAsia="仿宋_GB2312" w:cs="Times New Roman"/>
          <w:b/>
          <w:bCs/>
          <w:color w:val="000000"/>
          <w:kern w:val="0"/>
          <w:sz w:val="28"/>
          <w:szCs w:val="28"/>
          <w:highlight w:val="none"/>
          <w:lang w:val="en-US" w:eastAsia="zh-CN"/>
        </w:rPr>
        <w:t>2</w:t>
      </w:r>
      <w:r>
        <w:rPr>
          <w:rFonts w:hint="eastAsia" w:ascii="Times New Roman" w:hAnsi="Times New Roman" w:eastAsia="仿宋_GB2312" w:cs="Times New Roman"/>
          <w:b/>
          <w:bCs/>
          <w:color w:val="000000"/>
          <w:kern w:val="0"/>
          <w:sz w:val="28"/>
          <w:szCs w:val="28"/>
          <w:highlight w:val="none"/>
        </w:rPr>
        <w:t xml:space="preserve"> </w:t>
      </w:r>
      <w:r>
        <w:rPr>
          <w:rFonts w:ascii="Times New Roman" w:hAnsi="Times New Roman" w:eastAsia="仿宋_GB2312" w:cs="Times New Roman"/>
          <w:b/>
          <w:bCs/>
          <w:color w:val="000000"/>
          <w:kern w:val="0"/>
          <w:sz w:val="28"/>
          <w:szCs w:val="28"/>
          <w:highlight w:val="none"/>
        </w:rPr>
        <w:t>成人纸尿裤（</w:t>
      </w:r>
      <w:r>
        <w:rPr>
          <w:rFonts w:ascii="Times New Roman" w:hAnsi="Times New Roman" w:eastAsia="仿宋_GB2312" w:cs="Times New Roman"/>
          <w:color w:val="000000"/>
          <w:sz w:val="28"/>
          <w:szCs w:val="28"/>
          <w:highlight w:val="none"/>
        </w:rPr>
        <w:t>GB/T 28004.2-2021</w:t>
      </w:r>
      <w:r>
        <w:rPr>
          <w:rFonts w:ascii="Times New Roman" w:hAnsi="Times New Roman" w:eastAsia="仿宋_GB2312" w:cs="Times New Roman"/>
          <w:b/>
          <w:bCs/>
          <w:color w:val="000000"/>
          <w:kern w:val="0"/>
          <w:sz w:val="28"/>
          <w:szCs w:val="28"/>
          <w:highlight w:val="none"/>
        </w:rPr>
        <w:t>）</w:t>
      </w:r>
    </w:p>
    <w:tbl>
      <w:tblPr>
        <w:tblStyle w:val="9"/>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79"/>
        <w:gridCol w:w="3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ascii="Times New Roman" w:hAnsi="Times New Roman" w:eastAsia="仿宋_GB2312" w:cs="Times New Roman"/>
                <w:color w:val="000000"/>
                <w:sz w:val="22"/>
                <w:szCs w:val="22"/>
                <w:highlight w:val="none"/>
              </w:rPr>
            </w:pPr>
            <w:r>
              <w:rPr>
                <w:rFonts w:ascii="Times New Roman" w:hAnsi="Times New Roman" w:eastAsia="仿宋_GB2312" w:cs="Times New Roman"/>
                <w:color w:val="000000"/>
                <w:sz w:val="22"/>
                <w:szCs w:val="22"/>
                <w:highlight w:val="none"/>
              </w:rPr>
              <w:t>序号</w:t>
            </w:r>
          </w:p>
        </w:tc>
        <w:tc>
          <w:tcPr>
            <w:tcW w:w="3879" w:type="dxa"/>
            <w:vAlign w:val="center"/>
          </w:tcPr>
          <w:p>
            <w:pPr>
              <w:jc w:val="center"/>
              <w:rPr>
                <w:rFonts w:ascii="Times New Roman" w:hAnsi="Times New Roman" w:eastAsia="仿宋_GB2312" w:cs="Times New Roman"/>
                <w:color w:val="000000"/>
                <w:sz w:val="22"/>
                <w:szCs w:val="22"/>
                <w:highlight w:val="none"/>
              </w:rPr>
            </w:pPr>
            <w:r>
              <w:rPr>
                <w:rFonts w:ascii="Times New Roman" w:hAnsi="Times New Roman" w:eastAsia="仿宋_GB2312" w:cs="Times New Roman"/>
                <w:color w:val="000000"/>
                <w:sz w:val="22"/>
                <w:szCs w:val="22"/>
                <w:highlight w:val="none"/>
              </w:rPr>
              <w:t>检验项目</w:t>
            </w:r>
          </w:p>
        </w:tc>
        <w:tc>
          <w:tcPr>
            <w:tcW w:w="3535" w:type="dxa"/>
            <w:vAlign w:val="center"/>
          </w:tcPr>
          <w:p>
            <w:pPr>
              <w:adjustRightInd w:val="0"/>
              <w:snapToGrid w:val="0"/>
              <w:jc w:val="center"/>
              <w:rPr>
                <w:rFonts w:ascii="Times New Roman" w:hAnsi="Times New Roman" w:eastAsia="仿宋_GB2312" w:cs="Times New Roman"/>
                <w:color w:val="000000"/>
                <w:sz w:val="22"/>
                <w:szCs w:val="22"/>
                <w:highlight w:val="none"/>
              </w:rPr>
            </w:pPr>
            <w:r>
              <w:rPr>
                <w:rFonts w:ascii="Times New Roman" w:hAnsi="Times New Roman" w:eastAsia="仿宋_GB2312" w:cs="Times New Roman"/>
                <w:color w:val="000000"/>
                <w:sz w:val="22"/>
                <w:szCs w:val="22"/>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Times New Roman" w:hAnsi="Times New Roman" w:eastAsia="仿宋_GB2312" w:cs="Times New Roman"/>
                <w:bCs/>
                <w:color w:val="000000"/>
                <w:kern w:val="0"/>
                <w:sz w:val="22"/>
                <w:szCs w:val="28"/>
                <w:highlight w:val="none"/>
                <w:lang w:val="en-US" w:eastAsia="zh-CN"/>
              </w:rPr>
            </w:pPr>
            <w:r>
              <w:rPr>
                <w:rFonts w:hint="eastAsia" w:ascii="Times New Roman" w:hAnsi="Times New Roman" w:eastAsia="仿宋_GB2312" w:cs="Times New Roman"/>
                <w:bCs/>
                <w:color w:val="000000"/>
                <w:kern w:val="0"/>
                <w:sz w:val="22"/>
                <w:szCs w:val="28"/>
                <w:highlight w:val="none"/>
                <w:lang w:val="en-US" w:eastAsia="zh-CN"/>
              </w:rPr>
              <w:t>1</w:t>
            </w:r>
          </w:p>
        </w:tc>
        <w:tc>
          <w:tcPr>
            <w:tcW w:w="3879"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rPr>
              <w:t>甲醛含量</w:t>
            </w:r>
          </w:p>
        </w:tc>
        <w:tc>
          <w:tcPr>
            <w:tcW w:w="3535"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lang w:eastAsia="en-US"/>
              </w:rPr>
              <w:t>GB/T</w:t>
            </w:r>
            <w:r>
              <w:rPr>
                <w:rFonts w:hint="eastAsia" w:ascii="Times New Roman" w:hAnsi="Times New Roman" w:eastAsia="仿宋_GB2312" w:cs="Times New Roman"/>
                <w:bCs/>
                <w:color w:val="000000"/>
                <w:kern w:val="0"/>
                <w:sz w:val="22"/>
                <w:szCs w:val="28"/>
                <w:highlight w:val="none"/>
              </w:rPr>
              <w:t xml:space="preserve"> </w:t>
            </w:r>
            <w:r>
              <w:rPr>
                <w:rFonts w:ascii="Times New Roman" w:hAnsi="Times New Roman" w:eastAsia="仿宋_GB2312" w:cs="Times New Roman"/>
                <w:bCs/>
                <w:color w:val="000000"/>
                <w:kern w:val="0"/>
                <w:sz w:val="22"/>
                <w:szCs w:val="28"/>
                <w:highlight w:val="none"/>
              </w:rPr>
              <w:t>34448</w:t>
            </w:r>
            <w:r>
              <w:rPr>
                <w:rFonts w:ascii="Times New Roman" w:hAnsi="Times New Roman" w:eastAsia="仿宋_GB2312" w:cs="Times New Roman"/>
                <w:bCs/>
                <w:color w:val="000000"/>
                <w:kern w:val="0"/>
                <w:sz w:val="22"/>
                <w:szCs w:val="28"/>
                <w:highlight w:val="none"/>
                <w:lang w:eastAsia="en-US"/>
              </w:rPr>
              <w:t>-</w:t>
            </w:r>
            <w:r>
              <w:rPr>
                <w:rFonts w:ascii="Times New Roman" w:hAnsi="Times New Roman" w:eastAsia="仿宋_GB2312" w:cs="Times New Roman"/>
                <w:bCs/>
                <w:color w:val="000000"/>
                <w:kern w:val="0"/>
                <w:sz w:val="22"/>
                <w:szCs w:val="28"/>
                <w:highlight w:val="none"/>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Times New Roman" w:hAnsi="Times New Roman" w:eastAsia="仿宋_GB2312" w:cs="Times New Roman"/>
                <w:bCs/>
                <w:color w:val="000000"/>
                <w:kern w:val="0"/>
                <w:sz w:val="22"/>
                <w:szCs w:val="28"/>
                <w:highlight w:val="none"/>
                <w:lang w:val="en-US" w:eastAsia="zh-CN"/>
              </w:rPr>
            </w:pPr>
            <w:r>
              <w:rPr>
                <w:rFonts w:hint="eastAsia" w:ascii="Times New Roman" w:hAnsi="Times New Roman" w:eastAsia="仿宋_GB2312" w:cs="Times New Roman"/>
                <w:bCs/>
                <w:color w:val="000000"/>
                <w:kern w:val="0"/>
                <w:sz w:val="22"/>
                <w:szCs w:val="28"/>
                <w:highlight w:val="none"/>
                <w:lang w:val="en-US" w:eastAsia="zh-CN"/>
              </w:rPr>
              <w:t>2</w:t>
            </w:r>
          </w:p>
        </w:tc>
        <w:tc>
          <w:tcPr>
            <w:tcW w:w="3879"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rPr>
              <w:t>可迁移性荧光性物质</w:t>
            </w:r>
          </w:p>
        </w:tc>
        <w:tc>
          <w:tcPr>
            <w:tcW w:w="3535"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lang w:eastAsia="en-US"/>
              </w:rPr>
              <w:t>GB/T</w:t>
            </w:r>
            <w:r>
              <w:rPr>
                <w:rFonts w:hint="eastAsia" w:ascii="Times New Roman" w:hAnsi="Times New Roman" w:eastAsia="仿宋_GB2312" w:cs="Times New Roman"/>
                <w:bCs/>
                <w:color w:val="000000"/>
                <w:kern w:val="0"/>
                <w:sz w:val="22"/>
                <w:szCs w:val="28"/>
                <w:highlight w:val="none"/>
              </w:rPr>
              <w:t xml:space="preserve"> </w:t>
            </w:r>
            <w:r>
              <w:rPr>
                <w:rFonts w:ascii="Times New Roman" w:hAnsi="Times New Roman" w:eastAsia="仿宋_GB2312" w:cs="Times New Roman"/>
                <w:bCs/>
                <w:color w:val="000000"/>
                <w:kern w:val="0"/>
                <w:sz w:val="22"/>
                <w:szCs w:val="28"/>
                <w:highlight w:val="none"/>
                <w:lang w:eastAsia="en-US"/>
              </w:rPr>
              <w:t>28004</w:t>
            </w:r>
            <w:r>
              <w:rPr>
                <w:rFonts w:ascii="Times New Roman" w:hAnsi="Times New Roman" w:eastAsia="仿宋_GB2312" w:cs="Times New Roman"/>
                <w:bCs/>
                <w:color w:val="000000"/>
                <w:kern w:val="0"/>
                <w:sz w:val="22"/>
                <w:szCs w:val="28"/>
                <w:highlight w:val="none"/>
              </w:rPr>
              <w:t>.2</w:t>
            </w:r>
            <w:r>
              <w:rPr>
                <w:rFonts w:ascii="Times New Roman" w:hAnsi="Times New Roman" w:eastAsia="仿宋_GB2312" w:cs="Times New Roman"/>
                <w:bCs/>
                <w:color w:val="000000"/>
                <w:kern w:val="0"/>
                <w:sz w:val="22"/>
                <w:szCs w:val="28"/>
                <w:highlight w:val="none"/>
                <w:lang w:eastAsia="en-US"/>
              </w:rPr>
              <w:t>-20</w:t>
            </w:r>
            <w:r>
              <w:rPr>
                <w:rFonts w:ascii="Times New Roman" w:hAnsi="Times New Roman" w:eastAsia="仿宋_GB2312" w:cs="Times New Roman"/>
                <w:bCs/>
                <w:color w:val="000000"/>
                <w:kern w:val="0"/>
                <w:sz w:val="22"/>
                <w:szCs w:val="28"/>
                <w:highlight w:val="none"/>
              </w:rPr>
              <w:t>21</w:t>
            </w:r>
            <w:r>
              <w:rPr>
                <w:rFonts w:ascii="Times New Roman" w:hAnsi="Times New Roman" w:eastAsia="仿宋_GB2312" w:cs="Times New Roman"/>
                <w:bCs/>
                <w:color w:val="000000"/>
                <w:kern w:val="0"/>
                <w:sz w:val="22"/>
                <w:szCs w:val="28"/>
                <w:highlight w:val="none"/>
                <w:lang w:eastAsia="en-US"/>
              </w:rPr>
              <w:t>中附录</w:t>
            </w:r>
            <w:r>
              <w:rPr>
                <w:rFonts w:ascii="Times New Roman" w:hAnsi="Times New Roman" w:eastAsia="仿宋_GB2312" w:cs="Times New Roman"/>
                <w:bCs/>
                <w:color w:val="000000"/>
                <w:kern w:val="0"/>
                <w:sz w:val="22"/>
                <w:szCs w:val="28"/>
                <w:highlight w:val="none"/>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Times New Roman" w:hAnsi="Times New Roman" w:eastAsia="仿宋_GB2312" w:cs="Times New Roman"/>
                <w:bCs/>
                <w:color w:val="000000"/>
                <w:kern w:val="0"/>
                <w:sz w:val="22"/>
                <w:szCs w:val="28"/>
                <w:highlight w:val="none"/>
                <w:lang w:val="en-US" w:eastAsia="zh-CN"/>
              </w:rPr>
            </w:pPr>
            <w:r>
              <w:rPr>
                <w:rFonts w:hint="eastAsia" w:ascii="Times New Roman" w:hAnsi="Times New Roman" w:eastAsia="仿宋_GB2312" w:cs="Times New Roman"/>
                <w:bCs/>
                <w:color w:val="000000"/>
                <w:kern w:val="0"/>
                <w:sz w:val="22"/>
                <w:szCs w:val="28"/>
                <w:highlight w:val="none"/>
                <w:lang w:val="en-US" w:eastAsia="zh-CN"/>
              </w:rPr>
              <w:t>3</w:t>
            </w:r>
          </w:p>
        </w:tc>
        <w:tc>
          <w:tcPr>
            <w:tcW w:w="3879"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rPr>
              <w:t>pH值</w:t>
            </w:r>
          </w:p>
        </w:tc>
        <w:tc>
          <w:tcPr>
            <w:tcW w:w="3535"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lang w:eastAsia="en-US"/>
              </w:rPr>
              <w:t>GB/T</w:t>
            </w:r>
            <w:r>
              <w:rPr>
                <w:rFonts w:hint="eastAsia" w:ascii="Times New Roman" w:hAnsi="Times New Roman" w:eastAsia="仿宋_GB2312" w:cs="Times New Roman"/>
                <w:bCs/>
                <w:color w:val="000000"/>
                <w:kern w:val="0"/>
                <w:sz w:val="22"/>
                <w:szCs w:val="28"/>
                <w:highlight w:val="none"/>
              </w:rPr>
              <w:t xml:space="preserve"> </w:t>
            </w:r>
            <w:r>
              <w:rPr>
                <w:rFonts w:ascii="Times New Roman" w:hAnsi="Times New Roman" w:eastAsia="仿宋_GB2312" w:cs="Times New Roman"/>
                <w:bCs/>
                <w:color w:val="000000"/>
                <w:kern w:val="0"/>
                <w:sz w:val="22"/>
                <w:szCs w:val="28"/>
                <w:highlight w:val="none"/>
                <w:lang w:eastAsia="en-US"/>
              </w:rPr>
              <w:t>28004</w:t>
            </w:r>
            <w:r>
              <w:rPr>
                <w:rFonts w:ascii="Times New Roman" w:hAnsi="Times New Roman" w:eastAsia="仿宋_GB2312" w:cs="Times New Roman"/>
                <w:bCs/>
                <w:color w:val="000000"/>
                <w:kern w:val="0"/>
                <w:sz w:val="22"/>
                <w:szCs w:val="28"/>
                <w:highlight w:val="none"/>
              </w:rPr>
              <w:t>.2</w:t>
            </w:r>
            <w:r>
              <w:rPr>
                <w:rFonts w:ascii="Times New Roman" w:hAnsi="Times New Roman" w:eastAsia="仿宋_GB2312" w:cs="Times New Roman"/>
                <w:bCs/>
                <w:color w:val="000000"/>
                <w:kern w:val="0"/>
                <w:sz w:val="22"/>
                <w:szCs w:val="28"/>
                <w:highlight w:val="none"/>
                <w:lang w:eastAsia="en-US"/>
              </w:rPr>
              <w:t>-20</w:t>
            </w:r>
            <w:r>
              <w:rPr>
                <w:rFonts w:ascii="Times New Roman" w:hAnsi="Times New Roman" w:eastAsia="仿宋_GB2312" w:cs="Times New Roman"/>
                <w:bCs/>
                <w:color w:val="000000"/>
                <w:kern w:val="0"/>
                <w:sz w:val="22"/>
                <w:szCs w:val="28"/>
                <w:highlight w:val="none"/>
              </w:rPr>
              <w:t>21</w:t>
            </w:r>
            <w:r>
              <w:rPr>
                <w:rFonts w:ascii="Times New Roman" w:hAnsi="Times New Roman" w:eastAsia="仿宋_GB2312" w:cs="Times New Roman"/>
                <w:bCs/>
                <w:color w:val="000000"/>
                <w:kern w:val="0"/>
                <w:sz w:val="22"/>
                <w:szCs w:val="28"/>
                <w:highlight w:val="none"/>
                <w:lang w:eastAsia="en-US"/>
              </w:rPr>
              <w:t>中附录B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Times New Roman" w:hAnsi="Times New Roman" w:eastAsia="仿宋_GB2312" w:cs="Times New Roman"/>
                <w:color w:val="000000"/>
                <w:sz w:val="22"/>
                <w:szCs w:val="22"/>
                <w:highlight w:val="none"/>
                <w:lang w:val="en-US" w:eastAsia="zh-CN"/>
              </w:rPr>
            </w:pPr>
            <w:r>
              <w:rPr>
                <w:rFonts w:hint="eastAsia" w:ascii="Times New Roman" w:hAnsi="Times New Roman" w:eastAsia="仿宋_GB2312" w:cs="Times New Roman"/>
                <w:color w:val="000000"/>
                <w:sz w:val="22"/>
                <w:szCs w:val="22"/>
                <w:highlight w:val="none"/>
                <w:lang w:val="en-US" w:eastAsia="zh-CN"/>
              </w:rPr>
              <w:t>4</w:t>
            </w:r>
          </w:p>
        </w:tc>
        <w:tc>
          <w:tcPr>
            <w:tcW w:w="3879"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rPr>
              <w:t>面层附着物</w:t>
            </w:r>
          </w:p>
        </w:tc>
        <w:tc>
          <w:tcPr>
            <w:tcW w:w="3535" w:type="dxa"/>
            <w:vAlign w:val="center"/>
          </w:tcPr>
          <w:p>
            <w:pPr>
              <w:jc w:val="center"/>
              <w:rPr>
                <w:rFonts w:ascii="Times New Roman" w:hAnsi="Times New Roman" w:eastAsia="仿宋_GB2312" w:cs="Times New Roman"/>
                <w:bCs/>
                <w:color w:val="000000"/>
                <w:kern w:val="0"/>
                <w:sz w:val="22"/>
                <w:szCs w:val="28"/>
                <w:highlight w:val="none"/>
              </w:rPr>
            </w:pPr>
            <w:r>
              <w:rPr>
                <w:rFonts w:ascii="Times New Roman" w:hAnsi="Times New Roman" w:eastAsia="仿宋_GB2312" w:cs="Times New Roman"/>
                <w:bCs/>
                <w:color w:val="000000"/>
                <w:kern w:val="0"/>
                <w:sz w:val="22"/>
                <w:szCs w:val="28"/>
                <w:highlight w:val="none"/>
                <w:lang w:eastAsia="en-US"/>
              </w:rPr>
              <w:t>GB/T</w:t>
            </w:r>
            <w:r>
              <w:rPr>
                <w:rFonts w:hint="eastAsia" w:ascii="Times New Roman" w:hAnsi="Times New Roman" w:eastAsia="仿宋_GB2312" w:cs="Times New Roman"/>
                <w:bCs/>
                <w:color w:val="000000"/>
                <w:kern w:val="0"/>
                <w:sz w:val="22"/>
                <w:szCs w:val="28"/>
                <w:highlight w:val="none"/>
              </w:rPr>
              <w:t xml:space="preserve"> </w:t>
            </w:r>
            <w:r>
              <w:rPr>
                <w:rFonts w:ascii="Times New Roman" w:hAnsi="Times New Roman" w:eastAsia="仿宋_GB2312" w:cs="Times New Roman"/>
                <w:bCs/>
                <w:color w:val="000000"/>
                <w:kern w:val="0"/>
                <w:sz w:val="22"/>
                <w:szCs w:val="28"/>
                <w:highlight w:val="none"/>
                <w:lang w:eastAsia="en-US"/>
              </w:rPr>
              <w:t>28004</w:t>
            </w:r>
            <w:r>
              <w:rPr>
                <w:rFonts w:ascii="Times New Roman" w:hAnsi="Times New Roman" w:eastAsia="仿宋_GB2312" w:cs="Times New Roman"/>
                <w:bCs/>
                <w:color w:val="000000"/>
                <w:kern w:val="0"/>
                <w:sz w:val="22"/>
                <w:szCs w:val="28"/>
                <w:highlight w:val="none"/>
              </w:rPr>
              <w:t>.2</w:t>
            </w:r>
            <w:r>
              <w:rPr>
                <w:rFonts w:ascii="Times New Roman" w:hAnsi="Times New Roman" w:eastAsia="仿宋_GB2312" w:cs="Times New Roman"/>
                <w:bCs/>
                <w:color w:val="000000"/>
                <w:kern w:val="0"/>
                <w:sz w:val="22"/>
                <w:szCs w:val="28"/>
                <w:highlight w:val="none"/>
                <w:lang w:eastAsia="en-US"/>
              </w:rPr>
              <w:t>-20</w:t>
            </w:r>
            <w:r>
              <w:rPr>
                <w:rFonts w:ascii="Times New Roman" w:hAnsi="Times New Roman" w:eastAsia="仿宋_GB2312" w:cs="Times New Roman"/>
                <w:bCs/>
                <w:color w:val="000000"/>
                <w:kern w:val="0"/>
                <w:sz w:val="22"/>
                <w:szCs w:val="28"/>
                <w:highlight w:val="none"/>
              </w:rPr>
              <w:t>21中6.4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default" w:ascii="Times New Roman" w:hAnsi="Times New Roman" w:eastAsia="仿宋_GB2312" w:cs="Times New Roman"/>
                <w:color w:val="000000"/>
                <w:sz w:val="22"/>
                <w:szCs w:val="22"/>
                <w:highlight w:val="none"/>
                <w:lang w:val="en-US" w:eastAsia="zh-CN"/>
              </w:rPr>
            </w:pPr>
            <w:r>
              <w:rPr>
                <w:rFonts w:hint="eastAsia" w:ascii="Times New Roman" w:hAnsi="Times New Roman" w:eastAsia="仿宋_GB2312" w:cs="Times New Roman"/>
                <w:color w:val="000000"/>
                <w:sz w:val="22"/>
                <w:szCs w:val="22"/>
                <w:highlight w:val="none"/>
                <w:lang w:val="en-US" w:eastAsia="zh-CN"/>
              </w:rPr>
              <w:t>5</w:t>
            </w:r>
          </w:p>
        </w:tc>
        <w:tc>
          <w:tcPr>
            <w:tcW w:w="3879" w:type="dxa"/>
            <w:vAlign w:val="center"/>
          </w:tcPr>
          <w:p>
            <w:pPr>
              <w:jc w:val="center"/>
              <w:rPr>
                <w:rFonts w:hint="eastAsia" w:ascii="Times New Roman" w:hAnsi="Times New Roman" w:eastAsia="仿宋_GB2312" w:cs="Times New Roman"/>
                <w:bCs/>
                <w:color w:val="000000"/>
                <w:kern w:val="0"/>
                <w:sz w:val="22"/>
                <w:szCs w:val="28"/>
                <w:lang w:val="en-US" w:eastAsia="zh-CN" w:bidi="ar-SA"/>
              </w:rPr>
            </w:pPr>
            <w:r>
              <w:rPr>
                <w:rFonts w:ascii="Times New Roman" w:hAnsi="Times New Roman" w:eastAsia="仿宋_GB2312" w:cs="Times New Roman"/>
                <w:bCs/>
                <w:color w:val="000000"/>
                <w:kern w:val="0"/>
                <w:sz w:val="22"/>
                <w:szCs w:val="28"/>
              </w:rPr>
              <w:t>吸收倍率</w:t>
            </w:r>
          </w:p>
        </w:tc>
        <w:tc>
          <w:tcPr>
            <w:tcW w:w="3535" w:type="dxa"/>
            <w:vAlign w:val="center"/>
          </w:tcPr>
          <w:p>
            <w:pPr>
              <w:jc w:val="center"/>
              <w:rPr>
                <w:rFonts w:ascii="Times New Roman" w:hAnsi="Times New Roman" w:eastAsia="仿宋_GB2312" w:cs="Times New Roman"/>
                <w:bCs/>
                <w:color w:val="000000"/>
                <w:kern w:val="0"/>
                <w:sz w:val="22"/>
                <w:szCs w:val="28"/>
                <w:lang w:val="en-US" w:eastAsia="en-US" w:bidi="ar-SA"/>
              </w:rPr>
            </w:pPr>
            <w:r>
              <w:rPr>
                <w:rFonts w:ascii="Times New Roman" w:hAnsi="Times New Roman" w:eastAsia="仿宋_GB2312" w:cs="Times New Roman"/>
                <w:bCs/>
                <w:color w:val="000000"/>
                <w:kern w:val="0"/>
                <w:sz w:val="22"/>
                <w:szCs w:val="28"/>
                <w:lang w:eastAsia="en-US"/>
              </w:rPr>
              <w:t>GB/T</w:t>
            </w:r>
            <w:r>
              <w:rPr>
                <w:rFonts w:hint="eastAsia" w:ascii="Times New Roman" w:hAnsi="Times New Roman" w:eastAsia="仿宋_GB2312" w:cs="Times New Roman"/>
                <w:bCs/>
                <w:color w:val="000000"/>
                <w:kern w:val="0"/>
                <w:sz w:val="22"/>
                <w:szCs w:val="28"/>
              </w:rPr>
              <w:t xml:space="preserve"> </w:t>
            </w:r>
            <w:r>
              <w:rPr>
                <w:rFonts w:ascii="Times New Roman" w:hAnsi="Times New Roman" w:eastAsia="仿宋_GB2312" w:cs="Times New Roman"/>
                <w:bCs/>
                <w:color w:val="000000"/>
                <w:kern w:val="0"/>
                <w:sz w:val="22"/>
                <w:szCs w:val="28"/>
                <w:lang w:eastAsia="en-US"/>
              </w:rPr>
              <w:t>28004</w:t>
            </w:r>
            <w:r>
              <w:rPr>
                <w:rFonts w:ascii="Times New Roman" w:hAnsi="Times New Roman" w:eastAsia="仿宋_GB2312" w:cs="Times New Roman"/>
                <w:bCs/>
                <w:color w:val="000000"/>
                <w:kern w:val="0"/>
                <w:sz w:val="22"/>
                <w:szCs w:val="28"/>
              </w:rPr>
              <w:t>.2</w:t>
            </w:r>
            <w:r>
              <w:rPr>
                <w:rFonts w:ascii="Times New Roman" w:hAnsi="Times New Roman" w:eastAsia="仿宋_GB2312" w:cs="Times New Roman"/>
                <w:bCs/>
                <w:color w:val="000000"/>
                <w:kern w:val="0"/>
                <w:sz w:val="22"/>
                <w:szCs w:val="28"/>
                <w:lang w:eastAsia="en-US"/>
              </w:rPr>
              <w:t>-20</w:t>
            </w:r>
            <w:r>
              <w:rPr>
                <w:rFonts w:ascii="Times New Roman" w:hAnsi="Times New Roman" w:eastAsia="仿宋_GB2312" w:cs="Times New Roman"/>
                <w:bCs/>
                <w:color w:val="000000"/>
                <w:kern w:val="0"/>
                <w:sz w:val="22"/>
                <w:szCs w:val="28"/>
              </w:rPr>
              <w:t>21中6.9</w:t>
            </w:r>
          </w:p>
        </w:tc>
      </w:tr>
    </w:tbl>
    <w:p>
      <w:pPr>
        <w:adjustRightInd w:val="0"/>
        <w:snapToGrid w:val="0"/>
        <w:spacing w:line="560" w:lineRule="exact"/>
        <w:ind w:firstLine="548"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执行企业标准、团体标准、地方标准的产品，检验项目参照上述内容执行。</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凡是注日期的文件，其随后所有的修改单（不包括勘误的内容）或修订版不适用于本细则。凡是不注日期的文件，其最新版本适用于本细则。</w:t>
      </w:r>
    </w:p>
    <w:p>
      <w:pPr>
        <w:spacing w:line="594" w:lineRule="exact"/>
        <w:ind w:firstLine="548" w:firstLineChars="200"/>
        <w:rPr>
          <w:rFonts w:ascii="Times New Roman" w:hAnsi="Times New Roman" w:eastAsia="黑体" w:cs="Times New Roman"/>
          <w:b w:val="0"/>
          <w:bCs/>
          <w:color w:val="000000"/>
          <w:sz w:val="28"/>
          <w:szCs w:val="28"/>
        </w:rPr>
      </w:pPr>
      <w:r>
        <w:rPr>
          <w:rFonts w:ascii="Times New Roman" w:hAnsi="Times New Roman" w:eastAsia="黑体" w:cs="Times New Roman"/>
          <w:b w:val="0"/>
          <w:bCs/>
          <w:color w:val="000000"/>
          <w:sz w:val="28"/>
          <w:szCs w:val="28"/>
        </w:rPr>
        <w:t>3</w:t>
      </w:r>
      <w:r>
        <w:rPr>
          <w:rFonts w:hint="eastAsia" w:ascii="Times New Roman" w:hAnsi="Times New Roman" w:eastAsia="黑体" w:cs="Times New Roman"/>
          <w:b w:val="0"/>
          <w:bCs/>
          <w:color w:val="000000"/>
          <w:sz w:val="28"/>
          <w:szCs w:val="28"/>
        </w:rPr>
        <w:t xml:space="preserve"> </w:t>
      </w:r>
      <w:r>
        <w:rPr>
          <w:rFonts w:ascii="Times New Roman" w:hAnsi="黑体" w:eastAsia="黑体" w:cs="Times New Roman"/>
          <w:b w:val="0"/>
          <w:bCs/>
          <w:color w:val="000000"/>
          <w:sz w:val="28"/>
          <w:szCs w:val="28"/>
        </w:rPr>
        <w:t>判定规则</w:t>
      </w:r>
    </w:p>
    <w:p>
      <w:pPr>
        <w:adjustRightInd w:val="0"/>
        <w:snapToGrid w:val="0"/>
        <w:spacing w:line="560" w:lineRule="exact"/>
        <w:ind w:firstLine="548" w:firstLineChars="200"/>
        <w:rPr>
          <w:rFonts w:ascii="Times New Roman" w:hAnsi="Times New Roman" w:eastAsia="楷体_GB2312" w:cs="Times New Roman"/>
          <w:b/>
          <w:color w:val="000000"/>
          <w:sz w:val="28"/>
          <w:szCs w:val="28"/>
        </w:rPr>
      </w:pPr>
      <w:r>
        <w:rPr>
          <w:rFonts w:ascii="Times New Roman" w:hAnsi="Times New Roman" w:eastAsia="楷体_GB2312" w:cs="Times New Roman"/>
          <w:b/>
          <w:color w:val="000000"/>
          <w:sz w:val="28"/>
          <w:szCs w:val="28"/>
        </w:rPr>
        <w:t>3.1依据标准</w:t>
      </w:r>
    </w:p>
    <w:p>
      <w:pPr>
        <w:snapToGrid w:val="0"/>
        <w:spacing w:line="594" w:lineRule="exact"/>
        <w:ind w:firstLine="548"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GB 15979-2002《一次性使用卫生用品卫生标准》</w:t>
      </w:r>
    </w:p>
    <w:p>
      <w:pPr>
        <w:snapToGrid w:val="0"/>
        <w:spacing w:line="594" w:lineRule="exact"/>
        <w:ind w:firstLine="548"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GB/T 28004-2011《纸尿裤（片、垫）》</w:t>
      </w:r>
    </w:p>
    <w:p>
      <w:pPr>
        <w:keepNext w:val="0"/>
        <w:keepLines w:val="0"/>
        <w:pageBreakBefore w:val="0"/>
        <w:widowControl w:val="0"/>
        <w:kinsoku/>
        <w:wordWrap/>
        <w:overflowPunct/>
        <w:topLinePunct w:val="0"/>
        <w:autoSpaceDE/>
        <w:autoSpaceDN/>
        <w:bidi w:val="0"/>
        <w:adjustRightInd/>
        <w:snapToGrid w:val="0"/>
        <w:spacing w:line="560" w:lineRule="exact"/>
        <w:ind w:firstLine="548" w:firstLineChars="200"/>
        <w:textAlignment w:val="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GB/T 28004.2-2021《成人纸尿裤》</w:t>
      </w:r>
    </w:p>
    <w:p>
      <w:pPr>
        <w:adjustRightInd w:val="0"/>
        <w:snapToGrid w:val="0"/>
        <w:spacing w:line="560" w:lineRule="exact"/>
        <w:ind w:firstLine="548" w:firstLineChars="200"/>
        <w:rPr>
          <w:rFonts w:ascii="Times New Roman" w:hAnsi="Times New Roman" w:eastAsia="楷体_GB2312" w:cs="Times New Roman"/>
          <w:b/>
          <w:color w:val="000000"/>
          <w:sz w:val="28"/>
          <w:szCs w:val="28"/>
        </w:rPr>
      </w:pPr>
      <w:r>
        <w:rPr>
          <w:rFonts w:ascii="Times New Roman" w:hAnsi="Times New Roman" w:eastAsia="楷体_GB2312" w:cs="Times New Roman"/>
          <w:b/>
          <w:color w:val="000000"/>
          <w:sz w:val="28"/>
          <w:szCs w:val="28"/>
        </w:rPr>
        <w:t>3.2判定原则</w:t>
      </w:r>
    </w:p>
    <w:p>
      <w:pPr>
        <w:snapToGrid w:val="0"/>
        <w:spacing w:line="594" w:lineRule="exact"/>
        <w:ind w:firstLine="546" w:firstLineChars="199"/>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经检验，检验项目全部合格，判定为被抽查产品所检项目未发现不合格；检验项目中任一项或一项以上不合格，判定为被抽查产品不合格。</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若被检产品明示的质量要求高于本细则中检验项目依据的标准要求时，应按被检产品明示的质量要求判定。</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若被检产品明示的质量要求低于本细则中检验项目依据的强制性标准要求时，应按照强制性标准要求判定。</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若被检产品明示的质量要求低于或包含本细则中检验项目依据的推荐性标准要求时，应以被检产品明示的质量要求判定。</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若被检产品明示的质量要求缺少本细则中检验项目依据的强制性标准要求时，应按照强制性标准要求判定。</w:t>
      </w:r>
    </w:p>
    <w:p>
      <w:pPr>
        <w:snapToGrid w:val="0"/>
        <w:spacing w:line="594" w:lineRule="exact"/>
        <w:ind w:firstLine="546" w:firstLineChars="199"/>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若被检产品明示的质量要求缺少本细则中检验项目依据的推荐性标准要求时，该项目不参与判定。</w:t>
      </w:r>
    </w:p>
    <w:p>
      <w:pPr>
        <w:snapToGrid w:val="0"/>
        <w:spacing w:line="594" w:lineRule="exact"/>
        <w:ind w:firstLine="548" w:firstLineChars="200"/>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若被检的成人纸尿裤产品生产日期在2022年4月1日之前，则按GB/T 28004-2011《纸尿裤（片、垫）》标准判定，否则按GB/T 28004.2-2021《成人纸尿裤》标准判定。</w:t>
      </w:r>
    </w:p>
    <w:p>
      <w:pPr>
        <w:snapToGrid w:val="0"/>
        <w:spacing w:line="594" w:lineRule="exact"/>
        <w:ind w:firstLine="546" w:firstLineChars="199"/>
        <w:rPr>
          <w:rFonts w:ascii="Times New Roman" w:hAnsi="Times New Roman" w:eastAsia="仿宋_GB2312" w:cs="Times New Roman"/>
          <w:color w:val="000000"/>
          <w:sz w:val="28"/>
          <w:szCs w:val="28"/>
        </w:rPr>
      </w:pPr>
    </w:p>
    <w:sectPr>
      <w:footerReference r:id="rId3" w:type="default"/>
      <w:pgSz w:w="11906" w:h="16838"/>
      <w:pgMar w:top="2098" w:right="1474" w:bottom="1985" w:left="1474" w:header="851" w:footer="1361" w:gutter="0"/>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kVZEMs0BAACnAwAADgAAAAAAAAABACAAAAAeAQAAZHJzL2Uy&#10;b0RvYy54bWxQSwUGAAAAAAYABgBZAQAAXQUAAAAA&#10;">
              <v:fill on="f" focussize="0,0"/>
              <v:stroke on="f"/>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HorizontalSpacing w:val="102"/>
  <w:drawingGridVerticalSpacing w:val="14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2720F8"/>
    <w:rsid w:val="000049CE"/>
    <w:rsid w:val="00013890"/>
    <w:rsid w:val="000232F9"/>
    <w:rsid w:val="0004524E"/>
    <w:rsid w:val="000500E0"/>
    <w:rsid w:val="000731C9"/>
    <w:rsid w:val="000A67A7"/>
    <w:rsid w:val="000C5CBE"/>
    <w:rsid w:val="000D749D"/>
    <w:rsid w:val="000E21AE"/>
    <w:rsid w:val="000E741B"/>
    <w:rsid w:val="000F4913"/>
    <w:rsid w:val="00111EBD"/>
    <w:rsid w:val="0016496F"/>
    <w:rsid w:val="001850A2"/>
    <w:rsid w:val="001C2564"/>
    <w:rsid w:val="001D4E92"/>
    <w:rsid w:val="001E0F6D"/>
    <w:rsid w:val="001E79D2"/>
    <w:rsid w:val="002039FE"/>
    <w:rsid w:val="00206D31"/>
    <w:rsid w:val="00224E34"/>
    <w:rsid w:val="0023233E"/>
    <w:rsid w:val="002455DC"/>
    <w:rsid w:val="00266EA3"/>
    <w:rsid w:val="00271EB5"/>
    <w:rsid w:val="002720F8"/>
    <w:rsid w:val="002A3AAD"/>
    <w:rsid w:val="002B21AB"/>
    <w:rsid w:val="002C7FF9"/>
    <w:rsid w:val="002D31C1"/>
    <w:rsid w:val="002E3C81"/>
    <w:rsid w:val="0032196E"/>
    <w:rsid w:val="003334B6"/>
    <w:rsid w:val="00333D9B"/>
    <w:rsid w:val="00366169"/>
    <w:rsid w:val="00371DAD"/>
    <w:rsid w:val="003A1AFF"/>
    <w:rsid w:val="003B771B"/>
    <w:rsid w:val="003C52B9"/>
    <w:rsid w:val="003D605A"/>
    <w:rsid w:val="00405F99"/>
    <w:rsid w:val="004148E2"/>
    <w:rsid w:val="00432EB7"/>
    <w:rsid w:val="004356B1"/>
    <w:rsid w:val="00442AF4"/>
    <w:rsid w:val="00460019"/>
    <w:rsid w:val="00492560"/>
    <w:rsid w:val="00493CF3"/>
    <w:rsid w:val="004B2648"/>
    <w:rsid w:val="004B43A2"/>
    <w:rsid w:val="004B7761"/>
    <w:rsid w:val="004E70B3"/>
    <w:rsid w:val="004E7BBF"/>
    <w:rsid w:val="004F4621"/>
    <w:rsid w:val="00514D35"/>
    <w:rsid w:val="00563F32"/>
    <w:rsid w:val="00580BA8"/>
    <w:rsid w:val="00581201"/>
    <w:rsid w:val="005951ED"/>
    <w:rsid w:val="005E2062"/>
    <w:rsid w:val="005F6F84"/>
    <w:rsid w:val="00602393"/>
    <w:rsid w:val="006049ED"/>
    <w:rsid w:val="00611970"/>
    <w:rsid w:val="00626EBF"/>
    <w:rsid w:val="00645A0E"/>
    <w:rsid w:val="006529B5"/>
    <w:rsid w:val="00661144"/>
    <w:rsid w:val="00677A07"/>
    <w:rsid w:val="006861DD"/>
    <w:rsid w:val="006876ED"/>
    <w:rsid w:val="00690D3D"/>
    <w:rsid w:val="00697C39"/>
    <w:rsid w:val="006B5372"/>
    <w:rsid w:val="006C1431"/>
    <w:rsid w:val="006C2F1C"/>
    <w:rsid w:val="006D0D07"/>
    <w:rsid w:val="006D0E89"/>
    <w:rsid w:val="006D11C9"/>
    <w:rsid w:val="006E12DB"/>
    <w:rsid w:val="00714FAA"/>
    <w:rsid w:val="007243A5"/>
    <w:rsid w:val="007504BE"/>
    <w:rsid w:val="00762AAE"/>
    <w:rsid w:val="007743A7"/>
    <w:rsid w:val="00786089"/>
    <w:rsid w:val="00795BCF"/>
    <w:rsid w:val="007B216C"/>
    <w:rsid w:val="007D1A30"/>
    <w:rsid w:val="007D3664"/>
    <w:rsid w:val="007D548E"/>
    <w:rsid w:val="007E39FB"/>
    <w:rsid w:val="008479E9"/>
    <w:rsid w:val="0086138B"/>
    <w:rsid w:val="00896DB8"/>
    <w:rsid w:val="008C1E7F"/>
    <w:rsid w:val="008D4A95"/>
    <w:rsid w:val="00903196"/>
    <w:rsid w:val="00924F0B"/>
    <w:rsid w:val="00966F02"/>
    <w:rsid w:val="009751E9"/>
    <w:rsid w:val="00992192"/>
    <w:rsid w:val="009941C0"/>
    <w:rsid w:val="00995DE7"/>
    <w:rsid w:val="009B0FD8"/>
    <w:rsid w:val="009D0B18"/>
    <w:rsid w:val="00A42A73"/>
    <w:rsid w:val="00A53AB1"/>
    <w:rsid w:val="00AA79BD"/>
    <w:rsid w:val="00AD06A8"/>
    <w:rsid w:val="00AF2839"/>
    <w:rsid w:val="00B13F17"/>
    <w:rsid w:val="00B250D4"/>
    <w:rsid w:val="00B30457"/>
    <w:rsid w:val="00B5651C"/>
    <w:rsid w:val="00B720CC"/>
    <w:rsid w:val="00BA52A2"/>
    <w:rsid w:val="00BA6009"/>
    <w:rsid w:val="00C06925"/>
    <w:rsid w:val="00C30EF2"/>
    <w:rsid w:val="00C34866"/>
    <w:rsid w:val="00C35D59"/>
    <w:rsid w:val="00C5036B"/>
    <w:rsid w:val="00C65D36"/>
    <w:rsid w:val="00C802EA"/>
    <w:rsid w:val="00CA3DE9"/>
    <w:rsid w:val="00CE1036"/>
    <w:rsid w:val="00CE723C"/>
    <w:rsid w:val="00CF2F09"/>
    <w:rsid w:val="00D10A00"/>
    <w:rsid w:val="00D21ADA"/>
    <w:rsid w:val="00D36E9D"/>
    <w:rsid w:val="00D523B8"/>
    <w:rsid w:val="00DC2C32"/>
    <w:rsid w:val="00DD068E"/>
    <w:rsid w:val="00DE7E0F"/>
    <w:rsid w:val="00DF1C3D"/>
    <w:rsid w:val="00DF2639"/>
    <w:rsid w:val="00E10A0A"/>
    <w:rsid w:val="00E167CA"/>
    <w:rsid w:val="00E32F4F"/>
    <w:rsid w:val="00E44968"/>
    <w:rsid w:val="00E56919"/>
    <w:rsid w:val="00E73DDF"/>
    <w:rsid w:val="00E81F24"/>
    <w:rsid w:val="00EB737E"/>
    <w:rsid w:val="00EC63B4"/>
    <w:rsid w:val="00EC7CD0"/>
    <w:rsid w:val="00ED7784"/>
    <w:rsid w:val="00EE5575"/>
    <w:rsid w:val="00EF0FF9"/>
    <w:rsid w:val="00F03212"/>
    <w:rsid w:val="00F1388B"/>
    <w:rsid w:val="00F21862"/>
    <w:rsid w:val="00F4297A"/>
    <w:rsid w:val="00F7461A"/>
    <w:rsid w:val="00F77810"/>
    <w:rsid w:val="00F932AA"/>
    <w:rsid w:val="00FD2FD0"/>
    <w:rsid w:val="00FE7884"/>
    <w:rsid w:val="013A7F7F"/>
    <w:rsid w:val="01400C5F"/>
    <w:rsid w:val="01A16AEA"/>
    <w:rsid w:val="01D22EF6"/>
    <w:rsid w:val="020F7F43"/>
    <w:rsid w:val="02AF5510"/>
    <w:rsid w:val="03633CE8"/>
    <w:rsid w:val="03BA1A5C"/>
    <w:rsid w:val="04AD267B"/>
    <w:rsid w:val="05426852"/>
    <w:rsid w:val="05FF0933"/>
    <w:rsid w:val="06A43FD8"/>
    <w:rsid w:val="087F4F62"/>
    <w:rsid w:val="09323C6E"/>
    <w:rsid w:val="09B802FA"/>
    <w:rsid w:val="09FD1208"/>
    <w:rsid w:val="0C090135"/>
    <w:rsid w:val="0CBA0519"/>
    <w:rsid w:val="0D4C2955"/>
    <w:rsid w:val="0D8E4AD8"/>
    <w:rsid w:val="0DA04DC1"/>
    <w:rsid w:val="0E5C53D2"/>
    <w:rsid w:val="0F1A6A06"/>
    <w:rsid w:val="10A76480"/>
    <w:rsid w:val="10F317AB"/>
    <w:rsid w:val="11640849"/>
    <w:rsid w:val="12852E51"/>
    <w:rsid w:val="12D75965"/>
    <w:rsid w:val="147108FD"/>
    <w:rsid w:val="17B54ECC"/>
    <w:rsid w:val="18600DA4"/>
    <w:rsid w:val="196C3AD6"/>
    <w:rsid w:val="1A700323"/>
    <w:rsid w:val="1A730087"/>
    <w:rsid w:val="1CFA69CA"/>
    <w:rsid w:val="1D630564"/>
    <w:rsid w:val="1F3B6F07"/>
    <w:rsid w:val="1F5C4D44"/>
    <w:rsid w:val="1FD23DD1"/>
    <w:rsid w:val="20953149"/>
    <w:rsid w:val="21A16325"/>
    <w:rsid w:val="21AE27D6"/>
    <w:rsid w:val="22B51B96"/>
    <w:rsid w:val="22D31AFD"/>
    <w:rsid w:val="24307F76"/>
    <w:rsid w:val="24854551"/>
    <w:rsid w:val="24AB396E"/>
    <w:rsid w:val="24B701AE"/>
    <w:rsid w:val="26167234"/>
    <w:rsid w:val="268C2FC4"/>
    <w:rsid w:val="28322380"/>
    <w:rsid w:val="28AB0824"/>
    <w:rsid w:val="295065F4"/>
    <w:rsid w:val="2AAB0AEF"/>
    <w:rsid w:val="2AF62AC9"/>
    <w:rsid w:val="2BDB42CA"/>
    <w:rsid w:val="2CCF54E4"/>
    <w:rsid w:val="2CDE1D3F"/>
    <w:rsid w:val="2CF236D9"/>
    <w:rsid w:val="2E191F4D"/>
    <w:rsid w:val="2E5A49E9"/>
    <w:rsid w:val="303C557E"/>
    <w:rsid w:val="31567C67"/>
    <w:rsid w:val="31781EF3"/>
    <w:rsid w:val="321E6965"/>
    <w:rsid w:val="32337CF4"/>
    <w:rsid w:val="32670304"/>
    <w:rsid w:val="32EA6ECB"/>
    <w:rsid w:val="332D5095"/>
    <w:rsid w:val="33515BAE"/>
    <w:rsid w:val="38475A84"/>
    <w:rsid w:val="3899266B"/>
    <w:rsid w:val="392C2202"/>
    <w:rsid w:val="396429E5"/>
    <w:rsid w:val="39B11289"/>
    <w:rsid w:val="3A0850D6"/>
    <w:rsid w:val="3B900D46"/>
    <w:rsid w:val="3BC532A5"/>
    <w:rsid w:val="3C2D68A1"/>
    <w:rsid w:val="3CCE0291"/>
    <w:rsid w:val="3D6E5CB5"/>
    <w:rsid w:val="3DAB4D71"/>
    <w:rsid w:val="3E1144CF"/>
    <w:rsid w:val="3E5610F1"/>
    <w:rsid w:val="3E833879"/>
    <w:rsid w:val="402356EF"/>
    <w:rsid w:val="402925DA"/>
    <w:rsid w:val="404D13CF"/>
    <w:rsid w:val="40947F59"/>
    <w:rsid w:val="40B45E92"/>
    <w:rsid w:val="41A3461B"/>
    <w:rsid w:val="42693202"/>
    <w:rsid w:val="428C77FF"/>
    <w:rsid w:val="461874C2"/>
    <w:rsid w:val="472C6BB6"/>
    <w:rsid w:val="488E34D1"/>
    <w:rsid w:val="48C570A4"/>
    <w:rsid w:val="49D46CF1"/>
    <w:rsid w:val="49D8009E"/>
    <w:rsid w:val="4A052ED4"/>
    <w:rsid w:val="4AF222C8"/>
    <w:rsid w:val="4BF210B7"/>
    <w:rsid w:val="4C091D9A"/>
    <w:rsid w:val="4CF9501B"/>
    <w:rsid w:val="4FE85C5D"/>
    <w:rsid w:val="50315D93"/>
    <w:rsid w:val="50A330DD"/>
    <w:rsid w:val="50CC00BF"/>
    <w:rsid w:val="50EB16C5"/>
    <w:rsid w:val="51B05513"/>
    <w:rsid w:val="525B487D"/>
    <w:rsid w:val="52C35FEA"/>
    <w:rsid w:val="53226CDE"/>
    <w:rsid w:val="535D4425"/>
    <w:rsid w:val="54587C4A"/>
    <w:rsid w:val="54BE3C81"/>
    <w:rsid w:val="55A961F2"/>
    <w:rsid w:val="569C73C1"/>
    <w:rsid w:val="56FF3FB6"/>
    <w:rsid w:val="58326C8F"/>
    <w:rsid w:val="58D861C1"/>
    <w:rsid w:val="5A284F79"/>
    <w:rsid w:val="5BED2034"/>
    <w:rsid w:val="5C370E42"/>
    <w:rsid w:val="5C6B2DC6"/>
    <w:rsid w:val="5C8517D2"/>
    <w:rsid w:val="5C911D4C"/>
    <w:rsid w:val="5CEC54ED"/>
    <w:rsid w:val="621A3C65"/>
    <w:rsid w:val="62DB05FD"/>
    <w:rsid w:val="62FA12BF"/>
    <w:rsid w:val="63435F73"/>
    <w:rsid w:val="63D51F26"/>
    <w:rsid w:val="64447011"/>
    <w:rsid w:val="648C52CF"/>
    <w:rsid w:val="64F10CB0"/>
    <w:rsid w:val="66571AF5"/>
    <w:rsid w:val="671F679F"/>
    <w:rsid w:val="67DB3077"/>
    <w:rsid w:val="69515368"/>
    <w:rsid w:val="695775F3"/>
    <w:rsid w:val="697C75C0"/>
    <w:rsid w:val="69A126D4"/>
    <w:rsid w:val="6A4C19EA"/>
    <w:rsid w:val="6A7348E4"/>
    <w:rsid w:val="6AC30E04"/>
    <w:rsid w:val="6B7C333A"/>
    <w:rsid w:val="6C263A7B"/>
    <w:rsid w:val="6C6F283E"/>
    <w:rsid w:val="6CCA2781"/>
    <w:rsid w:val="6CE1526E"/>
    <w:rsid w:val="6D704099"/>
    <w:rsid w:val="6E97131B"/>
    <w:rsid w:val="6F372B8E"/>
    <w:rsid w:val="6FF95694"/>
    <w:rsid w:val="70FE2012"/>
    <w:rsid w:val="71AF2B60"/>
    <w:rsid w:val="729C67F0"/>
    <w:rsid w:val="72F54E32"/>
    <w:rsid w:val="735A0285"/>
    <w:rsid w:val="74BE53AA"/>
    <w:rsid w:val="75353EE4"/>
    <w:rsid w:val="76635DD9"/>
    <w:rsid w:val="767926DB"/>
    <w:rsid w:val="77461C70"/>
    <w:rsid w:val="775368FF"/>
    <w:rsid w:val="7797196A"/>
    <w:rsid w:val="77D774F6"/>
    <w:rsid w:val="78080052"/>
    <w:rsid w:val="789F7665"/>
    <w:rsid w:val="79372D9F"/>
    <w:rsid w:val="79E45269"/>
    <w:rsid w:val="7B1F613F"/>
    <w:rsid w:val="7B4720EB"/>
    <w:rsid w:val="7B4E7B0C"/>
    <w:rsid w:val="7B920F56"/>
    <w:rsid w:val="7C326446"/>
    <w:rsid w:val="7EBC0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22"/>
    <w:semiHidden/>
    <w:unhideWhenUsed/>
    <w:qFormat/>
    <w:uiPriority w:val="99"/>
    <w:rPr>
      <w:sz w:val="18"/>
      <w:szCs w:val="18"/>
    </w:rPr>
  </w:style>
  <w:style w:type="paragraph" w:styleId="4">
    <w:name w:val="footer"/>
    <w:basedOn w:val="1"/>
    <w:link w:val="20"/>
    <w:unhideWhenUsed/>
    <w:qFormat/>
    <w:uiPriority w:val="99"/>
    <w:pPr>
      <w:tabs>
        <w:tab w:val="center" w:pos="4153"/>
        <w:tab w:val="right" w:pos="8306"/>
      </w:tabs>
      <w:snapToGrid w:val="0"/>
      <w:jc w:val="left"/>
    </w:pPr>
    <w:rPr>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7"/>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7">
    <w:name w:val="HTML Preformatted"/>
    <w:basedOn w:val="1"/>
    <w:link w:val="2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8">
    <w:name w:val="Normal (Web)"/>
    <w:basedOn w:val="1"/>
    <w:semiHidden/>
    <w:unhideWhenUsed/>
    <w:qFormat/>
    <w:uiPriority w:val="99"/>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paragraph" w:styleId="15">
    <w:name w:val="List Paragraph"/>
    <w:basedOn w:val="1"/>
    <w:qFormat/>
    <w:uiPriority w:val="34"/>
    <w:pPr>
      <w:ind w:firstLine="420" w:firstLineChars="200"/>
    </w:pPr>
  </w:style>
  <w:style w:type="paragraph" w:customStyle="1" w:styleId="16">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7">
    <w:name w:val="正文文本缩进 3 Char"/>
    <w:link w:val="6"/>
    <w:qFormat/>
    <w:uiPriority w:val="0"/>
    <w:rPr>
      <w:rFonts w:ascii="仿宋_GB2312" w:eastAsia="仿宋_GB2312"/>
      <w:sz w:val="32"/>
    </w:rPr>
  </w:style>
  <w:style w:type="character" w:customStyle="1" w:styleId="18">
    <w:name w:val="正文文本缩进 3 字符"/>
    <w:basedOn w:val="11"/>
    <w:semiHidden/>
    <w:qFormat/>
    <w:uiPriority w:val="99"/>
    <w:rPr>
      <w:sz w:val="16"/>
      <w:szCs w:val="16"/>
    </w:rPr>
  </w:style>
  <w:style w:type="character" w:customStyle="1" w:styleId="19">
    <w:name w:val="页眉 Char"/>
    <w:basedOn w:val="11"/>
    <w:link w:val="5"/>
    <w:qFormat/>
    <w:uiPriority w:val="99"/>
    <w:rPr>
      <w:sz w:val="18"/>
      <w:szCs w:val="18"/>
    </w:rPr>
  </w:style>
  <w:style w:type="character" w:customStyle="1" w:styleId="20">
    <w:name w:val="页脚 Char"/>
    <w:basedOn w:val="11"/>
    <w:link w:val="4"/>
    <w:qFormat/>
    <w:uiPriority w:val="99"/>
    <w:rPr>
      <w:sz w:val="18"/>
      <w:szCs w:val="18"/>
    </w:rPr>
  </w:style>
  <w:style w:type="character" w:customStyle="1" w:styleId="21">
    <w:name w:val="HTML 预设格式 Char"/>
    <w:basedOn w:val="11"/>
    <w:link w:val="7"/>
    <w:semiHidden/>
    <w:qFormat/>
    <w:uiPriority w:val="99"/>
    <w:rPr>
      <w:rFonts w:ascii="宋体" w:hAnsi="宋体" w:eastAsia="宋体" w:cs="宋体"/>
      <w:kern w:val="0"/>
      <w:sz w:val="24"/>
      <w:szCs w:val="24"/>
    </w:rPr>
  </w:style>
  <w:style w:type="character" w:customStyle="1" w:styleId="22">
    <w:name w:val="批注框文本 Char"/>
    <w:basedOn w:val="11"/>
    <w:link w:val="3"/>
    <w:semiHidden/>
    <w:qFormat/>
    <w:uiPriority w:val="99"/>
    <w:rPr>
      <w:sz w:val="18"/>
      <w:szCs w:val="18"/>
    </w:rPr>
  </w:style>
  <w:style w:type="paragraph" w:customStyle="1" w:styleId="23">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4">
    <w:name w:val="Normal_0"/>
    <w:basedOn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0C5547-927F-4E18-A7D2-B8D901AC599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1447</Words>
  <Characters>2172</Characters>
  <Lines>17</Lines>
  <Paragraphs>5</Paragraphs>
  <TotalTime>2</TotalTime>
  <ScaleCrop>false</ScaleCrop>
  <LinksUpToDate>false</LinksUpToDate>
  <CharactersWithSpaces>2235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2020-02-01T14:27:00Z</dcterms:created>
  <dc:creator>USER</dc:creator>
  <cp:lastModifiedBy>郝好</cp:lastModifiedBy>
  <cp:lastPrinted>2020-02-05T02:38:00Z</cp:lastPrinted>
  <dcterms:modified xsi:type="dcterms:W3CDTF">2023-11-01T09:43:53Z</dcterms:modified>
  <dc:title>市场监管总局关于开展口罩产品质量监督专项抽查有关工作的通知</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39E5008676254B5295BB2F8CB37ADFEF_13</vt:lpwstr>
  </property>
</Properties>
</file>