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hint="eastAsia" w:ascii="方正小标宋简体" w:hAnsi="方正小标宋简体" w:eastAsia="方正小标宋简体" w:cs="方正小标宋简体"/>
          <w:color w:val="000000"/>
          <w:sz w:val="32"/>
          <w:szCs w:val="32"/>
        </w:rPr>
      </w:pPr>
      <w:r>
        <w:rPr>
          <w:rFonts w:hint="eastAsia" w:ascii="方正小标宋简体" w:hAnsi="方正小标宋简体" w:eastAsia="方正小标宋简体" w:cs="方正小标宋简体"/>
          <w:color w:val="000000"/>
          <w:sz w:val="32"/>
          <w:szCs w:val="32"/>
          <w:lang w:val="en-US" w:eastAsia="zh-CN"/>
        </w:rPr>
        <w:t>清洗剂</w:t>
      </w:r>
      <w:r>
        <w:rPr>
          <w:rFonts w:hint="eastAsia" w:ascii="方正小标宋简体" w:hAnsi="方正小标宋简体" w:eastAsia="方正小标宋简体" w:cs="方正小标宋简体"/>
          <w:color w:val="000000"/>
          <w:sz w:val="32"/>
          <w:szCs w:val="32"/>
        </w:rPr>
        <w:t>产品质量</w:t>
      </w:r>
      <w:r>
        <w:rPr>
          <w:rFonts w:hint="eastAsia" w:ascii="方正小标宋简体" w:hAnsi="方正小标宋简体" w:eastAsia="方正小标宋简体" w:cs="方正小标宋简体"/>
          <w:color w:val="000000"/>
          <w:sz w:val="32"/>
          <w:szCs w:val="32"/>
          <w:lang w:eastAsia="zh-CN"/>
        </w:rPr>
        <w:t>滑县</w:t>
      </w:r>
      <w:r>
        <w:rPr>
          <w:rFonts w:hint="eastAsia" w:ascii="方正小标宋简体" w:hAnsi="方正小标宋简体" w:eastAsia="方正小标宋简体" w:cs="方正小标宋简体"/>
          <w:color w:val="000000"/>
          <w:sz w:val="32"/>
          <w:szCs w:val="32"/>
        </w:rPr>
        <w:t>监督抽查实施细则</w:t>
      </w:r>
    </w:p>
    <w:p>
      <w:pPr>
        <w:snapToGrid w:val="0"/>
        <w:spacing w:line="600" w:lineRule="exact"/>
        <w:jc w:val="center"/>
        <w:rPr>
          <w:rFonts w:hint="eastAsia" w:ascii="方正小标宋简体" w:hAnsi="方正小标宋简体" w:eastAsia="方正小标宋简体" w:cs="方正小标宋简体"/>
          <w:color w:val="000000"/>
          <w:sz w:val="32"/>
          <w:szCs w:val="32"/>
        </w:rPr>
      </w:pPr>
      <w:r>
        <w:rPr>
          <w:rFonts w:hint="eastAsia" w:ascii="方正小标宋简体" w:hAnsi="方正小标宋简体" w:eastAsia="方正小标宋简体" w:cs="方正小标宋简体"/>
          <w:color w:val="000000"/>
          <w:sz w:val="32"/>
          <w:szCs w:val="32"/>
        </w:rPr>
        <w:t>（2023年版）</w:t>
      </w:r>
    </w:p>
    <w:p>
      <w:pPr>
        <w:spacing w:line="560" w:lineRule="exact"/>
        <w:ind w:firstLine="440" w:firstLineChars="200"/>
        <w:rPr>
          <w:rFonts w:ascii="仿宋_GB2312" w:hAnsi="方正仿宋_GBK" w:eastAsia="仿宋_GB2312" w:cs="方正仿宋_GBK"/>
          <w:sz w:val="22"/>
          <w:szCs w:val="22"/>
        </w:rPr>
      </w:pPr>
    </w:p>
    <w:p>
      <w:pPr>
        <w:spacing w:line="560" w:lineRule="exact"/>
        <w:ind w:firstLine="560" w:firstLineChars="200"/>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本细则适用</w:t>
      </w:r>
      <w:r>
        <w:rPr>
          <w:rFonts w:hint="eastAsia" w:ascii="仿宋_GB2312" w:hAnsi="方正仿宋_GBK" w:eastAsia="仿宋_GB2312" w:cs="方正仿宋_GBK"/>
          <w:sz w:val="28"/>
          <w:szCs w:val="28"/>
          <w:lang w:eastAsia="zh-CN"/>
        </w:rPr>
        <w:t>滑县</w:t>
      </w:r>
      <w:r>
        <w:rPr>
          <w:rFonts w:hint="eastAsia" w:ascii="仿宋_GB2312" w:hAnsi="方正仿宋_GBK" w:eastAsia="仿宋_GB2312" w:cs="方正仿宋_GBK"/>
          <w:sz w:val="28"/>
          <w:szCs w:val="28"/>
        </w:rPr>
        <w:t>市场监督管理局组织的</w:t>
      </w:r>
      <w:r>
        <w:rPr>
          <w:rFonts w:hint="eastAsia" w:ascii="仿宋_GB2312" w:hAnsi="方正仿宋_GBK" w:eastAsia="仿宋_GB2312" w:cs="方正仿宋_GBK"/>
          <w:sz w:val="28"/>
          <w:szCs w:val="28"/>
          <w:lang w:val="en-US" w:eastAsia="zh-CN"/>
        </w:rPr>
        <w:t>清洗剂</w:t>
      </w:r>
      <w:r>
        <w:rPr>
          <w:rFonts w:hint="eastAsia" w:ascii="仿宋_GB2312" w:hAnsi="方正仿宋_GBK" w:eastAsia="仿宋_GB2312" w:cs="方正仿宋_GBK"/>
          <w:sz w:val="28"/>
          <w:szCs w:val="28"/>
        </w:rPr>
        <w:t>产品质量监督抽查。本细则规定了此产品的抽样方法、检验依据、检验项目、检验方法、判定原则等。</w:t>
      </w:r>
    </w:p>
    <w:p>
      <w:pPr>
        <w:snapToGrid w:val="0"/>
        <w:spacing w:line="560" w:lineRule="exact"/>
        <w:ind w:firstLine="560" w:firstLineChars="200"/>
        <w:rPr>
          <w:rFonts w:ascii="黑体" w:hAnsi="黑体" w:eastAsia="黑体"/>
          <w:color w:val="000000"/>
          <w:sz w:val="28"/>
          <w:szCs w:val="28"/>
        </w:rPr>
      </w:pPr>
      <w:r>
        <w:rPr>
          <w:rFonts w:hint="eastAsia" w:ascii="黑体" w:hAnsi="黑体" w:eastAsia="黑体"/>
          <w:color w:val="000000"/>
          <w:sz w:val="28"/>
          <w:szCs w:val="28"/>
        </w:rPr>
        <w:t>1 抽样方法</w:t>
      </w:r>
    </w:p>
    <w:p>
      <w:pPr>
        <w:snapToGrid w:val="0"/>
        <w:spacing w:line="560" w:lineRule="exact"/>
        <w:ind w:firstLine="560" w:firstLineChars="200"/>
        <w:rPr>
          <w:rFonts w:ascii="仿宋_GB2312" w:hAnsi="方正仿宋_GBK" w:eastAsia="仿宋_GB2312" w:cs="方正仿宋_GBK"/>
          <w:sz w:val="28"/>
          <w:szCs w:val="28"/>
        </w:rPr>
      </w:pPr>
      <w:r>
        <w:rPr>
          <w:rFonts w:ascii="仿宋_GB2312" w:hAnsi="方正仿宋_GBK" w:eastAsia="仿宋_GB2312" w:cs="方正仿宋_GBK"/>
          <w:sz w:val="28"/>
          <w:szCs w:val="28"/>
        </w:rPr>
        <w:t>以随机抽样的方式在被抽样生产者、销售者的待销产品中抽取。</w:t>
      </w:r>
    </w:p>
    <w:p>
      <w:pPr>
        <w:snapToGrid w:val="0"/>
        <w:spacing w:line="560" w:lineRule="exact"/>
        <w:ind w:firstLine="560" w:firstLineChars="200"/>
        <w:rPr>
          <w:rFonts w:ascii="仿宋_GB2312" w:hAnsi="方正仿宋_GBK" w:eastAsia="仿宋_GB2312" w:cs="方正仿宋_GBK"/>
          <w:sz w:val="28"/>
          <w:szCs w:val="28"/>
        </w:rPr>
      </w:pPr>
      <w:r>
        <w:rPr>
          <w:rFonts w:ascii="仿宋_GB2312" w:hAnsi="方正仿宋_GBK" w:eastAsia="仿宋_GB2312" w:cs="方正仿宋_GBK"/>
          <w:sz w:val="28"/>
          <w:szCs w:val="28"/>
        </w:rPr>
        <w:t>随机数一般可使用</w:t>
      </w:r>
      <w:bookmarkStart w:id="0" w:name="_Hlk28691753"/>
      <w:r>
        <w:rPr>
          <w:rFonts w:ascii="仿宋_GB2312" w:hAnsi="方正仿宋_GBK" w:eastAsia="仿宋_GB2312" w:cs="方正仿宋_GBK"/>
          <w:sz w:val="28"/>
          <w:szCs w:val="28"/>
        </w:rPr>
        <w:t>随机数</w:t>
      </w:r>
      <w:bookmarkEnd w:id="0"/>
      <w:r>
        <w:rPr>
          <w:rFonts w:ascii="仿宋_GB2312" w:hAnsi="方正仿宋_GBK" w:eastAsia="仿宋_GB2312" w:cs="方正仿宋_GBK"/>
          <w:sz w:val="28"/>
          <w:szCs w:val="28"/>
        </w:rPr>
        <w:t>表等方法产生。</w:t>
      </w:r>
    </w:p>
    <w:p>
      <w:pPr>
        <w:snapToGrid w:val="0"/>
        <w:spacing w:line="560" w:lineRule="exact"/>
        <w:ind w:firstLine="560" w:firstLineChars="200"/>
        <w:rPr>
          <w:rFonts w:ascii="仿宋_GB2312" w:hAnsi="方正仿宋_GBK" w:eastAsia="仿宋_GB2312" w:cs="方正仿宋_GBK"/>
          <w:sz w:val="28"/>
          <w:szCs w:val="28"/>
          <w:highlight w:val="none"/>
        </w:rPr>
      </w:pPr>
      <w:r>
        <w:rPr>
          <w:rFonts w:ascii="仿宋_GB2312" w:hAnsi="方正仿宋_GBK" w:eastAsia="仿宋_GB2312" w:cs="方正仿宋_GBK"/>
          <w:sz w:val="28"/>
          <w:szCs w:val="28"/>
          <w:highlight w:val="none"/>
        </w:rPr>
        <w:t>抽取2份样品，每份不少于3kg，一份为检验样品，一份为备用样品。当独立包装产品质量不大于5kg时，应尽量整包装抽取，避免分装。</w:t>
      </w:r>
    </w:p>
    <w:p>
      <w:pPr>
        <w:snapToGrid w:val="0"/>
        <w:spacing w:line="560" w:lineRule="exact"/>
        <w:ind w:firstLine="560" w:firstLineChars="200"/>
        <w:rPr>
          <w:rFonts w:hint="eastAsia" w:ascii="黑体" w:hAnsi="黑体" w:eastAsia="黑体"/>
          <w:color w:val="000000"/>
          <w:sz w:val="28"/>
          <w:szCs w:val="28"/>
        </w:rPr>
      </w:pPr>
      <w:r>
        <w:rPr>
          <w:rFonts w:hint="eastAsia" w:ascii="黑体" w:hAnsi="黑体" w:eastAsia="黑体"/>
          <w:color w:val="000000"/>
          <w:sz w:val="28"/>
          <w:szCs w:val="28"/>
        </w:rPr>
        <w:t>2 检验依据</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4199"/>
        <w:gridCol w:w="3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600" w:type="pct"/>
            <w:noWrap w:val="0"/>
            <w:vAlign w:val="center"/>
          </w:tcPr>
          <w:p>
            <w:pPr>
              <w:adjustRightInd w:val="0"/>
              <w:snapToGrid w:val="0"/>
              <w:jc w:val="center"/>
              <w:rPr>
                <w:rFonts w:hint="eastAsia" w:ascii="仿宋_GB2312" w:hAnsi="方正仿宋_GBK" w:eastAsia="仿宋_GB2312" w:cs="方正仿宋_GBK"/>
                <w:color w:val="auto"/>
                <w:sz w:val="22"/>
                <w:szCs w:val="22"/>
              </w:rPr>
            </w:pPr>
            <w:r>
              <w:rPr>
                <w:rFonts w:hint="eastAsia" w:ascii="仿宋_GB2312" w:hAnsi="方正仿宋_GBK" w:eastAsia="仿宋_GB2312" w:cs="方正仿宋_GBK"/>
                <w:color w:val="auto"/>
                <w:sz w:val="22"/>
                <w:szCs w:val="22"/>
              </w:rPr>
              <w:t>序号</w:t>
            </w:r>
          </w:p>
        </w:tc>
        <w:tc>
          <w:tcPr>
            <w:tcW w:w="2289" w:type="pct"/>
            <w:noWrap w:val="0"/>
            <w:vAlign w:val="center"/>
          </w:tcPr>
          <w:p>
            <w:pPr>
              <w:adjustRightInd w:val="0"/>
              <w:snapToGrid w:val="0"/>
              <w:jc w:val="center"/>
              <w:rPr>
                <w:rFonts w:hint="eastAsia" w:ascii="仿宋_GB2312" w:hAnsi="方正仿宋_GBK" w:eastAsia="仿宋_GB2312" w:cs="方正仿宋_GBK"/>
                <w:color w:val="auto"/>
                <w:sz w:val="22"/>
                <w:szCs w:val="22"/>
              </w:rPr>
            </w:pPr>
            <w:r>
              <w:rPr>
                <w:rFonts w:hint="eastAsia" w:ascii="仿宋_GB2312" w:hAnsi="方正仿宋_GBK" w:eastAsia="仿宋_GB2312" w:cs="方正仿宋_GBK"/>
                <w:color w:val="auto"/>
                <w:sz w:val="22"/>
                <w:szCs w:val="22"/>
              </w:rPr>
              <w:t>检验项目</w:t>
            </w:r>
          </w:p>
        </w:tc>
        <w:tc>
          <w:tcPr>
            <w:tcW w:w="2109" w:type="pct"/>
            <w:noWrap w:val="0"/>
            <w:vAlign w:val="center"/>
          </w:tcPr>
          <w:p>
            <w:pPr>
              <w:adjustRightInd w:val="0"/>
              <w:snapToGrid w:val="0"/>
              <w:jc w:val="center"/>
              <w:rPr>
                <w:rFonts w:hint="eastAsia" w:ascii="仿宋_GB2312" w:hAnsi="方正仿宋_GBK" w:eastAsia="仿宋_GB2312" w:cs="方正仿宋_GBK"/>
                <w:color w:val="auto"/>
                <w:sz w:val="22"/>
                <w:szCs w:val="22"/>
              </w:rPr>
            </w:pPr>
            <w:r>
              <w:rPr>
                <w:rFonts w:hint="eastAsia" w:ascii="仿宋_GB2312" w:hAnsi="方正仿宋_GBK" w:eastAsia="仿宋_GB2312" w:cs="方正仿宋_GBK"/>
                <w:color w:val="auto"/>
                <w:sz w:val="22"/>
                <w:szCs w:val="22"/>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600" w:type="pct"/>
            <w:noWrap w:val="0"/>
            <w:vAlign w:val="center"/>
          </w:tcPr>
          <w:p>
            <w:pPr>
              <w:adjustRightInd w:val="0"/>
              <w:snapToGrid w:val="0"/>
              <w:jc w:val="center"/>
              <w:rPr>
                <w:rFonts w:hint="eastAsia" w:ascii="仿宋_GB2312" w:hAnsi="方正仿宋_GBK" w:eastAsia="仿宋_GB2312" w:cs="方正仿宋_GBK"/>
                <w:color w:val="auto"/>
                <w:sz w:val="22"/>
                <w:szCs w:val="22"/>
              </w:rPr>
            </w:pPr>
            <w:r>
              <w:rPr>
                <w:rFonts w:hint="eastAsia" w:ascii="仿宋_GB2312" w:hAnsi="方正仿宋_GBK" w:eastAsia="仿宋_GB2312" w:cs="方正仿宋_GBK"/>
                <w:color w:val="auto"/>
                <w:sz w:val="22"/>
                <w:szCs w:val="22"/>
              </w:rPr>
              <w:t>1</w:t>
            </w:r>
          </w:p>
        </w:tc>
        <w:tc>
          <w:tcPr>
            <w:tcW w:w="2289" w:type="pct"/>
            <w:noWrap w:val="0"/>
            <w:vAlign w:val="center"/>
          </w:tcPr>
          <w:p>
            <w:pPr>
              <w:adjustRightInd w:val="0"/>
              <w:snapToGrid w:val="0"/>
              <w:jc w:val="center"/>
              <w:rPr>
                <w:rFonts w:hint="eastAsia" w:ascii="仿宋_GB2312" w:hAnsi="方正仿宋_GBK" w:eastAsia="仿宋_GB2312" w:cs="方正仿宋_GBK"/>
                <w:color w:val="auto"/>
                <w:sz w:val="22"/>
                <w:szCs w:val="22"/>
              </w:rPr>
            </w:pPr>
            <w:bookmarkStart w:id="1" w:name="_GoBack"/>
            <w:bookmarkEnd w:id="1"/>
            <w:r>
              <w:rPr>
                <w:rFonts w:hint="eastAsia" w:ascii="仿宋" w:hAnsi="仿宋" w:eastAsia="仿宋" w:cs="仿宋"/>
                <w:b w:val="0"/>
                <w:bCs w:val="0"/>
                <w:caps w:val="0"/>
                <w:color w:val="333333"/>
                <w:spacing w:val="0"/>
                <w:sz w:val="22"/>
                <w:szCs w:val="22"/>
                <w:shd w:val="clear" w:fill="FFFFFF"/>
              </w:rPr>
              <w:t>挥发性有机化合物(VOCs)</w:t>
            </w:r>
          </w:p>
        </w:tc>
        <w:tc>
          <w:tcPr>
            <w:tcW w:w="2109" w:type="pct"/>
            <w:noWrap w:val="0"/>
            <w:vAlign w:val="center"/>
          </w:tcPr>
          <w:p>
            <w:pPr>
              <w:adjustRightInd w:val="0"/>
              <w:snapToGrid w:val="0"/>
              <w:jc w:val="center"/>
              <w:rPr>
                <w:rFonts w:hint="eastAsia" w:ascii="仿宋_GB2312" w:eastAsia="仿宋_GB2312"/>
                <w:bCs/>
                <w:color w:val="000000"/>
                <w:kern w:val="0"/>
                <w:sz w:val="22"/>
                <w:szCs w:val="22"/>
              </w:rPr>
            </w:pPr>
            <w:r>
              <w:rPr>
                <w:rFonts w:hint="eastAsia" w:ascii="仿宋" w:hAnsi="仿宋" w:eastAsia="仿宋" w:cs="仿宋"/>
                <w:b w:val="0"/>
                <w:bCs w:val="0"/>
                <w:caps w:val="0"/>
                <w:color w:val="333333"/>
                <w:spacing w:val="0"/>
                <w:sz w:val="28"/>
                <w:szCs w:val="28"/>
                <w:shd w:val="clear" w:fill="FFFFFF"/>
                <w:lang w:val="en-US" w:eastAsia="zh-CN"/>
              </w:rPr>
              <w:t xml:space="preserve"> </w:t>
            </w:r>
            <w:r>
              <w:rPr>
                <w:rFonts w:hint="eastAsia" w:ascii="仿宋" w:hAnsi="仿宋" w:eastAsia="仿宋" w:cs="仿宋"/>
                <w:b w:val="0"/>
                <w:bCs w:val="0"/>
                <w:caps w:val="0"/>
                <w:color w:val="333333"/>
                <w:spacing w:val="0"/>
                <w:sz w:val="22"/>
                <w:szCs w:val="22"/>
                <w:shd w:val="clear" w:fill="FFFFFF"/>
              </w:rPr>
              <w:t>GB 38508-2020</w:t>
            </w:r>
          </w:p>
        </w:tc>
      </w:tr>
    </w:tbl>
    <w:p>
      <w:pPr>
        <w:snapToGrid w:val="0"/>
        <w:spacing w:line="560" w:lineRule="exact"/>
        <w:ind w:firstLine="560" w:firstLineChars="200"/>
        <w:rPr>
          <w:rFonts w:ascii="仿宋_GB2312" w:hAnsi="方正仿宋_GBK" w:eastAsia="仿宋_GB2312" w:cs="方正仿宋_GBK"/>
          <w:sz w:val="28"/>
          <w:szCs w:val="28"/>
        </w:rPr>
      </w:pPr>
      <w:r>
        <w:rPr>
          <w:rFonts w:hint="eastAsia" w:ascii="仿宋_GB2312" w:hAnsi="方正仿宋_GBK" w:eastAsia="仿宋_GB2312" w:cs="方正仿宋_GBK"/>
          <w:sz w:val="28"/>
          <w:szCs w:val="28"/>
        </w:rPr>
        <w:t>执行企业标准、团体标准、地方标准的产品，检验项目参照上述内容执行。</w:t>
      </w:r>
    </w:p>
    <w:p>
      <w:pPr>
        <w:snapToGrid w:val="0"/>
        <w:spacing w:line="560" w:lineRule="exact"/>
        <w:ind w:firstLine="560" w:firstLineChars="200"/>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凡是注日期的文件，其随后所有的修改单（不包括勘误的内容）或修订版不适用于本细则。凡是不注日期的文件，其最新版本适用于本细则。</w:t>
      </w:r>
    </w:p>
    <w:p>
      <w:pPr>
        <w:snapToGrid w:val="0"/>
        <w:spacing w:line="560" w:lineRule="exact"/>
        <w:ind w:firstLine="560" w:firstLineChars="200"/>
        <w:rPr>
          <w:rFonts w:hint="eastAsia" w:ascii="黑体" w:hAnsi="黑体" w:eastAsia="黑体"/>
          <w:color w:val="000000"/>
          <w:sz w:val="28"/>
          <w:szCs w:val="28"/>
        </w:rPr>
      </w:pPr>
      <w:r>
        <w:rPr>
          <w:rFonts w:hint="eastAsia" w:ascii="黑体" w:hAnsi="黑体" w:eastAsia="黑体"/>
          <w:color w:val="000000"/>
          <w:sz w:val="28"/>
          <w:szCs w:val="28"/>
        </w:rPr>
        <w:t>3 判定规则</w:t>
      </w:r>
    </w:p>
    <w:p>
      <w:pPr>
        <w:snapToGrid w:val="0"/>
        <w:spacing w:line="560" w:lineRule="exact"/>
        <w:ind w:firstLine="562" w:firstLineChars="200"/>
        <w:rPr>
          <w:rFonts w:ascii="楷体_GB2312" w:eastAsia="楷体_GB2312"/>
          <w:b/>
          <w:color w:val="000000"/>
          <w:sz w:val="28"/>
          <w:szCs w:val="28"/>
        </w:rPr>
      </w:pPr>
      <w:r>
        <w:rPr>
          <w:rFonts w:ascii="楷体_GB2312" w:eastAsia="楷体_GB2312"/>
          <w:b/>
          <w:color w:val="000000"/>
          <w:sz w:val="28"/>
          <w:szCs w:val="28"/>
        </w:rPr>
        <w:t>3.1依据标准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0" w:lineRule="atLeast"/>
        <w:ind w:left="0" w:right="0" w:firstLine="0"/>
        <w:rPr>
          <w:rFonts w:hint="eastAsia" w:ascii="仿宋" w:hAnsi="仿宋" w:eastAsia="仿宋" w:cs="仿宋"/>
          <w:caps w:val="0"/>
          <w:color w:val="333333"/>
          <w:spacing w:val="0"/>
          <w:sz w:val="12"/>
          <w:szCs w:val="12"/>
        </w:rPr>
      </w:pPr>
      <w:r>
        <w:rPr>
          <w:rFonts w:hint="eastAsia" w:ascii="微软雅黑" w:hAnsi="微软雅黑" w:eastAsia="微软雅黑" w:cs="微软雅黑"/>
          <w:caps w:val="0"/>
          <w:color w:val="333333"/>
          <w:spacing w:val="0"/>
          <w:sz w:val="12"/>
          <w:szCs w:val="12"/>
          <w:shd w:val="clear" w:fill="FFFFFF"/>
        </w:rPr>
        <w:t> </w:t>
      </w:r>
      <w:r>
        <w:rPr>
          <w:rFonts w:hint="eastAsia" w:ascii="微软雅黑" w:hAnsi="微软雅黑" w:eastAsia="微软雅黑" w:cs="微软雅黑"/>
          <w:caps w:val="0"/>
          <w:color w:val="333333"/>
          <w:spacing w:val="0"/>
          <w:sz w:val="12"/>
          <w:szCs w:val="12"/>
          <w:shd w:val="clear" w:fill="FFFFFF"/>
          <w:lang w:val="en-US" w:eastAsia="zh-CN"/>
        </w:rPr>
        <w:t xml:space="preserve">       </w:t>
      </w:r>
      <w:r>
        <w:rPr>
          <w:rFonts w:hint="eastAsia" w:ascii="仿宋" w:hAnsi="仿宋" w:eastAsia="仿宋" w:cs="仿宋"/>
          <w:b w:val="0"/>
          <w:bCs w:val="0"/>
          <w:caps w:val="0"/>
          <w:color w:val="333333"/>
          <w:spacing w:val="0"/>
          <w:sz w:val="28"/>
          <w:szCs w:val="28"/>
          <w:shd w:val="clear" w:fill="FFFFFF"/>
          <w:lang w:val="en-US" w:eastAsia="zh-CN"/>
        </w:rPr>
        <w:t xml:space="preserve">  </w:t>
      </w:r>
      <w:r>
        <w:rPr>
          <w:rFonts w:hint="eastAsia" w:ascii="仿宋" w:hAnsi="仿宋" w:eastAsia="仿宋" w:cs="仿宋"/>
          <w:b w:val="0"/>
          <w:bCs w:val="0"/>
          <w:caps w:val="0"/>
          <w:color w:val="333333"/>
          <w:spacing w:val="0"/>
          <w:sz w:val="28"/>
          <w:szCs w:val="28"/>
          <w:shd w:val="clear" w:fill="FFFFFF"/>
        </w:rPr>
        <w:t>GB 38508-2020 清洗剂挥发性有机化合物含量限值</w:t>
      </w:r>
    </w:p>
    <w:p>
      <w:pPr>
        <w:snapToGrid w:val="0"/>
        <w:spacing w:line="560" w:lineRule="exact"/>
        <w:ind w:firstLine="560" w:firstLineChars="200"/>
        <w:rPr>
          <w:rFonts w:ascii="仿宋_GB2312" w:hAnsi="方正仿宋_GBK" w:eastAsia="仿宋_GB2312" w:cs="方正仿宋_GBK"/>
          <w:sz w:val="28"/>
          <w:szCs w:val="28"/>
        </w:rPr>
      </w:pPr>
      <w:r>
        <w:rPr>
          <w:rFonts w:ascii="仿宋_GB2312" w:hAnsi="方正仿宋_GBK" w:eastAsia="仿宋_GB2312" w:cs="方正仿宋_GBK"/>
          <w:sz w:val="28"/>
          <w:szCs w:val="28"/>
        </w:rPr>
        <w:t>现行有效的企业标准、团体标准、地方标准及产品明示质量要求</w:t>
      </w:r>
    </w:p>
    <w:p>
      <w:pPr>
        <w:snapToGrid w:val="0"/>
        <w:spacing w:line="560" w:lineRule="exact"/>
        <w:ind w:firstLine="562" w:firstLineChars="200"/>
        <w:rPr>
          <w:rFonts w:ascii="楷体_GB2312" w:eastAsia="楷体_GB2312"/>
          <w:b/>
          <w:color w:val="000000"/>
          <w:sz w:val="28"/>
          <w:szCs w:val="28"/>
        </w:rPr>
      </w:pPr>
      <w:r>
        <w:rPr>
          <w:rFonts w:ascii="楷体_GB2312" w:eastAsia="楷体_GB2312"/>
          <w:b/>
          <w:color w:val="000000"/>
          <w:sz w:val="28"/>
          <w:szCs w:val="28"/>
        </w:rPr>
        <w:t>3.2判定原则</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经检验，检验项目全部合格，判定为被抽查产品所检项目未发现不合格；检验项目中任一项或一项以上不合格，判定为被抽查产品不合格。</w:t>
      </w:r>
    </w:p>
    <w:p>
      <w:pPr>
        <w:snapToGrid w:val="0"/>
        <w:spacing w:line="560" w:lineRule="exact"/>
        <w:ind w:firstLine="560" w:firstLineChars="200"/>
        <w:rPr>
          <w:rFonts w:ascii="仿宋_GB2312" w:hAnsi="方正仿宋_GBK" w:eastAsia="仿宋_GB2312" w:cs="方正仿宋_GBK"/>
          <w:sz w:val="28"/>
          <w:szCs w:val="28"/>
        </w:rPr>
      </w:pPr>
      <w:r>
        <w:rPr>
          <w:rFonts w:ascii="仿宋_GB2312" w:hAnsi="方正仿宋_GBK" w:eastAsia="仿宋_GB2312" w:cs="方正仿宋_GBK"/>
          <w:sz w:val="28"/>
          <w:szCs w:val="28"/>
        </w:rPr>
        <w:t>若被检产品明示的质量要求高于本细则中检验项目依据的标准要求时，应按被检产品明示的质量要求判定。</w:t>
      </w:r>
    </w:p>
    <w:p>
      <w:pPr>
        <w:snapToGrid w:val="0"/>
        <w:spacing w:line="560" w:lineRule="exact"/>
        <w:ind w:firstLine="560" w:firstLineChars="200"/>
        <w:rPr>
          <w:rFonts w:ascii="仿宋_GB2312" w:hAnsi="方正仿宋_GBK" w:eastAsia="仿宋_GB2312" w:cs="方正仿宋_GBK"/>
          <w:sz w:val="28"/>
          <w:szCs w:val="28"/>
        </w:rPr>
      </w:pPr>
      <w:r>
        <w:rPr>
          <w:rFonts w:ascii="仿宋_GB2312" w:hAnsi="方正仿宋_GBK" w:eastAsia="仿宋_GB2312" w:cs="方正仿宋_GBK"/>
          <w:sz w:val="28"/>
          <w:szCs w:val="28"/>
        </w:rPr>
        <w:t>若被检产品明示的质量要求低于本细则中检验项目依据的强制性标准要求时，应按照强制性标准要求判定。</w:t>
      </w:r>
    </w:p>
    <w:p>
      <w:pPr>
        <w:snapToGrid w:val="0"/>
        <w:spacing w:line="560" w:lineRule="exact"/>
        <w:ind w:firstLine="560" w:firstLineChars="200"/>
        <w:rPr>
          <w:rFonts w:ascii="仿宋_GB2312" w:hAnsi="方正仿宋_GBK" w:eastAsia="仿宋_GB2312" w:cs="方正仿宋_GBK"/>
          <w:sz w:val="28"/>
          <w:szCs w:val="28"/>
        </w:rPr>
      </w:pPr>
      <w:r>
        <w:rPr>
          <w:rFonts w:ascii="仿宋_GB2312" w:hAnsi="方正仿宋_GBK" w:eastAsia="仿宋_GB2312" w:cs="方正仿宋_GBK"/>
          <w:sz w:val="28"/>
          <w:szCs w:val="28"/>
        </w:rPr>
        <w:t>若被检产品明示的质量要求低于或包含本细则中检验项目依据的推荐性标准要求时，应以被检产品明示的质量要求判定。</w:t>
      </w:r>
    </w:p>
    <w:p>
      <w:pPr>
        <w:snapToGrid w:val="0"/>
        <w:spacing w:line="560" w:lineRule="exact"/>
        <w:ind w:firstLine="560" w:firstLineChars="200"/>
        <w:rPr>
          <w:rFonts w:ascii="仿宋_GB2312" w:hAnsi="方正仿宋_GBK" w:eastAsia="仿宋_GB2312" w:cs="方正仿宋_GBK"/>
          <w:sz w:val="28"/>
          <w:szCs w:val="28"/>
        </w:rPr>
      </w:pPr>
      <w:r>
        <w:rPr>
          <w:rFonts w:ascii="仿宋_GB2312" w:hAnsi="方正仿宋_GBK" w:eastAsia="仿宋_GB2312" w:cs="方正仿宋_GBK"/>
          <w:sz w:val="28"/>
          <w:szCs w:val="28"/>
        </w:rPr>
        <w:t>若被检产品明示的质量要求缺少本细则中检验项目依据的强制性标准要求时，应按照强制性标准要求判定。</w:t>
      </w:r>
    </w:p>
    <w:p>
      <w:pPr>
        <w:snapToGrid w:val="0"/>
        <w:spacing w:line="560" w:lineRule="exact"/>
        <w:ind w:firstLine="560" w:firstLineChars="200"/>
        <w:rPr>
          <w:rFonts w:ascii="仿宋_GB2312" w:hAnsi="方正仿宋_GBK" w:eastAsia="仿宋_GB2312" w:cs="方正仿宋_GBK"/>
          <w:sz w:val="28"/>
          <w:szCs w:val="28"/>
        </w:rPr>
      </w:pPr>
      <w:r>
        <w:rPr>
          <w:rFonts w:ascii="仿宋_GB2312" w:hAnsi="方正仿宋_GBK" w:eastAsia="仿宋_GB2312" w:cs="方正仿宋_GBK"/>
          <w:sz w:val="28"/>
          <w:szCs w:val="28"/>
        </w:rPr>
        <w:t>若被检产品明示的质量要求缺少本细则中检验项目依据的推荐性标准要求时，该项目不参与判定。</w:t>
      </w:r>
    </w:p>
    <w:p>
      <w:pPr>
        <w:snapToGrid w:val="0"/>
        <w:spacing w:line="440" w:lineRule="exact"/>
        <w:rPr>
          <w:rFonts w:ascii="宋体" w:hAnsi="宋体"/>
          <w:color w:val="FF0000"/>
          <w:szCs w:val="21"/>
        </w:rPr>
      </w:pP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4ZDc0ZTgwYzc2MWZiYWQ3NjlmNTQ5NGE2OTBjNzMifQ=="/>
  </w:docVars>
  <w:rsids>
    <w:rsidRoot w:val="00172A27"/>
    <w:rsid w:val="000112F8"/>
    <w:rsid w:val="000348D0"/>
    <w:rsid w:val="00051A44"/>
    <w:rsid w:val="00073DE5"/>
    <w:rsid w:val="00081CBD"/>
    <w:rsid w:val="000976DE"/>
    <w:rsid w:val="000B2E51"/>
    <w:rsid w:val="000D314C"/>
    <w:rsid w:val="00103FE0"/>
    <w:rsid w:val="00161B50"/>
    <w:rsid w:val="001809DD"/>
    <w:rsid w:val="0019136D"/>
    <w:rsid w:val="001D1BF7"/>
    <w:rsid w:val="002059AC"/>
    <w:rsid w:val="00232530"/>
    <w:rsid w:val="00253624"/>
    <w:rsid w:val="002D6ED9"/>
    <w:rsid w:val="002D7F8A"/>
    <w:rsid w:val="002E0D1D"/>
    <w:rsid w:val="002E18CE"/>
    <w:rsid w:val="00306A41"/>
    <w:rsid w:val="003144AD"/>
    <w:rsid w:val="003203A3"/>
    <w:rsid w:val="00336201"/>
    <w:rsid w:val="00343554"/>
    <w:rsid w:val="00350533"/>
    <w:rsid w:val="00361B41"/>
    <w:rsid w:val="00370121"/>
    <w:rsid w:val="00392D5E"/>
    <w:rsid w:val="003B44E8"/>
    <w:rsid w:val="003C388C"/>
    <w:rsid w:val="003E61BF"/>
    <w:rsid w:val="00423C4A"/>
    <w:rsid w:val="004251CF"/>
    <w:rsid w:val="00445E86"/>
    <w:rsid w:val="00457A11"/>
    <w:rsid w:val="00474E04"/>
    <w:rsid w:val="004970A5"/>
    <w:rsid w:val="004B1784"/>
    <w:rsid w:val="004D0C5A"/>
    <w:rsid w:val="004E1396"/>
    <w:rsid w:val="004E556C"/>
    <w:rsid w:val="004F1D3A"/>
    <w:rsid w:val="005063AB"/>
    <w:rsid w:val="00510A99"/>
    <w:rsid w:val="0054495E"/>
    <w:rsid w:val="00551C16"/>
    <w:rsid w:val="00563EBC"/>
    <w:rsid w:val="005746EE"/>
    <w:rsid w:val="00586200"/>
    <w:rsid w:val="005C233B"/>
    <w:rsid w:val="006145B2"/>
    <w:rsid w:val="0063027D"/>
    <w:rsid w:val="006729A9"/>
    <w:rsid w:val="006736E8"/>
    <w:rsid w:val="00677B49"/>
    <w:rsid w:val="006928ED"/>
    <w:rsid w:val="006D47EB"/>
    <w:rsid w:val="006E1171"/>
    <w:rsid w:val="006F0971"/>
    <w:rsid w:val="007041D3"/>
    <w:rsid w:val="0072334C"/>
    <w:rsid w:val="00742049"/>
    <w:rsid w:val="00756C1D"/>
    <w:rsid w:val="007C74E3"/>
    <w:rsid w:val="007E3848"/>
    <w:rsid w:val="007E7B45"/>
    <w:rsid w:val="007F78DB"/>
    <w:rsid w:val="0080068A"/>
    <w:rsid w:val="008517EB"/>
    <w:rsid w:val="00895BEA"/>
    <w:rsid w:val="008A3497"/>
    <w:rsid w:val="008A494F"/>
    <w:rsid w:val="008B5097"/>
    <w:rsid w:val="00903669"/>
    <w:rsid w:val="00917A54"/>
    <w:rsid w:val="00937E4B"/>
    <w:rsid w:val="00986112"/>
    <w:rsid w:val="009A50A0"/>
    <w:rsid w:val="009A5423"/>
    <w:rsid w:val="00A43553"/>
    <w:rsid w:val="00A43771"/>
    <w:rsid w:val="00A605C6"/>
    <w:rsid w:val="00A6696E"/>
    <w:rsid w:val="00A73B47"/>
    <w:rsid w:val="00AC5391"/>
    <w:rsid w:val="00AF7551"/>
    <w:rsid w:val="00AF7922"/>
    <w:rsid w:val="00B2401B"/>
    <w:rsid w:val="00B26C94"/>
    <w:rsid w:val="00B44252"/>
    <w:rsid w:val="00B969D9"/>
    <w:rsid w:val="00BB0225"/>
    <w:rsid w:val="00BB24DE"/>
    <w:rsid w:val="00BC768D"/>
    <w:rsid w:val="00BF2B8C"/>
    <w:rsid w:val="00BF6E59"/>
    <w:rsid w:val="00C26074"/>
    <w:rsid w:val="00C317FF"/>
    <w:rsid w:val="00C43B29"/>
    <w:rsid w:val="00C83B0A"/>
    <w:rsid w:val="00CE1E0C"/>
    <w:rsid w:val="00CE277E"/>
    <w:rsid w:val="00CF231D"/>
    <w:rsid w:val="00D32B3B"/>
    <w:rsid w:val="00D430A8"/>
    <w:rsid w:val="00D56867"/>
    <w:rsid w:val="00DB782F"/>
    <w:rsid w:val="00E02A7F"/>
    <w:rsid w:val="00E07880"/>
    <w:rsid w:val="00E3024E"/>
    <w:rsid w:val="00E379DC"/>
    <w:rsid w:val="00E64246"/>
    <w:rsid w:val="00E82621"/>
    <w:rsid w:val="00EC0F9E"/>
    <w:rsid w:val="00EC7D12"/>
    <w:rsid w:val="00F30463"/>
    <w:rsid w:val="00F37F9F"/>
    <w:rsid w:val="00F5697F"/>
    <w:rsid w:val="00F77C9A"/>
    <w:rsid w:val="00F86433"/>
    <w:rsid w:val="00FB576C"/>
    <w:rsid w:val="00FC0B8E"/>
    <w:rsid w:val="00FD2AA6"/>
    <w:rsid w:val="00FE7E8A"/>
    <w:rsid w:val="07524FD1"/>
    <w:rsid w:val="079F5728"/>
    <w:rsid w:val="0FD3684A"/>
    <w:rsid w:val="117F5DE8"/>
    <w:rsid w:val="16E80FF0"/>
    <w:rsid w:val="1AEC6252"/>
    <w:rsid w:val="1DE83302"/>
    <w:rsid w:val="28183B23"/>
    <w:rsid w:val="2D8567C4"/>
    <w:rsid w:val="33564AAB"/>
    <w:rsid w:val="3DA31891"/>
    <w:rsid w:val="3E7003FD"/>
    <w:rsid w:val="42B72F2B"/>
    <w:rsid w:val="480E3634"/>
    <w:rsid w:val="52251866"/>
    <w:rsid w:val="56F618B8"/>
    <w:rsid w:val="58DC169D"/>
    <w:rsid w:val="59602AF9"/>
    <w:rsid w:val="5BC17B11"/>
    <w:rsid w:val="5F6A79C9"/>
    <w:rsid w:val="61AD685C"/>
    <w:rsid w:val="670A25A9"/>
    <w:rsid w:val="6B6A6207"/>
    <w:rsid w:val="730E615F"/>
    <w:rsid w:val="7A18085E"/>
    <w:rsid w:val="7C5621C6"/>
    <w:rsid w:val="7D6F5CAC"/>
    <w:rsid w:val="7FE016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uiPriority w:val="0"/>
  </w:style>
  <w:style w:type="table" w:default="1" w:styleId="7">
    <w:name w:val="Normal Table"/>
    <w:unhideWhenUsed/>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alloon Text"/>
    <w:basedOn w:val="1"/>
    <w:link w:val="10"/>
    <w:unhideWhenUsed/>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uiPriority w:val="0"/>
  </w:style>
  <w:style w:type="character" w:customStyle="1" w:styleId="10">
    <w:name w:val="批注框文本 字符"/>
    <w:link w:val="4"/>
    <w:semiHidden/>
    <w:qFormat/>
    <w:uiPriority w:val="99"/>
    <w:rPr>
      <w:kern w:val="2"/>
      <w:sz w:val="18"/>
      <w:szCs w:val="18"/>
    </w:rPr>
  </w:style>
  <w:style w:type="character" w:customStyle="1" w:styleId="11">
    <w:name w:val="页脚 字符"/>
    <w:link w:val="5"/>
    <w:qFormat/>
    <w:uiPriority w:val="99"/>
    <w:rPr>
      <w:kern w:val="2"/>
      <w:sz w:val="18"/>
      <w:szCs w:val="18"/>
    </w:rPr>
  </w:style>
  <w:style w:type="character" w:customStyle="1" w:styleId="12">
    <w:name w:val="页眉 字符"/>
    <w:link w:val="6"/>
    <w:semiHidden/>
    <w:qFormat/>
    <w:uiPriority w:val="99"/>
    <w:rPr>
      <w:kern w:val="2"/>
      <w:sz w:val="18"/>
      <w:szCs w:val="18"/>
    </w:rPr>
  </w:style>
  <w:style w:type="paragraph" w:customStyle="1" w:styleId="13">
    <w:name w:val="_Style 11"/>
    <w:semiHidden/>
    <w:qFormat/>
    <w:uiPriority w:val="99"/>
    <w:rPr>
      <w:rFonts w:ascii="Times New Roman" w:hAnsi="Times New Roman" w:eastAsia="宋体" w:cs="Times New Roman"/>
      <w:kern w:val="2"/>
      <w:sz w:val="21"/>
      <w:szCs w:val="24"/>
      <w:lang w:val="en-US" w:eastAsia="zh-CN" w:bidi="ar-SA"/>
    </w:rPr>
  </w:style>
  <w:style w:type="paragraph" w:customStyle="1" w:styleId="14">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928</Words>
  <Characters>1168</Characters>
  <Lines>8</Lines>
  <Paragraphs>2</Paragraphs>
  <TotalTime>3</TotalTime>
  <ScaleCrop>false</ScaleCrop>
  <LinksUpToDate>false</LinksUpToDate>
  <CharactersWithSpaces>1193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2020-09-06T03:23:00Z</dcterms:created>
  <dc:creator>Legend User</dc:creator>
  <cp:lastModifiedBy>郝好</cp:lastModifiedBy>
  <cp:lastPrinted>2019-12-05T07:53:00Z</cp:lastPrinted>
  <dcterms:modified xsi:type="dcterms:W3CDTF">2023-11-02T03:05:58Z</dcterms:modified>
  <dc:title>××产品质量监督抽查实施细则</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DF73EBEA7FCC44D7A900DF0508B1F17D_13</vt:lpwstr>
  </property>
</Properties>
</file>