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合成树脂乳液内墙涂料产品质量</w:t>
      </w:r>
      <w:r>
        <w:rPr>
          <w:rFonts w:hint="eastAsia" w:ascii="方正小标宋简体" w:hAnsi="方正小标宋简体" w:eastAsia="方正小标宋简体" w:cs="方正小标宋简体"/>
          <w:color w:val="000000"/>
          <w:sz w:val="32"/>
          <w:szCs w:val="32"/>
          <w:lang w:eastAsia="zh-CN"/>
        </w:rPr>
        <w:t>滑县</w:t>
      </w:r>
      <w:r>
        <w:rPr>
          <w:rFonts w:hint="eastAsia" w:ascii="方正小标宋简体" w:hAnsi="方正小标宋简体" w:eastAsia="方正小标宋简体" w:cs="方正小标宋简体"/>
          <w:color w:val="000000"/>
          <w:sz w:val="32"/>
          <w:szCs w:val="32"/>
        </w:rPr>
        <w:t>监督抽查实施细则</w:t>
      </w:r>
    </w:p>
    <w:p>
      <w:pPr>
        <w:snapToGrid w:val="0"/>
        <w:spacing w:line="60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（2023年版）</w:t>
      </w:r>
    </w:p>
    <w:p>
      <w:pPr>
        <w:spacing w:line="560" w:lineRule="exact"/>
        <w:ind w:firstLine="440" w:firstLineChars="200"/>
        <w:rPr>
          <w:rFonts w:ascii="仿宋_GB2312" w:hAnsi="方正仿宋_GBK" w:eastAsia="仿宋_GB2312" w:cs="方正仿宋_GBK"/>
          <w:sz w:val="22"/>
          <w:szCs w:val="22"/>
        </w:rPr>
      </w:pPr>
    </w:p>
    <w:p>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滑县</w:t>
      </w:r>
      <w:r>
        <w:rPr>
          <w:rFonts w:hint="eastAsia" w:ascii="仿宋_GB2312" w:hAnsi="方正仿宋_GBK" w:eastAsia="仿宋_GB2312" w:cs="方正仿宋_GBK"/>
          <w:sz w:val="28"/>
          <w:szCs w:val="28"/>
        </w:rPr>
        <w:t>市场监督管理局组织的合成树脂乳液内墙涂料产品质量监督抽查。本细则规定了此产品的抽样方法、检验依据、检验项目、检验方法、判定原则等。</w:t>
      </w:r>
    </w:p>
    <w:p>
      <w:pPr>
        <w:snapToGrid w:val="0"/>
        <w:spacing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1 抽样方法</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以随机抽样的方式在被抽样生产者、销售者的待销产品中抽取。</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随机数一般可使用</w:t>
      </w:r>
      <w:bookmarkStart w:id="0" w:name="_Hlk28691753"/>
      <w:r>
        <w:rPr>
          <w:rFonts w:ascii="仿宋_GB2312" w:hAnsi="方正仿宋_GBK" w:eastAsia="仿宋_GB2312" w:cs="方正仿宋_GBK"/>
          <w:sz w:val="28"/>
          <w:szCs w:val="28"/>
        </w:rPr>
        <w:t>随机数</w:t>
      </w:r>
      <w:bookmarkEnd w:id="0"/>
      <w:r>
        <w:rPr>
          <w:rFonts w:ascii="仿宋_GB2312" w:hAnsi="方正仿宋_GBK" w:eastAsia="仿宋_GB2312" w:cs="方正仿宋_GBK"/>
          <w:sz w:val="28"/>
          <w:szCs w:val="28"/>
        </w:rPr>
        <w:t>表等方法产生。</w:t>
      </w:r>
    </w:p>
    <w:p>
      <w:pPr>
        <w:snapToGrid w:val="0"/>
        <w:spacing w:line="560" w:lineRule="exact"/>
        <w:ind w:firstLine="560" w:firstLineChars="200"/>
        <w:rPr>
          <w:rFonts w:ascii="仿宋_GB2312" w:hAnsi="方正仿宋_GBK" w:eastAsia="仿宋_GB2312" w:cs="方正仿宋_GBK"/>
          <w:sz w:val="28"/>
          <w:szCs w:val="28"/>
          <w:highlight w:val="none"/>
        </w:rPr>
      </w:pPr>
      <w:r>
        <w:rPr>
          <w:rFonts w:ascii="仿宋_GB2312" w:hAnsi="方正仿宋_GBK" w:eastAsia="仿宋_GB2312" w:cs="方正仿宋_GBK"/>
          <w:sz w:val="28"/>
          <w:szCs w:val="28"/>
          <w:highlight w:val="none"/>
        </w:rPr>
        <w:t>抽取2份样品，每份不少于3kg，一份为检验样品，一份为备用样品。当独立包装产品质量不大于5kg时，应尽量整包装抽取，避免分装。</w:t>
      </w:r>
    </w:p>
    <w:p>
      <w:pPr>
        <w:snapToGrid w:val="0"/>
        <w:spacing w:line="560" w:lineRule="exact"/>
        <w:ind w:firstLine="560" w:firstLineChars="200"/>
        <w:rPr>
          <w:rFonts w:hint="eastAsia" w:ascii="仿宋_GB2312" w:hAnsi="方正仿宋_GBK" w:eastAsia="仿宋_GB2312" w:cs="方正仿宋_GBK"/>
          <w:sz w:val="28"/>
          <w:szCs w:val="28"/>
          <w:highlight w:val="none"/>
        </w:rPr>
      </w:pPr>
      <w:r>
        <w:rPr>
          <w:rFonts w:hint="eastAsia" w:ascii="仿宋_GB2312" w:hAnsi="方正仿宋_GBK" w:eastAsia="仿宋_GB2312" w:cs="方正仿宋_GBK"/>
          <w:sz w:val="28"/>
          <w:szCs w:val="28"/>
          <w:highlight w:val="none"/>
        </w:rPr>
        <w:t>如需配套底漆，抽取底漆2份，每份不少于500g，一份为检验样品，一份为备用样品。</w:t>
      </w:r>
      <w:bookmarkStart w:id="1" w:name="_GoBack"/>
      <w:bookmarkEnd w:id="1"/>
    </w:p>
    <w:p>
      <w:pPr>
        <w:snapToGrid w:val="0"/>
        <w:spacing w:line="560" w:lineRule="exact"/>
        <w:ind w:firstLine="560" w:firstLineChars="200"/>
        <w:rPr>
          <w:rFonts w:hint="eastAsia" w:ascii="黑体" w:hAnsi="黑体" w:eastAsia="黑体"/>
          <w:color w:val="000000"/>
          <w:sz w:val="28"/>
          <w:szCs w:val="28"/>
        </w:rPr>
      </w:pPr>
      <w:r>
        <w:rPr>
          <w:rFonts w:hint="eastAsia" w:ascii="黑体" w:hAnsi="黑体" w:eastAsia="黑体"/>
          <w:color w:val="000000"/>
          <w:sz w:val="28"/>
          <w:szCs w:val="28"/>
        </w:rPr>
        <w:t>2 检验依据</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99"/>
        <w:gridCol w:w="3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600"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序号</w:t>
            </w:r>
          </w:p>
        </w:tc>
        <w:tc>
          <w:tcPr>
            <w:tcW w:w="228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检验项目</w:t>
            </w:r>
          </w:p>
        </w:tc>
        <w:tc>
          <w:tcPr>
            <w:tcW w:w="210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00"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1</w:t>
            </w:r>
          </w:p>
        </w:tc>
        <w:tc>
          <w:tcPr>
            <w:tcW w:w="228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ascii="仿宋_GB2312" w:hAnsi="方正仿宋_GBK" w:eastAsia="仿宋_GB2312" w:cs="方正仿宋_GBK"/>
                <w:color w:val="auto"/>
                <w:sz w:val="22"/>
                <w:szCs w:val="22"/>
              </w:rPr>
              <w:t>VOC含量</w:t>
            </w:r>
          </w:p>
        </w:tc>
        <w:tc>
          <w:tcPr>
            <w:tcW w:w="2109" w:type="pct"/>
            <w:noWrap w:val="0"/>
            <w:vAlign w:val="center"/>
          </w:tcPr>
          <w:p>
            <w:pPr>
              <w:adjustRightInd w:val="0"/>
              <w:snapToGrid w:val="0"/>
              <w:jc w:val="center"/>
              <w:rPr>
                <w:rFonts w:ascii="仿宋_GB2312" w:hAnsi="方正仿宋_GBK" w:eastAsia="仿宋_GB2312" w:cs="方正仿宋_GBK"/>
                <w:color w:val="auto"/>
                <w:sz w:val="22"/>
                <w:szCs w:val="22"/>
                <w:highlight w:val="none"/>
              </w:rPr>
            </w:pPr>
            <w:r>
              <w:rPr>
                <w:rFonts w:ascii="仿宋_GB2312" w:hAnsi="方正仿宋_GBK" w:eastAsia="仿宋_GB2312" w:cs="方正仿宋_GBK"/>
                <w:color w:val="auto"/>
                <w:sz w:val="22"/>
                <w:szCs w:val="22"/>
                <w:highlight w:val="none"/>
              </w:rPr>
              <w:t>GB 18582</w:t>
            </w:r>
            <w:r>
              <w:rPr>
                <w:rFonts w:hint="eastAsia" w:ascii="仿宋_GB2312" w:hAnsi="方正仿宋_GBK" w:eastAsia="仿宋_GB2312" w:cs="方正仿宋_GBK"/>
                <w:color w:val="auto"/>
                <w:sz w:val="22"/>
                <w:szCs w:val="22"/>
                <w:highlight w:val="none"/>
              </w:rPr>
              <w:t>—</w:t>
            </w:r>
            <w:r>
              <w:rPr>
                <w:rFonts w:ascii="仿宋_GB2312" w:hAnsi="方正仿宋_GBK" w:eastAsia="仿宋_GB2312" w:cs="方正仿宋_GBK"/>
                <w:color w:val="auto"/>
                <w:sz w:val="22"/>
                <w:szCs w:val="22"/>
                <w:highlight w:val="none"/>
              </w:rPr>
              <w:t>2020</w:t>
            </w:r>
          </w:p>
          <w:p>
            <w:pPr>
              <w:adjustRightInd w:val="0"/>
              <w:snapToGrid w:val="0"/>
              <w:jc w:val="center"/>
              <w:rPr>
                <w:rFonts w:ascii="仿宋_GB2312" w:hAnsi="方正仿宋_GBK" w:eastAsia="仿宋_GB2312" w:cs="方正仿宋_GBK"/>
                <w:color w:val="auto"/>
                <w:sz w:val="22"/>
                <w:szCs w:val="22"/>
                <w:highlight w:val="none"/>
              </w:rPr>
            </w:pPr>
            <w:r>
              <w:rPr>
                <w:rFonts w:ascii="仿宋_GB2312" w:hAnsi="方正仿宋_GBK" w:eastAsia="仿宋_GB2312" w:cs="方正仿宋_GBK"/>
                <w:color w:val="auto"/>
                <w:sz w:val="22"/>
                <w:szCs w:val="22"/>
                <w:highlight w:val="none"/>
              </w:rPr>
              <w:t>GB/T 6750</w:t>
            </w:r>
            <w:r>
              <w:rPr>
                <w:rFonts w:hint="eastAsia" w:ascii="仿宋_GB2312" w:hAnsi="方正仿宋_GBK" w:eastAsia="仿宋_GB2312" w:cs="方正仿宋_GBK"/>
                <w:color w:val="auto"/>
                <w:sz w:val="22"/>
                <w:szCs w:val="22"/>
                <w:highlight w:val="none"/>
              </w:rPr>
              <w:t>—</w:t>
            </w:r>
            <w:r>
              <w:rPr>
                <w:rFonts w:ascii="仿宋_GB2312" w:hAnsi="方正仿宋_GBK" w:eastAsia="仿宋_GB2312" w:cs="方正仿宋_GBK"/>
                <w:color w:val="auto"/>
                <w:sz w:val="22"/>
                <w:szCs w:val="22"/>
                <w:highlight w:val="none"/>
              </w:rPr>
              <w:t>2007</w:t>
            </w:r>
          </w:p>
          <w:p>
            <w:pPr>
              <w:adjustRightInd w:val="0"/>
              <w:snapToGrid w:val="0"/>
              <w:jc w:val="center"/>
              <w:rPr>
                <w:rFonts w:ascii="仿宋_GB2312" w:hAnsi="方正仿宋_GBK" w:eastAsia="仿宋_GB2312" w:cs="方正仿宋_GBK"/>
                <w:color w:val="auto"/>
                <w:sz w:val="22"/>
                <w:szCs w:val="22"/>
                <w:highlight w:val="none"/>
              </w:rPr>
            </w:pPr>
            <w:r>
              <w:rPr>
                <w:rFonts w:ascii="仿宋_GB2312" w:hAnsi="方正仿宋_GBK" w:eastAsia="仿宋_GB2312" w:cs="方正仿宋_GBK"/>
                <w:color w:val="auto"/>
                <w:sz w:val="22"/>
                <w:szCs w:val="22"/>
                <w:highlight w:val="none"/>
              </w:rPr>
              <w:t>GB/T</w:t>
            </w:r>
            <w:r>
              <w:rPr>
                <w:rFonts w:hint="eastAsia" w:ascii="仿宋_GB2312" w:hAnsi="方正仿宋_GBK" w:eastAsia="仿宋_GB2312" w:cs="方正仿宋_GBK"/>
                <w:color w:val="auto"/>
                <w:sz w:val="22"/>
                <w:szCs w:val="22"/>
                <w:highlight w:val="none"/>
              </w:rPr>
              <w:t xml:space="preserve"> </w:t>
            </w:r>
            <w:r>
              <w:rPr>
                <w:rFonts w:ascii="仿宋_GB2312" w:hAnsi="方正仿宋_GBK" w:eastAsia="仿宋_GB2312" w:cs="方正仿宋_GBK"/>
                <w:color w:val="auto"/>
                <w:sz w:val="22"/>
                <w:szCs w:val="22"/>
                <w:highlight w:val="none"/>
              </w:rPr>
              <w:t>23986</w:t>
            </w:r>
            <w:r>
              <w:rPr>
                <w:rFonts w:hint="eastAsia" w:ascii="仿宋_GB2312" w:hAnsi="方正仿宋_GBK" w:eastAsia="仿宋_GB2312" w:cs="方正仿宋_GBK"/>
                <w:color w:val="auto"/>
                <w:sz w:val="22"/>
                <w:szCs w:val="22"/>
                <w:highlight w:val="none"/>
              </w:rPr>
              <w:t>—</w:t>
            </w:r>
            <w:r>
              <w:rPr>
                <w:rFonts w:ascii="仿宋_GB2312" w:hAnsi="方正仿宋_GBK" w:eastAsia="仿宋_GB2312" w:cs="方正仿宋_GBK"/>
                <w:color w:val="auto"/>
                <w:sz w:val="22"/>
                <w:szCs w:val="22"/>
                <w:highlight w:val="none"/>
              </w:rPr>
              <w:t>2009</w:t>
            </w:r>
          </w:p>
          <w:p>
            <w:pPr>
              <w:adjustRightInd w:val="0"/>
              <w:snapToGrid w:val="0"/>
              <w:jc w:val="center"/>
              <w:rPr>
                <w:rFonts w:hint="eastAsia" w:ascii="仿宋_GB2312" w:eastAsia="仿宋_GB2312"/>
                <w:bCs/>
                <w:color w:val="000000"/>
                <w:kern w:val="0"/>
                <w:sz w:val="22"/>
                <w:szCs w:val="22"/>
                <w:highlight w:val="none"/>
              </w:rPr>
            </w:pPr>
            <w:r>
              <w:rPr>
                <w:rFonts w:hint="eastAsia" w:ascii="仿宋_GB2312" w:eastAsia="仿宋_GB2312"/>
                <w:bCs/>
                <w:color w:val="000000"/>
                <w:kern w:val="0"/>
                <w:sz w:val="22"/>
                <w:szCs w:val="22"/>
                <w:highlight w:val="none"/>
              </w:rPr>
              <w:t>JC</w:t>
            </w:r>
            <w:r>
              <w:rPr>
                <w:rFonts w:ascii="仿宋_GB2312" w:eastAsia="仿宋_GB2312"/>
                <w:bCs/>
                <w:color w:val="000000"/>
                <w:kern w:val="0"/>
                <w:sz w:val="22"/>
                <w:szCs w:val="22"/>
                <w:highlight w:val="none"/>
              </w:rPr>
              <w:t xml:space="preserve"> </w:t>
            </w:r>
            <w:r>
              <w:rPr>
                <w:rFonts w:hint="eastAsia" w:ascii="仿宋_GB2312" w:eastAsia="仿宋_GB2312"/>
                <w:bCs/>
                <w:color w:val="000000"/>
                <w:kern w:val="0"/>
                <w:sz w:val="22"/>
                <w:szCs w:val="22"/>
                <w:highlight w:val="none"/>
              </w:rPr>
              <w:t>1066-2008</w:t>
            </w:r>
          </w:p>
          <w:p>
            <w:pPr>
              <w:snapToGrid w:val="0"/>
              <w:jc w:val="center"/>
              <w:rPr>
                <w:rFonts w:hint="eastAsia" w:ascii="仿宋_GB2312" w:hAnsi="仿宋_GB2312" w:eastAsia="仿宋_GB2312" w:cs="仿宋_GB2312"/>
                <w:color w:val="000000"/>
                <w:sz w:val="22"/>
                <w:szCs w:val="22"/>
                <w:highlight w:val="none"/>
              </w:rPr>
            </w:pPr>
            <w:r>
              <w:rPr>
                <w:rFonts w:hint="eastAsia" w:ascii="仿宋_GB2312" w:hAnsi="仿宋_GB2312" w:eastAsia="仿宋_GB2312" w:cs="仿宋_GB2312"/>
                <w:color w:val="000000"/>
                <w:sz w:val="22"/>
                <w:szCs w:val="22"/>
                <w:highlight w:val="none"/>
              </w:rPr>
              <w:t>GB/T 6750-2007</w:t>
            </w:r>
          </w:p>
          <w:p>
            <w:pPr>
              <w:snapToGrid w:val="0"/>
              <w:jc w:val="center"/>
              <w:rPr>
                <w:rFonts w:hint="eastAsia" w:ascii="仿宋_GB2312" w:hAnsi="仿宋_GB2312" w:eastAsia="仿宋_GB2312" w:cs="仿宋_GB2312"/>
                <w:color w:val="000000"/>
                <w:sz w:val="22"/>
                <w:szCs w:val="22"/>
                <w:highlight w:val="none"/>
              </w:rPr>
            </w:pPr>
            <w:r>
              <w:rPr>
                <w:rFonts w:hint="eastAsia" w:ascii="仿宋_GB2312" w:hAnsi="仿宋_GB2312" w:eastAsia="仿宋_GB2312" w:cs="仿宋_GB2312"/>
                <w:color w:val="000000"/>
                <w:sz w:val="22"/>
                <w:szCs w:val="22"/>
                <w:highlight w:val="none"/>
              </w:rPr>
              <w:t>GB/T 9754-2007</w:t>
            </w:r>
          </w:p>
          <w:p>
            <w:pPr>
              <w:snapToGrid w:val="0"/>
              <w:jc w:val="center"/>
              <w:rPr>
                <w:rFonts w:hint="eastAsia" w:ascii="仿宋_GB2312" w:hAnsi="仿宋_GB2312" w:eastAsia="仿宋_GB2312" w:cs="仿宋_GB2312"/>
                <w:color w:val="000000"/>
                <w:sz w:val="22"/>
                <w:szCs w:val="22"/>
                <w:highlight w:val="none"/>
              </w:rPr>
            </w:pPr>
            <w:r>
              <w:rPr>
                <w:rFonts w:hint="eastAsia" w:ascii="仿宋_GB2312" w:hAnsi="仿宋_GB2312" w:eastAsia="仿宋_GB2312" w:cs="仿宋_GB2312"/>
                <w:color w:val="000000"/>
                <w:sz w:val="22"/>
                <w:szCs w:val="22"/>
                <w:highlight w:val="none"/>
              </w:rPr>
              <w:t>GB/T 23985-2009</w:t>
            </w:r>
          </w:p>
          <w:p>
            <w:pPr>
              <w:snapToGrid w:val="0"/>
              <w:jc w:val="center"/>
              <w:rPr>
                <w:rFonts w:hint="eastAsia" w:ascii="仿宋_GB2312" w:hAnsi="仿宋_GB2312" w:eastAsia="仿宋_GB2312" w:cs="仿宋_GB2312"/>
                <w:color w:val="000000"/>
                <w:sz w:val="22"/>
                <w:szCs w:val="22"/>
                <w:highlight w:val="none"/>
              </w:rPr>
            </w:pPr>
            <w:r>
              <w:rPr>
                <w:rFonts w:hint="eastAsia" w:ascii="仿宋_GB2312" w:hAnsi="仿宋_GB2312" w:eastAsia="仿宋_GB2312" w:cs="仿宋_GB2312"/>
                <w:color w:val="000000"/>
                <w:sz w:val="22"/>
                <w:szCs w:val="22"/>
                <w:highlight w:val="none"/>
              </w:rPr>
              <w:t>GB/T 1725-2007</w:t>
            </w:r>
          </w:p>
          <w:p>
            <w:pPr>
              <w:adjustRightInd w:val="0"/>
              <w:snapToGrid w:val="0"/>
              <w:jc w:val="center"/>
              <w:rPr>
                <w:rFonts w:hint="eastAsia" w:ascii="仿宋_GB2312" w:eastAsia="仿宋_GB2312"/>
                <w:bCs/>
                <w:color w:val="000000"/>
                <w:kern w:val="0"/>
                <w:sz w:val="22"/>
                <w:szCs w:val="22"/>
              </w:rPr>
            </w:pPr>
            <w:r>
              <w:rPr>
                <w:rFonts w:hint="eastAsia" w:ascii="仿宋_GB2312" w:hAnsi="仿宋_GB2312" w:eastAsia="仿宋_GB2312" w:cs="仿宋_GB2312"/>
                <w:color w:val="000000"/>
                <w:sz w:val="22"/>
                <w:szCs w:val="22"/>
                <w:highlight w:val="none"/>
              </w:rPr>
              <w:t>GB 18581-2020</w:t>
            </w:r>
          </w:p>
        </w:tc>
      </w:tr>
    </w:tbl>
    <w:p>
      <w:pPr>
        <w:snapToGrid w:val="0"/>
        <w:spacing w:line="560" w:lineRule="exact"/>
        <w:ind w:firstLine="560" w:firstLineChars="200"/>
        <w:rPr>
          <w:rFonts w:ascii="仿宋_GB2312" w:hAnsi="方正仿宋_GBK" w:eastAsia="仿宋_GB2312" w:cs="方正仿宋_GBK"/>
          <w:sz w:val="28"/>
          <w:szCs w:val="28"/>
        </w:rPr>
      </w:pPr>
      <w:r>
        <w:rPr>
          <w:rFonts w:hint="eastAsia" w:ascii="仿宋_GB2312" w:hAnsi="方正仿宋_GBK" w:eastAsia="仿宋_GB2312" w:cs="方正仿宋_GBK"/>
          <w:sz w:val="28"/>
          <w:szCs w:val="28"/>
        </w:rPr>
        <w:t>执行企业标准、团体标准、地方标准的产品，检验项目参照上述内容执行。</w:t>
      </w:r>
    </w:p>
    <w:p>
      <w:pPr>
        <w:snapToGrid w:val="0"/>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凡是注日期的文件，其随后所有的修改单（不包括勘误的内容）或修订版不适用于本细则。凡是不注日期的文件，其最新版本适用于本细则。</w:t>
      </w:r>
    </w:p>
    <w:p>
      <w:pPr>
        <w:snapToGrid w:val="0"/>
        <w:spacing w:line="560" w:lineRule="exact"/>
        <w:ind w:firstLine="560" w:firstLineChars="200"/>
        <w:rPr>
          <w:rFonts w:hint="eastAsia" w:ascii="黑体" w:hAnsi="黑体" w:eastAsia="黑体"/>
          <w:color w:val="000000"/>
          <w:sz w:val="28"/>
          <w:szCs w:val="28"/>
        </w:rPr>
      </w:pPr>
      <w:r>
        <w:rPr>
          <w:rFonts w:hint="eastAsia" w:ascii="黑体" w:hAnsi="黑体" w:eastAsia="黑体"/>
          <w:color w:val="000000"/>
          <w:sz w:val="28"/>
          <w:szCs w:val="28"/>
        </w:rPr>
        <w:t>3 判定规则</w:t>
      </w:r>
    </w:p>
    <w:p>
      <w:pPr>
        <w:snapToGrid w:val="0"/>
        <w:spacing w:line="560" w:lineRule="exact"/>
        <w:ind w:firstLine="562" w:firstLineChars="200"/>
        <w:rPr>
          <w:rFonts w:ascii="楷体_GB2312" w:eastAsia="楷体_GB2312"/>
          <w:b/>
          <w:color w:val="000000"/>
          <w:sz w:val="28"/>
          <w:szCs w:val="28"/>
        </w:rPr>
      </w:pPr>
      <w:r>
        <w:rPr>
          <w:rFonts w:ascii="楷体_GB2312" w:eastAsia="楷体_GB2312"/>
          <w:b/>
          <w:color w:val="000000"/>
          <w:sz w:val="28"/>
          <w:szCs w:val="28"/>
        </w:rPr>
        <w:t>3.1依据标准</w:t>
      </w:r>
    </w:p>
    <w:p>
      <w:pPr>
        <w:snapToGrid w:val="0"/>
        <w:spacing w:line="560" w:lineRule="exact"/>
        <w:ind w:firstLine="560" w:firstLineChars="200"/>
        <w:rPr>
          <w:rFonts w:ascii="仿宋_GB2312" w:hAnsi="方正仿宋_GBK" w:eastAsia="仿宋_GB2312" w:cs="方正仿宋_GBK"/>
          <w:sz w:val="28"/>
          <w:szCs w:val="28"/>
          <w:highlight w:val="none"/>
        </w:rPr>
      </w:pPr>
      <w:r>
        <w:rPr>
          <w:rFonts w:ascii="仿宋_GB2312" w:hAnsi="方正仿宋_GBK" w:eastAsia="仿宋_GB2312" w:cs="方正仿宋_GBK"/>
          <w:sz w:val="28"/>
          <w:szCs w:val="28"/>
          <w:highlight w:val="none"/>
        </w:rPr>
        <w:t>GB/T 9756-2018 合成树脂乳液内墙涂料</w:t>
      </w:r>
    </w:p>
    <w:p>
      <w:pPr>
        <w:snapToGrid w:val="0"/>
        <w:spacing w:line="560" w:lineRule="exact"/>
        <w:ind w:firstLine="560" w:firstLineChars="200"/>
        <w:rPr>
          <w:rFonts w:ascii="仿宋_GB2312" w:hAnsi="方正仿宋_GBK" w:eastAsia="仿宋_GB2312" w:cs="方正仿宋_GBK"/>
          <w:sz w:val="28"/>
          <w:szCs w:val="28"/>
          <w:highlight w:val="none"/>
        </w:rPr>
      </w:pPr>
      <w:r>
        <w:rPr>
          <w:rFonts w:ascii="仿宋_GB2312" w:hAnsi="方正仿宋_GBK" w:eastAsia="仿宋_GB2312" w:cs="方正仿宋_GBK"/>
          <w:sz w:val="28"/>
          <w:szCs w:val="28"/>
          <w:highlight w:val="none"/>
        </w:rPr>
        <w:t>GB 18582-2020  建筑用墙面涂料中有害物质限量</w:t>
      </w:r>
    </w:p>
    <w:p>
      <w:pPr>
        <w:adjustRightInd w:val="0"/>
        <w:snapToGrid w:val="0"/>
        <w:spacing w:line="560" w:lineRule="exact"/>
        <w:ind w:firstLine="560" w:firstLineChars="200"/>
        <w:rPr>
          <w:rFonts w:ascii="仿宋_GB2312" w:eastAsia="仿宋_GB2312"/>
          <w:color w:val="000000"/>
          <w:sz w:val="28"/>
          <w:szCs w:val="28"/>
        </w:rPr>
      </w:pPr>
      <w:r>
        <w:rPr>
          <w:rFonts w:ascii="仿宋_GB2312" w:eastAsia="仿宋_GB2312"/>
          <w:color w:val="000000"/>
          <w:sz w:val="28"/>
          <w:szCs w:val="28"/>
        </w:rPr>
        <w:t>GB/T 19250-2013  聚氨酯防水涂料</w:t>
      </w:r>
    </w:p>
    <w:p>
      <w:pPr>
        <w:adjustRightInd w:val="0"/>
        <w:snapToGrid w:val="0"/>
        <w:spacing w:line="560" w:lineRule="exact"/>
        <w:ind w:firstLine="560" w:firstLineChars="200"/>
        <w:rPr>
          <w:rFonts w:ascii="仿宋_GB2312" w:eastAsia="仿宋_GB2312"/>
          <w:color w:val="000000"/>
          <w:sz w:val="28"/>
          <w:szCs w:val="28"/>
        </w:rPr>
      </w:pPr>
      <w:r>
        <w:rPr>
          <w:rFonts w:ascii="仿宋_GB2312" w:eastAsia="仿宋_GB2312"/>
          <w:color w:val="000000"/>
          <w:sz w:val="28"/>
          <w:szCs w:val="28"/>
        </w:rPr>
        <w:t>GB/T 23445-2009  聚合物水泥防水涂料</w:t>
      </w:r>
    </w:p>
    <w:p>
      <w:pPr>
        <w:adjustRightInd w:val="0"/>
        <w:snapToGrid w:val="0"/>
        <w:spacing w:line="5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JC/T 864-2008  聚合物乳液建筑防水涂料</w:t>
      </w:r>
    </w:p>
    <w:p>
      <w:pPr>
        <w:adjustRightInd w:val="0"/>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JC 1066-2008  建筑防水涂料中有害物质限量</w:t>
      </w:r>
    </w:p>
    <w:p>
      <w:pPr>
        <w:adjustRightInd w:val="0"/>
        <w:snapToGrid w:val="0"/>
        <w:spacing w:line="560" w:lineRule="exact"/>
        <w:ind w:firstLine="560" w:firstLineChars="200"/>
        <w:rPr>
          <w:rFonts w:hint="eastAsia" w:ascii="仿宋_GB2312" w:eastAsia="仿宋_GB2312"/>
          <w:color w:val="auto"/>
          <w:sz w:val="28"/>
          <w:szCs w:val="28"/>
        </w:rPr>
      </w:pPr>
      <w:r>
        <w:rPr>
          <w:rFonts w:ascii="仿宋_GB2312" w:eastAsia="仿宋_GB2312"/>
          <w:color w:val="auto"/>
          <w:sz w:val="28"/>
          <w:szCs w:val="28"/>
        </w:rPr>
        <w:t xml:space="preserve">JC/T 408-2005 </w:t>
      </w:r>
      <w:r>
        <w:rPr>
          <w:rFonts w:hint="eastAsia" w:ascii="仿宋_GB2312" w:eastAsia="仿宋_GB2312"/>
          <w:color w:val="auto"/>
          <w:sz w:val="28"/>
          <w:szCs w:val="28"/>
        </w:rPr>
        <w:t>水乳型沥青防水涂料</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GB 18581-2020  </w:t>
      </w:r>
      <w:r>
        <w:rPr>
          <w:rFonts w:hint="eastAsia" w:ascii="仿宋_GB2312" w:eastAsia="仿宋_GB2312"/>
          <w:color w:val="000000"/>
          <w:sz w:val="28"/>
          <w:szCs w:val="28"/>
        </w:rPr>
        <w:fldChar w:fldCharType="begin"/>
      </w:r>
      <w:r>
        <w:rPr>
          <w:rFonts w:hint="eastAsia" w:ascii="仿宋_GB2312" w:eastAsia="仿宋_GB2312"/>
          <w:color w:val="000000"/>
          <w:sz w:val="28"/>
          <w:szCs w:val="28"/>
        </w:rPr>
        <w:instrText xml:space="preserve"> HYPERLINK "http://std.samr.gov.cn/gb/search/gbDetailed?id=A0285713F6221875E05397BE0A0AFAC0" \t "_blank" </w:instrText>
      </w:r>
      <w:r>
        <w:rPr>
          <w:rFonts w:hint="eastAsia" w:ascii="仿宋_GB2312" w:eastAsia="仿宋_GB2312"/>
          <w:color w:val="000000"/>
          <w:sz w:val="28"/>
          <w:szCs w:val="28"/>
        </w:rPr>
        <w:fldChar w:fldCharType="separate"/>
      </w:r>
      <w:r>
        <w:rPr>
          <w:rFonts w:hint="eastAsia" w:ascii="仿宋_GB2312" w:eastAsia="仿宋_GB2312"/>
          <w:color w:val="000000"/>
          <w:sz w:val="28"/>
          <w:szCs w:val="28"/>
        </w:rPr>
        <w:t>木器涂料中有害物质限量</w:t>
      </w:r>
      <w:r>
        <w:rPr>
          <w:rFonts w:hint="eastAsia" w:ascii="仿宋_GB2312" w:eastAsia="仿宋_GB2312"/>
          <w:color w:val="000000"/>
          <w:sz w:val="28"/>
          <w:szCs w:val="28"/>
        </w:rPr>
        <w:fldChar w:fldCharType="end"/>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GB/T 23997-2009  </w:t>
      </w:r>
      <w:r>
        <w:rPr>
          <w:rFonts w:hint="eastAsia" w:ascii="仿宋_GB2312" w:eastAsia="仿宋_GB2312"/>
          <w:color w:val="000000"/>
          <w:sz w:val="28"/>
          <w:szCs w:val="28"/>
        </w:rPr>
        <w:fldChar w:fldCharType="begin"/>
      </w:r>
      <w:r>
        <w:rPr>
          <w:rFonts w:hint="eastAsia" w:ascii="仿宋_GB2312" w:eastAsia="仿宋_GB2312"/>
          <w:color w:val="000000"/>
          <w:sz w:val="28"/>
          <w:szCs w:val="28"/>
        </w:rPr>
        <w:instrText xml:space="preserve"> HYPERLINK "http://std.samr.gov.cn/gb/search/gbDetailed?id=71F772D7CE9BD3A7E05397BE0A0AB82A" \t "_blank" </w:instrText>
      </w:r>
      <w:r>
        <w:rPr>
          <w:rFonts w:hint="eastAsia" w:ascii="仿宋_GB2312" w:eastAsia="仿宋_GB2312"/>
          <w:color w:val="000000"/>
          <w:sz w:val="28"/>
          <w:szCs w:val="28"/>
        </w:rPr>
        <w:fldChar w:fldCharType="separate"/>
      </w:r>
      <w:r>
        <w:rPr>
          <w:rFonts w:hint="eastAsia" w:ascii="仿宋_GB2312" w:eastAsia="仿宋_GB2312"/>
          <w:color w:val="000000"/>
          <w:sz w:val="28"/>
          <w:szCs w:val="28"/>
        </w:rPr>
        <w:t>室内装饰装修用溶剂型聚氨酯木器涂料</w:t>
      </w:r>
      <w:r>
        <w:rPr>
          <w:rFonts w:hint="eastAsia" w:ascii="仿宋_GB2312" w:eastAsia="仿宋_GB2312"/>
          <w:color w:val="000000"/>
          <w:sz w:val="28"/>
          <w:szCs w:val="28"/>
        </w:rPr>
        <w:fldChar w:fldCharType="end"/>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HG/T 2240-2012  </w:t>
      </w:r>
      <w:r>
        <w:rPr>
          <w:rFonts w:hint="eastAsia" w:ascii="仿宋_GB2312" w:eastAsia="仿宋_GB2312"/>
          <w:color w:val="000000"/>
          <w:sz w:val="28"/>
          <w:szCs w:val="28"/>
        </w:rPr>
        <w:fldChar w:fldCharType="begin"/>
      </w:r>
      <w:r>
        <w:rPr>
          <w:rFonts w:hint="eastAsia" w:ascii="仿宋_GB2312" w:eastAsia="仿宋_GB2312"/>
          <w:color w:val="000000"/>
          <w:sz w:val="28"/>
          <w:szCs w:val="28"/>
        </w:rPr>
        <w:instrText xml:space="preserve"> HYPERLINK "http://std.samr.gov.cn/hb/search/stdHBDetailed?id=8B1827F1F43ABB19E05397BE0A0AB44A" \t "_blank" </w:instrText>
      </w:r>
      <w:r>
        <w:rPr>
          <w:rFonts w:hint="eastAsia" w:ascii="仿宋_GB2312" w:eastAsia="仿宋_GB2312"/>
          <w:color w:val="000000"/>
          <w:sz w:val="28"/>
          <w:szCs w:val="28"/>
        </w:rPr>
        <w:fldChar w:fldCharType="separate"/>
      </w:r>
      <w:r>
        <w:rPr>
          <w:rFonts w:hint="eastAsia" w:ascii="仿宋_GB2312" w:eastAsia="仿宋_GB2312"/>
          <w:color w:val="000000"/>
          <w:sz w:val="28"/>
          <w:szCs w:val="28"/>
        </w:rPr>
        <w:t>潮（湿）气固化聚氨酯涂料（单组分）</w:t>
      </w:r>
      <w:r>
        <w:rPr>
          <w:rFonts w:hint="eastAsia" w:ascii="仿宋_GB2312" w:eastAsia="仿宋_GB2312"/>
          <w:color w:val="000000"/>
          <w:sz w:val="28"/>
          <w:szCs w:val="28"/>
        </w:rPr>
        <w:fldChar w:fldCharType="end"/>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GB/T 23998-2009  </w:t>
      </w:r>
      <w:r>
        <w:rPr>
          <w:rFonts w:hint="eastAsia" w:ascii="仿宋_GB2312" w:eastAsia="仿宋_GB2312"/>
          <w:color w:val="000000"/>
          <w:sz w:val="28"/>
          <w:szCs w:val="28"/>
        </w:rPr>
        <w:fldChar w:fldCharType="begin"/>
      </w:r>
      <w:r>
        <w:rPr>
          <w:rFonts w:hint="eastAsia" w:ascii="仿宋_GB2312" w:eastAsia="仿宋_GB2312"/>
          <w:color w:val="000000"/>
          <w:sz w:val="28"/>
          <w:szCs w:val="28"/>
        </w:rPr>
        <w:instrText xml:space="preserve"> HYPERLINK "http://std.samr.gov.cn/gb/search/gbDetailed?id=71F772D7CE9CD3A7E05397BE0A0AB82A" \t "_blank" </w:instrText>
      </w:r>
      <w:r>
        <w:rPr>
          <w:rFonts w:hint="eastAsia" w:ascii="仿宋_GB2312" w:eastAsia="仿宋_GB2312"/>
          <w:color w:val="000000"/>
          <w:sz w:val="28"/>
          <w:szCs w:val="28"/>
        </w:rPr>
        <w:fldChar w:fldCharType="separate"/>
      </w:r>
      <w:r>
        <w:rPr>
          <w:rFonts w:hint="eastAsia" w:ascii="仿宋_GB2312" w:eastAsia="仿宋_GB2312"/>
          <w:color w:val="000000"/>
          <w:sz w:val="28"/>
          <w:szCs w:val="28"/>
        </w:rPr>
        <w:t>室内装饰装修用溶剂型硝基木器涂料</w:t>
      </w:r>
      <w:r>
        <w:rPr>
          <w:rFonts w:hint="eastAsia" w:ascii="仿宋_GB2312" w:eastAsia="仿宋_GB2312"/>
          <w:color w:val="000000"/>
          <w:sz w:val="28"/>
          <w:szCs w:val="28"/>
        </w:rPr>
        <w:fldChar w:fldCharType="end"/>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GB/T 23995-2009  </w:t>
      </w:r>
      <w:r>
        <w:rPr>
          <w:rFonts w:hint="eastAsia" w:ascii="仿宋_GB2312" w:eastAsia="仿宋_GB2312"/>
          <w:color w:val="000000"/>
          <w:sz w:val="28"/>
          <w:szCs w:val="28"/>
        </w:rPr>
        <w:fldChar w:fldCharType="begin"/>
      </w:r>
      <w:r>
        <w:rPr>
          <w:rFonts w:hint="eastAsia" w:ascii="仿宋_GB2312" w:eastAsia="仿宋_GB2312"/>
          <w:color w:val="000000"/>
          <w:sz w:val="28"/>
          <w:szCs w:val="28"/>
        </w:rPr>
        <w:instrText xml:space="preserve"> HYPERLINK "http://std.samr.gov.cn/gb/search/gbDetailed?id=71F772D7CE80D3A7E05397BE0A0AB82A" \t "_blank" </w:instrText>
      </w:r>
      <w:r>
        <w:rPr>
          <w:rFonts w:hint="eastAsia" w:ascii="仿宋_GB2312" w:eastAsia="仿宋_GB2312"/>
          <w:color w:val="000000"/>
          <w:sz w:val="28"/>
          <w:szCs w:val="28"/>
        </w:rPr>
        <w:fldChar w:fldCharType="separate"/>
      </w:r>
      <w:r>
        <w:rPr>
          <w:rFonts w:hint="eastAsia" w:ascii="仿宋_GB2312" w:eastAsia="仿宋_GB2312"/>
          <w:color w:val="000000"/>
          <w:sz w:val="28"/>
          <w:szCs w:val="28"/>
        </w:rPr>
        <w:t>室内装饰装修用溶剂型醇酸木器涂料</w:t>
      </w:r>
      <w:r>
        <w:rPr>
          <w:rFonts w:hint="eastAsia" w:ascii="仿宋_GB2312" w:eastAsia="仿宋_GB2312"/>
          <w:color w:val="000000"/>
          <w:sz w:val="28"/>
          <w:szCs w:val="28"/>
        </w:rPr>
        <w:fldChar w:fldCharType="end"/>
      </w:r>
    </w:p>
    <w:p>
      <w:pPr>
        <w:adjustRightInd w:val="0"/>
        <w:snapToGrid w:val="0"/>
        <w:spacing w:line="560" w:lineRule="exact"/>
        <w:ind w:firstLine="560" w:firstLineChars="200"/>
        <w:rPr>
          <w:rFonts w:ascii="仿宋_GB2312" w:eastAsia="仿宋_GB2312"/>
          <w:color w:val="auto"/>
          <w:sz w:val="28"/>
          <w:szCs w:val="28"/>
        </w:rPr>
      </w:pPr>
      <w:r>
        <w:rPr>
          <w:rFonts w:hint="eastAsia" w:ascii="仿宋_GB2312" w:eastAsia="仿宋_GB2312"/>
          <w:color w:val="000000"/>
          <w:sz w:val="28"/>
          <w:szCs w:val="28"/>
        </w:rPr>
        <w:t>GB</w:t>
      </w:r>
      <w:r>
        <w:rPr>
          <w:rFonts w:hint="eastAsia" w:ascii="仿宋_GB2312" w:eastAsia="仿宋_GB2312"/>
          <w:color w:val="auto"/>
          <w:sz w:val="28"/>
          <w:szCs w:val="28"/>
        </w:rPr>
        <w:t xml:space="preserve">/T 25251-2010  </w:t>
      </w:r>
      <w:r>
        <w:rPr>
          <w:rFonts w:hint="eastAsia" w:ascii="仿宋_GB2312" w:eastAsia="仿宋_GB2312"/>
          <w:color w:val="auto"/>
          <w:sz w:val="28"/>
          <w:szCs w:val="28"/>
        </w:rPr>
        <w:fldChar w:fldCharType="begin"/>
      </w:r>
      <w:r>
        <w:rPr>
          <w:rFonts w:hint="eastAsia" w:ascii="仿宋_GB2312" w:eastAsia="仿宋_GB2312"/>
          <w:color w:val="auto"/>
          <w:sz w:val="28"/>
          <w:szCs w:val="28"/>
        </w:rPr>
        <w:instrText xml:space="preserve"> HYPERLINK "http://std.samr.gov.cn/gb/search/gbDetailed?id=71F772D7D87DD3A7E05397BE0A0AB82A" \t "_blank" </w:instrText>
      </w:r>
      <w:r>
        <w:rPr>
          <w:rFonts w:hint="eastAsia" w:ascii="仿宋_GB2312" w:eastAsia="仿宋_GB2312"/>
          <w:color w:val="auto"/>
          <w:sz w:val="28"/>
          <w:szCs w:val="28"/>
        </w:rPr>
        <w:fldChar w:fldCharType="separate"/>
      </w:r>
      <w:r>
        <w:rPr>
          <w:rFonts w:hint="eastAsia" w:ascii="仿宋_GB2312" w:eastAsia="仿宋_GB2312"/>
          <w:color w:val="auto"/>
          <w:sz w:val="28"/>
          <w:szCs w:val="28"/>
        </w:rPr>
        <w:t>醇酸树脂涂料</w:t>
      </w:r>
      <w:r>
        <w:rPr>
          <w:rFonts w:hint="eastAsia" w:ascii="仿宋_GB2312" w:eastAsia="仿宋_GB2312"/>
          <w:color w:val="auto"/>
          <w:sz w:val="28"/>
          <w:szCs w:val="28"/>
        </w:rPr>
        <w:fldChar w:fldCharType="end"/>
      </w:r>
    </w:p>
    <w:p>
      <w:pPr>
        <w:adjustRightInd w:val="0"/>
        <w:snapToGrid w:val="0"/>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GB/T </w:t>
      </w:r>
      <w:r>
        <w:rPr>
          <w:rFonts w:ascii="仿宋_GB2312" w:eastAsia="仿宋_GB2312"/>
          <w:color w:val="auto"/>
          <w:sz w:val="28"/>
          <w:szCs w:val="28"/>
        </w:rPr>
        <w:t>23999</w:t>
      </w:r>
      <w:r>
        <w:rPr>
          <w:rFonts w:hint="eastAsia" w:ascii="仿宋_GB2312" w:eastAsia="仿宋_GB2312"/>
          <w:color w:val="auto"/>
          <w:sz w:val="28"/>
          <w:szCs w:val="28"/>
        </w:rPr>
        <w:t>-20</w:t>
      </w:r>
      <w:r>
        <w:rPr>
          <w:rFonts w:ascii="仿宋_GB2312" w:eastAsia="仿宋_GB2312"/>
          <w:color w:val="auto"/>
          <w:sz w:val="28"/>
          <w:szCs w:val="28"/>
        </w:rPr>
        <w:t xml:space="preserve">09 </w:t>
      </w:r>
      <w:r>
        <w:rPr>
          <w:rFonts w:hint="eastAsia" w:ascii="仿宋_GB2312" w:eastAsia="仿宋_GB2312"/>
          <w:color w:val="auto"/>
          <w:sz w:val="28"/>
          <w:szCs w:val="28"/>
        </w:rPr>
        <w:fldChar w:fldCharType="begin"/>
      </w:r>
      <w:r>
        <w:rPr>
          <w:rFonts w:hint="eastAsia" w:ascii="仿宋_GB2312" w:eastAsia="仿宋_GB2312"/>
          <w:color w:val="auto"/>
          <w:sz w:val="28"/>
          <w:szCs w:val="28"/>
        </w:rPr>
        <w:instrText xml:space="preserve"> HYPERLINK "http://std.samr.gov.cn/gb/search/gbDetailed?id=71F772D7CE80D3A7E05397BE0A0AB82A" \t "_blank" </w:instrText>
      </w:r>
      <w:r>
        <w:rPr>
          <w:rFonts w:hint="eastAsia" w:ascii="仿宋_GB2312" w:eastAsia="仿宋_GB2312"/>
          <w:color w:val="auto"/>
          <w:sz w:val="28"/>
          <w:szCs w:val="28"/>
        </w:rPr>
        <w:fldChar w:fldCharType="separate"/>
      </w:r>
      <w:r>
        <w:rPr>
          <w:rFonts w:hint="eastAsia" w:ascii="仿宋_GB2312" w:eastAsia="仿宋_GB2312"/>
          <w:color w:val="auto"/>
          <w:sz w:val="28"/>
          <w:szCs w:val="28"/>
        </w:rPr>
        <w:t>室内装饰装修用水性木器涂料</w:t>
      </w:r>
      <w:r>
        <w:rPr>
          <w:rFonts w:hint="eastAsia" w:ascii="仿宋_GB2312" w:eastAsia="仿宋_GB2312"/>
          <w:color w:val="auto"/>
          <w:sz w:val="28"/>
          <w:szCs w:val="28"/>
        </w:rPr>
        <w:fldChar w:fldCharType="end"/>
      </w:r>
    </w:p>
    <w:p>
      <w:pPr>
        <w:adjustRightInd w:val="0"/>
        <w:snapToGrid w:val="0"/>
        <w:spacing w:line="560" w:lineRule="exact"/>
        <w:ind w:firstLine="560" w:firstLineChars="200"/>
        <w:jc w:val="left"/>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GB/T</w:t>
      </w:r>
      <w:r>
        <w:rPr>
          <w:rFonts w:ascii="仿宋_GB2312" w:hAnsi="方正仿宋_GBK" w:eastAsia="仿宋_GB2312" w:cs="方正仿宋_GBK"/>
          <w:sz w:val="28"/>
          <w:szCs w:val="28"/>
        </w:rPr>
        <w:t xml:space="preserve"> </w:t>
      </w:r>
      <w:r>
        <w:rPr>
          <w:rFonts w:hint="eastAsia" w:ascii="仿宋_GB2312" w:hAnsi="方正仿宋_GBK" w:eastAsia="仿宋_GB2312" w:cs="方正仿宋_GBK"/>
          <w:sz w:val="28"/>
          <w:szCs w:val="28"/>
        </w:rPr>
        <w:t>9755-2014 合成树脂乳液外墙涂料</w:t>
      </w:r>
    </w:p>
    <w:p>
      <w:pPr>
        <w:adjustRightInd w:val="0"/>
        <w:snapToGrid w:val="0"/>
        <w:spacing w:line="560" w:lineRule="exact"/>
        <w:ind w:firstLine="560" w:firstLineChars="200"/>
        <w:rPr>
          <w:rFonts w:hint="eastAsia" w:ascii="仿宋_GB2312" w:hAnsi="方正仿宋_GBK" w:eastAsia="仿宋_GB2312" w:cs="方正仿宋_GBK"/>
          <w:sz w:val="28"/>
          <w:szCs w:val="28"/>
        </w:rPr>
      </w:pPr>
      <w:r>
        <w:rPr>
          <w:rFonts w:ascii="仿宋_GB2312" w:hAnsi="方正仿宋_GBK" w:eastAsia="仿宋_GB2312" w:cs="方正仿宋_GBK"/>
          <w:sz w:val="28"/>
          <w:szCs w:val="28"/>
        </w:rPr>
        <w:t>JG/T 210-2018</w:t>
      </w:r>
      <w:r>
        <w:rPr>
          <w:rFonts w:hint="eastAsia" w:ascii="仿宋_GB2312" w:hAnsi="方正仿宋_GBK" w:eastAsia="仿宋_GB2312" w:cs="方正仿宋_GBK"/>
          <w:sz w:val="28"/>
          <w:szCs w:val="28"/>
        </w:rPr>
        <w:t xml:space="preserve"> 建筑内外墙用底漆</w:t>
      </w:r>
    </w:p>
    <w:p>
      <w:pPr>
        <w:adjustRightInd w:val="0"/>
        <w:snapToGrid w:val="0"/>
        <w:spacing w:line="560" w:lineRule="exact"/>
        <w:ind w:firstLine="560" w:firstLineChars="200"/>
        <w:rPr>
          <w:rFonts w:hint="eastAsia" w:ascii="仿宋_GB2312" w:hAnsi="方正仿宋_GBK" w:eastAsia="仿宋_GB2312" w:cs="方正仿宋_GBK"/>
          <w:sz w:val="28"/>
          <w:szCs w:val="28"/>
        </w:rPr>
      </w:pPr>
      <w:r>
        <w:rPr>
          <w:rFonts w:ascii="仿宋_GB2312" w:hAnsi="方正仿宋_GBK" w:eastAsia="仿宋_GB2312" w:cs="方正仿宋_GBK"/>
          <w:sz w:val="28"/>
          <w:szCs w:val="28"/>
        </w:rPr>
        <w:t>JG/T 172-2014</w:t>
      </w:r>
      <w:r>
        <w:rPr>
          <w:rFonts w:hint="eastAsia" w:ascii="仿宋_GB2312" w:hAnsi="方正仿宋_GBK" w:eastAsia="仿宋_GB2312" w:cs="方正仿宋_GBK"/>
          <w:sz w:val="28"/>
          <w:szCs w:val="28"/>
        </w:rPr>
        <w:t xml:space="preserve"> 弹性建筑涂料</w:t>
      </w:r>
    </w:p>
    <w:p>
      <w:pPr>
        <w:adjustRightInd w:val="0"/>
        <w:snapToGrid w:val="0"/>
        <w:spacing w:line="560" w:lineRule="exact"/>
        <w:ind w:firstLine="560" w:firstLineChars="200"/>
        <w:rPr>
          <w:rFonts w:ascii="仿宋_GB2312" w:hAnsi="方正仿宋_GBK" w:eastAsia="仿宋_GB2312" w:cs="方正仿宋_GBK"/>
          <w:sz w:val="28"/>
          <w:szCs w:val="28"/>
          <w:highlight w:val="yellow"/>
        </w:rPr>
      </w:pPr>
      <w:r>
        <w:rPr>
          <w:rFonts w:hint="eastAsia" w:ascii="仿宋_GB2312" w:hAnsi="方正仿宋_GBK" w:eastAsia="仿宋_GB2312" w:cs="方正仿宋_GBK"/>
          <w:sz w:val="28"/>
          <w:szCs w:val="28"/>
        </w:rPr>
        <w:t>JG/T</w:t>
      </w:r>
      <w:r>
        <w:rPr>
          <w:rFonts w:ascii="仿宋_GB2312" w:hAnsi="方正仿宋_GBK" w:eastAsia="仿宋_GB2312" w:cs="方正仿宋_GBK"/>
          <w:sz w:val="28"/>
          <w:szCs w:val="28"/>
        </w:rPr>
        <w:t xml:space="preserve"> </w:t>
      </w:r>
      <w:r>
        <w:rPr>
          <w:rFonts w:hint="eastAsia" w:ascii="仿宋_GB2312" w:hAnsi="方正仿宋_GBK" w:eastAsia="仿宋_GB2312" w:cs="方正仿宋_GBK"/>
          <w:sz w:val="28"/>
          <w:szCs w:val="28"/>
        </w:rPr>
        <w:t>24-2018 合成树脂乳液沙壁状建筑涂料</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现行有效的企业标准、团体标准、地方标准及产品明示质量要求</w:t>
      </w:r>
    </w:p>
    <w:p>
      <w:pPr>
        <w:snapToGrid w:val="0"/>
        <w:spacing w:line="560" w:lineRule="exact"/>
        <w:ind w:firstLine="562" w:firstLineChars="200"/>
        <w:rPr>
          <w:rFonts w:ascii="楷体_GB2312" w:eastAsia="楷体_GB2312"/>
          <w:b/>
          <w:color w:val="000000"/>
          <w:sz w:val="28"/>
          <w:szCs w:val="28"/>
        </w:rPr>
      </w:pPr>
      <w:r>
        <w:rPr>
          <w:rFonts w:ascii="楷体_GB2312" w:eastAsia="楷体_GB2312"/>
          <w:b/>
          <w:color w:val="000000"/>
          <w:sz w:val="28"/>
          <w:szCs w:val="28"/>
        </w:rPr>
        <w:t>3.2判定原则</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若被检产品明示的质量要求高于本细则中检验项目依据的标准要求时，应按被检产品明示的质量要求判定。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若被检产品明示的质量要求低于本细则中检验项目依据的强制性标准要求时，应按照强制性标准要求判定。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若被检产品明示的质量要求低于或包含本细则中检验项目依据的推荐性标准要求时，应以被检产品明示的质量要求判定。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若被检产品明示的质量要求缺少本细则中检验项目依据的强制性标准要求时，应按照强制性标准要求判定。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rPr>
        <w:lang/>
      </w:rP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ZDc0ZTgwYzc2MWZiYWQ3NjlmNTQ5NGE2OTBjNzMifQ=="/>
  </w:docVars>
  <w:rsids>
    <w:rsidRoot w:val="00172A27"/>
    <w:rsid w:val="000112F8"/>
    <w:rsid w:val="000348D0"/>
    <w:rsid w:val="00051A44"/>
    <w:rsid w:val="00073DE5"/>
    <w:rsid w:val="00081CBD"/>
    <w:rsid w:val="000976DE"/>
    <w:rsid w:val="000B2E51"/>
    <w:rsid w:val="000D314C"/>
    <w:rsid w:val="00103FE0"/>
    <w:rsid w:val="00161B50"/>
    <w:rsid w:val="001809DD"/>
    <w:rsid w:val="0019136D"/>
    <w:rsid w:val="001D1BF7"/>
    <w:rsid w:val="002059AC"/>
    <w:rsid w:val="00232530"/>
    <w:rsid w:val="00253624"/>
    <w:rsid w:val="002D6ED9"/>
    <w:rsid w:val="002D7F8A"/>
    <w:rsid w:val="002E0D1D"/>
    <w:rsid w:val="002E18CE"/>
    <w:rsid w:val="00306A41"/>
    <w:rsid w:val="003144AD"/>
    <w:rsid w:val="003203A3"/>
    <w:rsid w:val="00336201"/>
    <w:rsid w:val="00343554"/>
    <w:rsid w:val="00350533"/>
    <w:rsid w:val="00361B41"/>
    <w:rsid w:val="00370121"/>
    <w:rsid w:val="00392D5E"/>
    <w:rsid w:val="003B44E8"/>
    <w:rsid w:val="003C388C"/>
    <w:rsid w:val="003E61BF"/>
    <w:rsid w:val="00423C4A"/>
    <w:rsid w:val="004251CF"/>
    <w:rsid w:val="00445E86"/>
    <w:rsid w:val="00457A11"/>
    <w:rsid w:val="00474E04"/>
    <w:rsid w:val="004970A5"/>
    <w:rsid w:val="004B1784"/>
    <w:rsid w:val="004D0C5A"/>
    <w:rsid w:val="004E1396"/>
    <w:rsid w:val="004E556C"/>
    <w:rsid w:val="004F1D3A"/>
    <w:rsid w:val="005063AB"/>
    <w:rsid w:val="00510A99"/>
    <w:rsid w:val="0054495E"/>
    <w:rsid w:val="00551C16"/>
    <w:rsid w:val="00563EBC"/>
    <w:rsid w:val="005746EE"/>
    <w:rsid w:val="00586200"/>
    <w:rsid w:val="005C233B"/>
    <w:rsid w:val="006145B2"/>
    <w:rsid w:val="0063027D"/>
    <w:rsid w:val="006729A9"/>
    <w:rsid w:val="006736E8"/>
    <w:rsid w:val="00677B49"/>
    <w:rsid w:val="006928ED"/>
    <w:rsid w:val="006D47EB"/>
    <w:rsid w:val="006E1171"/>
    <w:rsid w:val="006F0971"/>
    <w:rsid w:val="007041D3"/>
    <w:rsid w:val="0072334C"/>
    <w:rsid w:val="00742049"/>
    <w:rsid w:val="00756C1D"/>
    <w:rsid w:val="007C74E3"/>
    <w:rsid w:val="007E3848"/>
    <w:rsid w:val="007E7B45"/>
    <w:rsid w:val="007F78DB"/>
    <w:rsid w:val="0080068A"/>
    <w:rsid w:val="008517EB"/>
    <w:rsid w:val="00895BEA"/>
    <w:rsid w:val="008A3497"/>
    <w:rsid w:val="008A494F"/>
    <w:rsid w:val="008B5097"/>
    <w:rsid w:val="00903669"/>
    <w:rsid w:val="00917A54"/>
    <w:rsid w:val="00937E4B"/>
    <w:rsid w:val="00986112"/>
    <w:rsid w:val="009A50A0"/>
    <w:rsid w:val="009A5423"/>
    <w:rsid w:val="00A43553"/>
    <w:rsid w:val="00A43771"/>
    <w:rsid w:val="00A605C6"/>
    <w:rsid w:val="00A6696E"/>
    <w:rsid w:val="00A73B47"/>
    <w:rsid w:val="00AC5391"/>
    <w:rsid w:val="00AF7551"/>
    <w:rsid w:val="00AF7922"/>
    <w:rsid w:val="00B2401B"/>
    <w:rsid w:val="00B26C94"/>
    <w:rsid w:val="00B44252"/>
    <w:rsid w:val="00B969D9"/>
    <w:rsid w:val="00BB0225"/>
    <w:rsid w:val="00BB24DE"/>
    <w:rsid w:val="00BC768D"/>
    <w:rsid w:val="00BF2B8C"/>
    <w:rsid w:val="00BF6E59"/>
    <w:rsid w:val="00C26074"/>
    <w:rsid w:val="00C317FF"/>
    <w:rsid w:val="00C43B29"/>
    <w:rsid w:val="00C83B0A"/>
    <w:rsid w:val="00CE1E0C"/>
    <w:rsid w:val="00CE277E"/>
    <w:rsid w:val="00CF231D"/>
    <w:rsid w:val="00D32B3B"/>
    <w:rsid w:val="00D430A8"/>
    <w:rsid w:val="00D56867"/>
    <w:rsid w:val="00DB782F"/>
    <w:rsid w:val="00E02A7F"/>
    <w:rsid w:val="00E07880"/>
    <w:rsid w:val="00E3024E"/>
    <w:rsid w:val="00E379DC"/>
    <w:rsid w:val="00E64246"/>
    <w:rsid w:val="00E82621"/>
    <w:rsid w:val="00EC0F9E"/>
    <w:rsid w:val="00EC7D12"/>
    <w:rsid w:val="00F30463"/>
    <w:rsid w:val="00F37F9F"/>
    <w:rsid w:val="00F5697F"/>
    <w:rsid w:val="00F77C9A"/>
    <w:rsid w:val="00F86433"/>
    <w:rsid w:val="00FB576C"/>
    <w:rsid w:val="00FC0B8E"/>
    <w:rsid w:val="00FD2AA6"/>
    <w:rsid w:val="00FE7E8A"/>
    <w:rsid w:val="07524FD1"/>
    <w:rsid w:val="079F5728"/>
    <w:rsid w:val="117F5DE8"/>
    <w:rsid w:val="16E80FF0"/>
    <w:rsid w:val="1AEC6252"/>
    <w:rsid w:val="1DE83302"/>
    <w:rsid w:val="28183B23"/>
    <w:rsid w:val="2D8567C4"/>
    <w:rsid w:val="33564AAB"/>
    <w:rsid w:val="3DA31891"/>
    <w:rsid w:val="3E7003FD"/>
    <w:rsid w:val="42B72F2B"/>
    <w:rsid w:val="480E3634"/>
    <w:rsid w:val="52251866"/>
    <w:rsid w:val="58DC169D"/>
    <w:rsid w:val="59602AF9"/>
    <w:rsid w:val="5BC17B11"/>
    <w:rsid w:val="5F6A79C9"/>
    <w:rsid w:val="61AD685C"/>
    <w:rsid w:val="670A25A9"/>
    <w:rsid w:val="6B6A6207"/>
    <w:rsid w:val="730E615F"/>
    <w:rsid w:val="7A18085E"/>
    <w:rsid w:val="7C5621C6"/>
    <w:rsid w:val="7D6F5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6">
    <w:name w:val="Normal Table"/>
    <w:unhideWhenUsed/>
    <w:uiPriority w:val="99"/>
    <w:tblPr>
      <w:tblStyle w:val="6"/>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Balloon Text"/>
    <w:basedOn w:val="1"/>
    <w:link w:val="9"/>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page number"/>
    <w:uiPriority w:val="0"/>
  </w:style>
  <w:style w:type="character" w:customStyle="1" w:styleId="9">
    <w:name w:val="批注框文本 字符"/>
    <w:link w:val="3"/>
    <w:semiHidden/>
    <w:uiPriority w:val="99"/>
    <w:rPr>
      <w:kern w:val="2"/>
      <w:sz w:val="18"/>
      <w:szCs w:val="18"/>
    </w:rPr>
  </w:style>
  <w:style w:type="character" w:customStyle="1" w:styleId="10">
    <w:name w:val="页脚 字符"/>
    <w:link w:val="4"/>
    <w:uiPriority w:val="99"/>
    <w:rPr>
      <w:kern w:val="2"/>
      <w:sz w:val="18"/>
      <w:szCs w:val="18"/>
    </w:rPr>
  </w:style>
  <w:style w:type="character" w:customStyle="1" w:styleId="11">
    <w:name w:val="页眉 字符"/>
    <w:link w:val="5"/>
    <w:semiHidden/>
    <w:uiPriority w:val="99"/>
    <w:rPr>
      <w:kern w:val="2"/>
      <w:sz w:val="18"/>
      <w:szCs w:val="18"/>
    </w:rPr>
  </w:style>
  <w:style w:type="paragraph" w:styleId="12">
    <w:name w:val=""/>
    <w:semiHidden/>
    <w:uiPriority w:val="99"/>
    <w:rPr>
      <w:kern w:val="2"/>
      <w:sz w:val="21"/>
      <w:szCs w:val="24"/>
      <w:lang w:val="en-US" w:eastAsia="zh-CN" w:bidi="ar-SA"/>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928</Words>
  <Characters>1168</Characters>
  <Lines>8</Lines>
  <Paragraphs>2</Paragraphs>
  <TotalTime>8</TotalTime>
  <ScaleCrop>false</ScaleCrop>
  <LinksUpToDate>false</LinksUpToDate>
  <CharactersWithSpaces>1193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2020-09-06T03:23:00Z</dcterms:created>
  <dc:creator>Legend User</dc:creator>
  <cp:lastModifiedBy>郝好</cp:lastModifiedBy>
  <cp:lastPrinted>2019-12-05T07:53:00Z</cp:lastPrinted>
  <dcterms:modified xsi:type="dcterms:W3CDTF">2023-11-01T09:59:29Z</dcterms:modified>
  <dc:title>××产品质量监督抽查实施细则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3497B4E7986F45498E6845EE9DAFEC64_13</vt:lpwstr>
  </property>
</Properties>
</file>