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hint="eastAsia" w:ascii="方正小标宋简体" w:hAnsi="方正小标宋简体" w:eastAsia="方正小标宋简体" w:cs="方正小标宋简体"/>
          <w:bCs/>
          <w:color w:val="000000"/>
          <w:sz w:val="32"/>
          <w:szCs w:val="32"/>
          <w:lang w:val="en-US" w:eastAsia="zh-CN"/>
        </w:rPr>
      </w:pPr>
      <w:r>
        <w:rPr>
          <w:rFonts w:hint="eastAsia" w:ascii="方正小标宋简体" w:hAnsi="方正小标宋简体" w:eastAsia="方正小标宋简体" w:cs="方正小标宋简体"/>
          <w:bCs/>
          <w:color w:val="000000"/>
          <w:sz w:val="32"/>
          <w:szCs w:val="32"/>
          <w:lang w:val="en-US" w:eastAsia="zh-CN"/>
        </w:rPr>
        <w:t>无规共</w:t>
      </w:r>
      <w:r>
        <w:rPr>
          <w:rFonts w:hint="eastAsia" w:ascii="方正小标宋简体" w:hAnsi="方正小标宋简体" w:eastAsia="方正小标宋简体" w:cs="方正小标宋简体"/>
          <w:bCs/>
          <w:color w:val="000000"/>
          <w:sz w:val="32"/>
          <w:szCs w:val="32"/>
          <w:lang w:val="en-US" w:eastAsia="zh-CN"/>
        </w:rPr>
        <w:t>聚聚丙烯（PP-R）管材产品质量</w:t>
      </w:r>
    </w:p>
    <w:p>
      <w:pPr>
        <w:snapToGrid w:val="0"/>
        <w:spacing w:line="600" w:lineRule="exact"/>
        <w:jc w:val="center"/>
        <w:rPr>
          <w:rFonts w:hint="eastAsia" w:ascii="方正小标宋简体" w:hAnsi="方正小标宋简体" w:eastAsia="方正小标宋简体" w:cs="方正小标宋简体"/>
          <w:bCs/>
          <w:color w:val="000000"/>
          <w:sz w:val="32"/>
          <w:szCs w:val="32"/>
          <w:lang w:val="en-US" w:eastAsia="zh-CN"/>
        </w:rPr>
      </w:pPr>
      <w:r>
        <w:rPr>
          <w:rFonts w:hint="eastAsia" w:ascii="方正小标宋简体" w:hAnsi="方正小标宋简体" w:eastAsia="方正小标宋简体" w:cs="方正小标宋简体"/>
          <w:bCs/>
          <w:color w:val="000000"/>
          <w:sz w:val="32"/>
          <w:szCs w:val="32"/>
          <w:lang w:val="en-US" w:eastAsia="zh-CN"/>
        </w:rPr>
        <w:t>滑县监督抽查实施细则</w:t>
      </w:r>
    </w:p>
    <w:p>
      <w:pPr>
        <w:snapToGrid w:val="0"/>
        <w:spacing w:line="560" w:lineRule="exact"/>
        <w:jc w:val="center"/>
        <w:rPr>
          <w:rFonts w:hint="eastAsia" w:ascii="方正小标宋简体" w:hAnsi="方正小标宋简体" w:eastAsia="方正小标宋简体" w:cs="方正小标宋简体"/>
          <w:color w:val="000000"/>
          <w:sz w:val="44"/>
          <w:szCs w:val="44"/>
        </w:rPr>
      </w:pPr>
    </w:p>
    <w:p>
      <w:pPr>
        <w:spacing w:line="560" w:lineRule="exact"/>
        <w:ind w:firstLine="560" w:firstLineChars="200"/>
        <w:rPr>
          <w:rFonts w:hint="eastAsia" w:ascii="仿宋_GB2312" w:hAnsi="方正仿宋_GBK" w:eastAsia="仿宋_GB2312" w:cs="方正仿宋_GBK"/>
          <w:sz w:val="28"/>
          <w:szCs w:val="28"/>
        </w:rPr>
      </w:pPr>
      <w:r>
        <w:rPr>
          <w:rFonts w:hint="eastAsia" w:ascii="仿宋_GB2312" w:hAnsi="方正仿宋_GBK" w:eastAsia="仿宋_GB2312" w:cs="方正仿宋_GBK"/>
          <w:sz w:val="28"/>
          <w:szCs w:val="28"/>
        </w:rPr>
        <w:t>本细则适用</w:t>
      </w:r>
      <w:r>
        <w:rPr>
          <w:rFonts w:hint="eastAsia" w:ascii="仿宋_GB2312" w:hAnsi="方正仿宋_GBK" w:eastAsia="仿宋_GB2312" w:cs="方正仿宋_GBK"/>
          <w:sz w:val="28"/>
          <w:szCs w:val="28"/>
          <w:lang w:val="en-US" w:eastAsia="zh-CN"/>
        </w:rPr>
        <w:t>滑县</w:t>
      </w:r>
      <w:r>
        <w:rPr>
          <w:rFonts w:hint="eastAsia" w:ascii="仿宋_GB2312" w:hAnsi="方正仿宋_GBK" w:eastAsia="仿宋_GB2312" w:cs="方正仿宋_GBK"/>
          <w:sz w:val="28"/>
          <w:szCs w:val="28"/>
        </w:rPr>
        <w:t>市场监督管理局组织的</w:t>
      </w:r>
      <w:r>
        <w:rPr>
          <w:rFonts w:hint="eastAsia" w:ascii="仿宋_GB2312" w:hAnsi="方正仿宋_GBK" w:eastAsia="仿宋_GB2312" w:cs="方正仿宋_GBK"/>
          <w:sz w:val="28"/>
          <w:szCs w:val="28"/>
          <w:lang w:val="en-US" w:eastAsia="zh-CN"/>
        </w:rPr>
        <w:t>无规共聚聚丙烯（PP-R）管材</w:t>
      </w:r>
      <w:r>
        <w:rPr>
          <w:rFonts w:hint="eastAsia" w:ascii="仿宋_GB2312" w:hAnsi="方正仿宋_GBK" w:eastAsia="仿宋_GB2312" w:cs="方正仿宋_GBK"/>
          <w:sz w:val="28"/>
          <w:szCs w:val="28"/>
        </w:rPr>
        <w:t>产品质量监督抽查。本细则规定了此产品的抽样方法、检验依据、检验项目、检验方法、判定规则等。</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560" w:firstLineChars="200"/>
        <w:textAlignment w:val="auto"/>
        <w:rPr>
          <w:rFonts w:hint="eastAsia" w:ascii="黑体" w:hAnsi="黑体" w:eastAsia="黑体"/>
          <w:color w:val="000000"/>
          <w:sz w:val="28"/>
          <w:szCs w:val="28"/>
        </w:rPr>
      </w:pPr>
      <w:r>
        <w:rPr>
          <w:rFonts w:hint="eastAsia" w:ascii="黑体" w:hAnsi="黑体" w:eastAsia="黑体"/>
          <w:color w:val="000000"/>
          <w:sz w:val="28"/>
          <w:szCs w:val="28"/>
        </w:rPr>
        <w:t>1</w:t>
      </w:r>
      <w:r>
        <w:rPr>
          <w:rFonts w:hint="eastAsia" w:ascii="黑体" w:hAnsi="黑体" w:eastAsia="黑体"/>
          <w:color w:val="000000"/>
          <w:sz w:val="28"/>
          <w:szCs w:val="28"/>
          <w:lang w:val="en-US" w:eastAsia="zh-CN"/>
        </w:rPr>
        <w:t xml:space="preserve"> </w:t>
      </w:r>
      <w:r>
        <w:rPr>
          <w:rFonts w:hint="eastAsia" w:ascii="黑体" w:hAnsi="黑体" w:eastAsia="黑体"/>
          <w:color w:val="000000"/>
          <w:sz w:val="28"/>
          <w:szCs w:val="28"/>
        </w:rPr>
        <w:t>抽样方法</w:t>
      </w:r>
    </w:p>
    <w:p>
      <w:pPr>
        <w:spacing w:line="560" w:lineRule="exact"/>
        <w:ind w:firstLine="560" w:firstLineChars="200"/>
        <w:rPr>
          <w:rFonts w:hint="eastAsia" w:ascii="仿宋_GB2312" w:hAnsi="方正仿宋_GBK" w:eastAsia="仿宋_GB2312" w:cs="方正仿宋_GBK"/>
          <w:sz w:val="28"/>
          <w:szCs w:val="28"/>
        </w:rPr>
      </w:pPr>
      <w:r>
        <w:rPr>
          <w:rFonts w:hint="eastAsia" w:ascii="仿宋_GB2312" w:hAnsi="方正仿宋_GBK" w:eastAsia="仿宋_GB2312" w:cs="方正仿宋_GBK"/>
          <w:sz w:val="28"/>
          <w:szCs w:val="28"/>
        </w:rPr>
        <w:t>以随机抽样的方式在被抽样生产者、销售者的待销产品中抽取。</w:t>
      </w:r>
    </w:p>
    <w:p>
      <w:pPr>
        <w:spacing w:line="560" w:lineRule="exact"/>
        <w:ind w:firstLine="560" w:firstLineChars="200"/>
        <w:rPr>
          <w:rFonts w:hint="eastAsia" w:ascii="仿宋_GB2312" w:hAnsi="方正仿宋_GBK" w:eastAsia="仿宋_GB2312" w:cs="方正仿宋_GBK"/>
          <w:sz w:val="28"/>
          <w:szCs w:val="28"/>
        </w:rPr>
      </w:pPr>
      <w:r>
        <w:rPr>
          <w:rFonts w:hint="eastAsia" w:ascii="仿宋_GB2312" w:hAnsi="方正仿宋_GBK" w:eastAsia="仿宋_GB2312" w:cs="方正仿宋_GBK"/>
          <w:sz w:val="28"/>
          <w:szCs w:val="28"/>
        </w:rPr>
        <w:t>随机数一般可使用随机数表等方法产生。</w:t>
      </w:r>
    </w:p>
    <w:p>
      <w:pPr>
        <w:spacing w:line="560" w:lineRule="exact"/>
        <w:ind w:firstLine="560" w:firstLineChars="200"/>
        <w:rPr>
          <w:rFonts w:hint="eastAsia" w:ascii="仿宋_GB2312" w:hAnsi="方正仿宋_GBK" w:eastAsia="仿宋_GB2312" w:cs="方正仿宋_GBK"/>
          <w:sz w:val="28"/>
          <w:szCs w:val="28"/>
        </w:rPr>
      </w:pPr>
      <w:r>
        <w:rPr>
          <w:rFonts w:hint="eastAsia" w:ascii="仿宋_GB2312" w:hAnsi="方正仿宋_GBK" w:eastAsia="仿宋_GB2312" w:cs="方正仿宋_GBK"/>
          <w:sz w:val="28"/>
          <w:szCs w:val="28"/>
        </w:rPr>
        <w:t>在同一批次产品抽取8根管材，每根截取4段，每段1m，其中2段作为检验样品，2段作为备用样品。如每根管材的长度不足4m，可以增加抽取管材根数，保证截取段数满足上述要求。</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560" w:firstLineChars="200"/>
        <w:textAlignment w:val="auto"/>
        <w:rPr>
          <w:rFonts w:hint="eastAsia" w:ascii="黑体" w:hAnsi="黑体" w:eastAsia="黑体"/>
          <w:color w:val="000000"/>
          <w:sz w:val="28"/>
          <w:szCs w:val="28"/>
        </w:rPr>
      </w:pPr>
      <w:r>
        <w:rPr>
          <w:rFonts w:ascii="黑体" w:hAnsi="黑体" w:eastAsia="黑体"/>
          <w:color w:val="000000"/>
          <w:sz w:val="28"/>
          <w:szCs w:val="28"/>
        </w:rPr>
        <w:t>2</w:t>
      </w:r>
      <w:r>
        <w:rPr>
          <w:rFonts w:hint="eastAsia" w:ascii="黑体" w:hAnsi="黑体" w:eastAsia="黑体"/>
          <w:color w:val="000000"/>
          <w:sz w:val="28"/>
          <w:szCs w:val="28"/>
          <w:lang w:val="en-US" w:eastAsia="zh-CN"/>
        </w:rPr>
        <w:t xml:space="preserve"> </w:t>
      </w:r>
      <w:r>
        <w:rPr>
          <w:rFonts w:hint="eastAsia" w:ascii="黑体" w:hAnsi="黑体" w:eastAsia="黑体"/>
          <w:color w:val="000000"/>
          <w:sz w:val="28"/>
          <w:szCs w:val="28"/>
        </w:rPr>
        <w:t>检验</w:t>
      </w:r>
      <w:r>
        <w:rPr>
          <w:rFonts w:hint="eastAsia" w:ascii="黑体" w:hAnsi="黑体" w:eastAsia="黑体" w:cs="Times New Roman"/>
          <w:color w:val="000000"/>
          <w:sz w:val="28"/>
          <w:szCs w:val="28"/>
        </w:rPr>
        <w:t>依据</w:t>
      </w:r>
    </w:p>
    <w:tbl>
      <w:tblPr>
        <w:tblStyle w:val="13"/>
        <w:tblpPr w:leftFromText="180" w:rightFromText="180" w:vertAnchor="text" w:horzAnchor="page" w:tblpX="1473" w:tblpY="418"/>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2"/>
        <w:gridCol w:w="4045"/>
        <w:gridCol w:w="35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 w:type="pct"/>
            <w:noWrap w:val="0"/>
            <w:vAlign w:val="center"/>
          </w:tcPr>
          <w:p>
            <w:pPr>
              <w:snapToGrid w:val="0"/>
              <w:spacing w:line="440" w:lineRule="exact"/>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序号</w:t>
            </w:r>
          </w:p>
        </w:tc>
        <w:tc>
          <w:tcPr>
            <w:tcW w:w="2204" w:type="pct"/>
            <w:noWrap w:val="0"/>
            <w:vAlign w:val="center"/>
          </w:tcPr>
          <w:p>
            <w:pPr>
              <w:snapToGrid w:val="0"/>
              <w:spacing w:line="440" w:lineRule="exact"/>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检验项目</w:t>
            </w:r>
          </w:p>
        </w:tc>
        <w:tc>
          <w:tcPr>
            <w:tcW w:w="1922" w:type="pct"/>
            <w:noWrap w:val="0"/>
            <w:vAlign w:val="center"/>
          </w:tcPr>
          <w:p>
            <w:pPr>
              <w:snapToGrid w:val="0"/>
              <w:spacing w:line="440" w:lineRule="exact"/>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 w:type="pct"/>
            <w:noWrap w:val="0"/>
            <w:vAlign w:val="center"/>
          </w:tcPr>
          <w:p>
            <w:pPr>
              <w:snapToGrid w:val="0"/>
              <w:spacing w:line="440" w:lineRule="exact"/>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1</w:t>
            </w:r>
          </w:p>
        </w:tc>
        <w:tc>
          <w:tcPr>
            <w:tcW w:w="2204" w:type="pct"/>
            <w:noWrap w:val="0"/>
            <w:vAlign w:val="center"/>
          </w:tcPr>
          <w:p>
            <w:pPr>
              <w:snapToGrid w:val="0"/>
              <w:spacing w:line="440" w:lineRule="exact"/>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规格尺寸</w:t>
            </w:r>
          </w:p>
          <w:p>
            <w:pPr>
              <w:snapToGrid w:val="0"/>
              <w:spacing w:line="440" w:lineRule="exact"/>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(平均外径、壁厚偏差)</w:t>
            </w:r>
          </w:p>
        </w:tc>
        <w:tc>
          <w:tcPr>
            <w:tcW w:w="1922" w:type="pct"/>
            <w:noWrap w:val="0"/>
            <w:vAlign w:val="center"/>
          </w:tcPr>
          <w:p>
            <w:pPr>
              <w:snapToGrid w:val="0"/>
              <w:spacing w:line="440" w:lineRule="exact"/>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GB/T 8806-2008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 w:type="pct"/>
            <w:noWrap w:val="0"/>
            <w:vAlign w:val="center"/>
          </w:tcPr>
          <w:p>
            <w:pPr>
              <w:snapToGrid w:val="0"/>
              <w:spacing w:line="440" w:lineRule="exact"/>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2</w:t>
            </w:r>
          </w:p>
        </w:tc>
        <w:tc>
          <w:tcPr>
            <w:tcW w:w="2204" w:type="pct"/>
            <w:noWrap w:val="0"/>
            <w:vAlign w:val="center"/>
          </w:tcPr>
          <w:p>
            <w:pPr>
              <w:snapToGrid w:val="0"/>
              <w:spacing w:line="440" w:lineRule="exact"/>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纵向回缩率</w:t>
            </w:r>
          </w:p>
        </w:tc>
        <w:tc>
          <w:tcPr>
            <w:tcW w:w="1922" w:type="pct"/>
            <w:noWrap w:val="0"/>
            <w:vAlign w:val="center"/>
          </w:tcPr>
          <w:p>
            <w:pPr>
              <w:snapToGrid w:val="0"/>
              <w:spacing w:line="440" w:lineRule="exact"/>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GB/T 6671-2001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873" w:type="pct"/>
            <w:noWrap w:val="0"/>
            <w:vAlign w:val="center"/>
          </w:tcPr>
          <w:p>
            <w:pPr>
              <w:snapToGrid w:val="0"/>
              <w:spacing w:line="440" w:lineRule="exact"/>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3</w:t>
            </w:r>
          </w:p>
        </w:tc>
        <w:tc>
          <w:tcPr>
            <w:tcW w:w="2204" w:type="pct"/>
            <w:noWrap w:val="0"/>
            <w:vAlign w:val="center"/>
          </w:tcPr>
          <w:p>
            <w:pPr>
              <w:snapToGrid w:val="0"/>
              <w:spacing w:line="440" w:lineRule="exact"/>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简支梁冲击试验</w:t>
            </w:r>
          </w:p>
        </w:tc>
        <w:tc>
          <w:tcPr>
            <w:tcW w:w="1922" w:type="pct"/>
            <w:noWrap w:val="0"/>
            <w:vAlign w:val="center"/>
          </w:tcPr>
          <w:p>
            <w:pPr>
              <w:snapToGrid w:val="0"/>
              <w:spacing w:line="440" w:lineRule="exact"/>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GB/T 18743-2002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 w:type="pct"/>
            <w:noWrap w:val="0"/>
            <w:vAlign w:val="center"/>
          </w:tcPr>
          <w:p>
            <w:pPr>
              <w:snapToGrid w:val="0"/>
              <w:spacing w:line="440" w:lineRule="exact"/>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4</w:t>
            </w:r>
          </w:p>
        </w:tc>
        <w:tc>
          <w:tcPr>
            <w:tcW w:w="2204" w:type="pct"/>
            <w:noWrap w:val="0"/>
            <w:vAlign w:val="center"/>
          </w:tcPr>
          <w:p>
            <w:pPr>
              <w:snapToGrid w:val="0"/>
              <w:spacing w:line="440" w:lineRule="exact"/>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静液压试验</w:t>
            </w:r>
            <w:bookmarkStart w:id="0" w:name="_GoBack"/>
            <w:bookmarkEnd w:id="0"/>
            <w:r>
              <w:rPr>
                <w:rFonts w:hint="eastAsia" w:ascii="仿宋_GB2312" w:hAnsi="仿宋_GB2312" w:eastAsia="仿宋_GB2312" w:cs="仿宋_GB2312"/>
                <w:sz w:val="22"/>
                <w:szCs w:val="22"/>
              </w:rPr>
              <w:t>（20℃,1h）</w:t>
            </w:r>
          </w:p>
        </w:tc>
        <w:tc>
          <w:tcPr>
            <w:tcW w:w="1922" w:type="pct"/>
            <w:vMerge w:val="restart"/>
            <w:noWrap w:val="0"/>
            <w:vAlign w:val="center"/>
          </w:tcPr>
          <w:p>
            <w:pPr>
              <w:snapToGrid w:val="0"/>
              <w:spacing w:line="440" w:lineRule="exact"/>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GB/T 6111-2003</w:t>
            </w:r>
          </w:p>
          <w:p>
            <w:pPr>
              <w:snapToGrid w:val="0"/>
              <w:spacing w:line="440" w:lineRule="exact"/>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GB/T 18742.2-2017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 w:type="pct"/>
            <w:noWrap w:val="0"/>
            <w:vAlign w:val="center"/>
          </w:tcPr>
          <w:p>
            <w:pPr>
              <w:snapToGrid w:val="0"/>
              <w:spacing w:line="440" w:lineRule="exact"/>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5</w:t>
            </w:r>
          </w:p>
        </w:tc>
        <w:tc>
          <w:tcPr>
            <w:tcW w:w="2204" w:type="pct"/>
            <w:noWrap w:val="0"/>
            <w:vAlign w:val="center"/>
          </w:tcPr>
          <w:p>
            <w:pPr>
              <w:snapToGrid w:val="0"/>
              <w:spacing w:line="440" w:lineRule="exact"/>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静液压试验（95℃,165h）</w:t>
            </w:r>
          </w:p>
        </w:tc>
        <w:tc>
          <w:tcPr>
            <w:tcW w:w="1922" w:type="pct"/>
            <w:vMerge w:val="continue"/>
            <w:noWrap w:val="0"/>
            <w:vAlign w:val="center"/>
          </w:tcPr>
          <w:p>
            <w:pPr>
              <w:snapToGrid w:val="0"/>
              <w:spacing w:line="440" w:lineRule="exact"/>
              <w:jc w:val="center"/>
              <w:rPr>
                <w:rFonts w:hint="eastAsia" w:ascii="仿宋_GB2312" w:hAnsi="仿宋_GB2312" w:eastAsia="仿宋_GB2312" w:cs="仿宋_GB231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 w:type="pct"/>
            <w:noWrap w:val="0"/>
            <w:vAlign w:val="center"/>
          </w:tcPr>
          <w:p>
            <w:pPr>
              <w:snapToGrid w:val="0"/>
              <w:spacing w:line="440" w:lineRule="exact"/>
              <w:jc w:val="center"/>
              <w:rPr>
                <w:rFonts w:hint="eastAsia" w:ascii="仿宋_GB2312" w:hAnsi="仿宋_GB2312" w:eastAsia="仿宋_GB2312" w:cs="仿宋_GB2312"/>
                <w:sz w:val="22"/>
                <w:szCs w:val="22"/>
                <w:lang w:eastAsia="zh-CN"/>
              </w:rPr>
            </w:pPr>
            <w:r>
              <w:rPr>
                <w:rFonts w:hint="eastAsia" w:ascii="仿宋_GB2312" w:hAnsi="仿宋_GB2312" w:eastAsia="仿宋_GB2312" w:cs="仿宋_GB2312"/>
                <w:sz w:val="22"/>
                <w:szCs w:val="22"/>
                <w:lang w:val="en-US" w:eastAsia="zh-CN"/>
              </w:rPr>
              <w:t>6</w:t>
            </w:r>
          </w:p>
        </w:tc>
        <w:tc>
          <w:tcPr>
            <w:tcW w:w="2204" w:type="pct"/>
            <w:noWrap w:val="0"/>
            <w:vAlign w:val="center"/>
          </w:tcPr>
          <w:p>
            <w:pPr>
              <w:snapToGrid w:val="0"/>
              <w:spacing w:line="440" w:lineRule="exact"/>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灰分</w:t>
            </w:r>
          </w:p>
        </w:tc>
        <w:tc>
          <w:tcPr>
            <w:tcW w:w="1922" w:type="pct"/>
            <w:noWrap w:val="0"/>
            <w:vAlign w:val="center"/>
          </w:tcPr>
          <w:p>
            <w:pPr>
              <w:snapToGrid w:val="0"/>
              <w:spacing w:line="440" w:lineRule="exact"/>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GB/T 9345.1-2008方法A</w:t>
            </w:r>
          </w:p>
        </w:tc>
      </w:tr>
    </w:tbl>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执行企业标准、团体标准、地方标准的产品，检验项目参照上述内容执行。</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560" w:firstLineChars="200"/>
        <w:textAlignment w:val="auto"/>
        <w:rPr>
          <w:rFonts w:hint="eastAsia" w:ascii="黑体" w:hAnsi="黑体" w:eastAsia="黑体"/>
          <w:color w:val="000000"/>
          <w:sz w:val="28"/>
          <w:szCs w:val="28"/>
        </w:rPr>
      </w:pPr>
      <w:r>
        <w:rPr>
          <w:rFonts w:hint="eastAsia" w:ascii="黑体" w:hAnsi="黑体" w:eastAsia="黑体"/>
          <w:color w:val="000000"/>
          <w:sz w:val="28"/>
          <w:szCs w:val="28"/>
        </w:rPr>
        <w:t>3</w:t>
      </w:r>
      <w:r>
        <w:rPr>
          <w:rFonts w:hint="eastAsia" w:ascii="黑体" w:hAnsi="黑体" w:eastAsia="黑体"/>
          <w:color w:val="000000"/>
          <w:sz w:val="28"/>
          <w:szCs w:val="28"/>
          <w:lang w:val="en-US" w:eastAsia="zh-CN"/>
        </w:rPr>
        <w:t xml:space="preserve"> </w:t>
      </w:r>
      <w:r>
        <w:rPr>
          <w:rFonts w:hint="eastAsia" w:ascii="黑体" w:hAnsi="黑体" w:eastAsia="黑体"/>
          <w:color w:val="000000"/>
          <w:sz w:val="28"/>
          <w:szCs w:val="28"/>
        </w:rPr>
        <w:t>判定</w:t>
      </w:r>
      <w:r>
        <w:rPr>
          <w:rFonts w:hint="eastAsia" w:ascii="黑体" w:hAnsi="黑体" w:eastAsia="黑体" w:cs="Times New Roman"/>
          <w:color w:val="000000"/>
          <w:sz w:val="28"/>
          <w:szCs w:val="28"/>
        </w:rPr>
        <w:t>规则</w:t>
      </w:r>
    </w:p>
    <w:p>
      <w:pPr>
        <w:adjustRightInd w:val="0"/>
        <w:snapToGrid w:val="0"/>
        <w:spacing w:line="560" w:lineRule="exact"/>
        <w:ind w:firstLine="562" w:firstLineChars="200"/>
        <w:rPr>
          <w:rFonts w:hint="eastAsia" w:ascii="楷体_GB2312" w:eastAsia="楷体_GB2312"/>
          <w:b/>
          <w:color w:val="000000"/>
          <w:sz w:val="28"/>
          <w:szCs w:val="28"/>
        </w:rPr>
      </w:pPr>
      <w:r>
        <w:rPr>
          <w:rFonts w:hint="eastAsia" w:ascii="楷体_GB2312" w:eastAsia="楷体_GB2312"/>
          <w:b/>
          <w:color w:val="000000"/>
          <w:sz w:val="28"/>
          <w:szCs w:val="28"/>
        </w:rPr>
        <w:t>3.1依据标准</w:t>
      </w:r>
    </w:p>
    <w:p>
      <w:pPr>
        <w:adjustRightInd w:val="0"/>
        <w:snapToGrid w:val="0"/>
        <w:spacing w:line="560" w:lineRule="exact"/>
        <w:ind w:firstLine="560" w:firstLineChars="200"/>
        <w:rPr>
          <w:rFonts w:hint="eastAsia" w:ascii="仿宋_GB2312" w:hAnsi="Times New Roman" w:eastAsia="仿宋_GB2312" w:cs="Times New Roman"/>
          <w:color w:val="000000"/>
          <w:sz w:val="28"/>
          <w:szCs w:val="28"/>
        </w:rPr>
      </w:pPr>
      <w:r>
        <w:rPr>
          <w:rFonts w:hint="eastAsia" w:ascii="仿宋_GB2312" w:hAnsi="Times New Roman" w:eastAsia="仿宋_GB2312" w:cs="Times New Roman"/>
          <w:color w:val="000000"/>
          <w:sz w:val="28"/>
          <w:szCs w:val="28"/>
        </w:rPr>
        <w:t>GB/T 18742.2-2017 冷热水用聚丙烯管道系统 第2部分：管材</w:t>
      </w:r>
    </w:p>
    <w:p>
      <w:pPr>
        <w:adjustRightInd w:val="0"/>
        <w:snapToGrid w:val="0"/>
        <w:spacing w:line="560" w:lineRule="exact"/>
        <w:ind w:firstLine="560" w:firstLineChars="200"/>
        <w:rPr>
          <w:rFonts w:hint="eastAsia" w:ascii="仿宋_GB2312" w:hAnsi="Times New Roman" w:eastAsia="仿宋_GB2312" w:cs="Times New Roman"/>
          <w:color w:val="000000"/>
          <w:sz w:val="28"/>
          <w:szCs w:val="28"/>
        </w:rPr>
      </w:pPr>
      <w:r>
        <w:rPr>
          <w:rFonts w:hint="eastAsia" w:ascii="仿宋_GB2312" w:hAnsi="Times New Roman" w:eastAsia="仿宋_GB2312" w:cs="Times New Roman"/>
          <w:color w:val="000000"/>
          <w:sz w:val="28"/>
          <w:szCs w:val="28"/>
        </w:rPr>
        <w:t>现行有效的企业标准、团体标准、地方标准及产品明示质量要求</w:t>
      </w:r>
    </w:p>
    <w:p>
      <w:pPr>
        <w:adjustRightInd w:val="0"/>
        <w:snapToGrid w:val="0"/>
        <w:spacing w:line="560" w:lineRule="exact"/>
        <w:ind w:firstLine="562" w:firstLineChars="200"/>
        <w:rPr>
          <w:rFonts w:hint="eastAsia" w:ascii="楷体_GB2312" w:eastAsia="楷体_GB2312"/>
          <w:b/>
          <w:color w:val="000000"/>
          <w:sz w:val="28"/>
          <w:szCs w:val="28"/>
        </w:rPr>
      </w:pPr>
      <w:r>
        <w:rPr>
          <w:rFonts w:hint="eastAsia" w:ascii="楷体_GB2312" w:eastAsia="楷体_GB2312"/>
          <w:b/>
          <w:color w:val="000000"/>
          <w:sz w:val="28"/>
          <w:szCs w:val="28"/>
        </w:rPr>
        <w:t>3.2判定原则</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经检验，检验项目全部合格，判定为被抽查产品所检项目未发现不合格；检验项目中任一项或一项以上不合格，判定为被抽查产品不合格。</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若被检产品明示的质量要求高于本细则中检验项目依据的标准要求时，应按被检产品明示的质量要求判定。</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若被检产品明示的质量要求低于本细则中检验项目依据的强制性标准要求时，应按照强制性标准要求判定。</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若被检产品明示的质量要求低于或包含本细则中检验项目依据的推荐性标准要求时，应以被检产品明示的质量要求判定。</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若被检产品明示的质量要求缺少本细则中检验项目依据的强制性标准要求时，应按照强制性标准要求判定。</w:t>
      </w:r>
    </w:p>
    <w:p>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2098" w:right="1474" w:bottom="1985"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方正小标宋简体">
    <w:altName w:val="方正舒体"/>
    <w:panose1 w:val="03000509000000000000"/>
    <w:charset w:val="86"/>
    <w:family w:val="auto"/>
    <w:pitch w:val="default"/>
    <w:sig w:usb0="00000001" w:usb1="080E0000" w:usb2="00000000" w:usb3="00000000" w:csb0="00040000" w:csb1="00000000"/>
  </w:font>
  <w:font w:name="方正仿宋_GBK">
    <w:altName w:val="微软雅黑"/>
    <w:panose1 w:val="00000000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1"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8"/>
                            <w:ind w:right="3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PAGE   \* MERGEFORMAT</w:instrText>
                          </w:r>
                          <w:r>
                            <w:rPr>
                              <w:rFonts w:hint="eastAsia" w:ascii="仿宋_GB2312" w:hAnsi="仿宋_GB2312" w:eastAsia="仿宋_GB2312" w:cs="仿宋_GB2312"/>
                              <w:sz w:val="28"/>
                              <w:szCs w:val="28"/>
                            </w:rPr>
                            <w:fldChar w:fldCharType="separate"/>
                          </w:r>
                          <w:r>
                            <w:rPr>
                              <w:rFonts w:ascii="仿宋_GB2312" w:hAnsi="仿宋_GB2312" w:eastAsia="仿宋_GB2312" w:cs="仿宋_GB2312"/>
                              <w:sz w:val="28"/>
                              <w:szCs w:val="28"/>
                              <w:lang w:val="zh-CN"/>
                            </w:rPr>
                            <w:t>15</w:t>
                          </w:r>
                          <w:r>
                            <w:rPr>
                              <w:rFonts w:hint="eastAsia" w:ascii="仿宋_GB2312" w:hAnsi="仿宋_GB2312" w:eastAsia="仿宋_GB2312" w:cs="仿宋_GB2312"/>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pPr>
                      <w:pStyle w:val="8"/>
                      <w:ind w:right="3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PAGE   \* MERGEFORMAT</w:instrText>
                    </w:r>
                    <w:r>
                      <w:rPr>
                        <w:rFonts w:hint="eastAsia" w:ascii="仿宋_GB2312" w:hAnsi="仿宋_GB2312" w:eastAsia="仿宋_GB2312" w:cs="仿宋_GB2312"/>
                        <w:sz w:val="28"/>
                        <w:szCs w:val="28"/>
                      </w:rPr>
                      <w:fldChar w:fldCharType="separate"/>
                    </w:r>
                    <w:r>
                      <w:rPr>
                        <w:rFonts w:ascii="仿宋_GB2312" w:hAnsi="仿宋_GB2312" w:eastAsia="仿宋_GB2312" w:cs="仿宋_GB2312"/>
                        <w:sz w:val="28"/>
                        <w:szCs w:val="28"/>
                        <w:lang w:val="zh-CN"/>
                      </w:rPr>
                      <w:t>15</w:t>
                    </w:r>
                    <w:r>
                      <w:rPr>
                        <w:rFonts w:hint="eastAsia" w:ascii="仿宋_GB2312" w:hAnsi="仿宋_GB2312" w:eastAsia="仿宋_GB2312" w:cs="仿宋_GB2312"/>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5"/>
      </w:rPr>
    </w:pPr>
    <w:r>
      <w:fldChar w:fldCharType="begin"/>
    </w:r>
    <w:r>
      <w:rPr>
        <w:rStyle w:val="15"/>
      </w:rPr>
      <w:instrText xml:space="preserve">PAGE  </w:instrText>
    </w:r>
    <w:r>
      <w:fldChar w:fldCharType="separate"/>
    </w:r>
    <w:r>
      <w:rPr>
        <w:rStyle w:val="15"/>
      </w:rPr>
      <w:t>2</w:t>
    </w:r>
    <w:r>
      <w:fldChar w:fldCharType="end"/>
    </w:r>
  </w:p>
  <w:p>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4ZDc0ZTgwYzc2MWZiYWQ3NjlmNTQ5NGE2OTBjNzMifQ=="/>
  </w:docVars>
  <w:rsids>
    <w:rsidRoot w:val="00172A27"/>
    <w:rsid w:val="00005A08"/>
    <w:rsid w:val="000072C1"/>
    <w:rsid w:val="00051A44"/>
    <w:rsid w:val="0005503E"/>
    <w:rsid w:val="0006013A"/>
    <w:rsid w:val="00064FD2"/>
    <w:rsid w:val="00065ECF"/>
    <w:rsid w:val="000663A8"/>
    <w:rsid w:val="00081CBD"/>
    <w:rsid w:val="0009700F"/>
    <w:rsid w:val="000976DE"/>
    <w:rsid w:val="000A7D23"/>
    <w:rsid w:val="000B0D0C"/>
    <w:rsid w:val="000B742B"/>
    <w:rsid w:val="000D54F1"/>
    <w:rsid w:val="000E386E"/>
    <w:rsid w:val="000E61DF"/>
    <w:rsid w:val="00104E14"/>
    <w:rsid w:val="001119D4"/>
    <w:rsid w:val="00113405"/>
    <w:rsid w:val="00116DD2"/>
    <w:rsid w:val="00122D5A"/>
    <w:rsid w:val="001231BE"/>
    <w:rsid w:val="001526B5"/>
    <w:rsid w:val="00154D8E"/>
    <w:rsid w:val="00155349"/>
    <w:rsid w:val="001809DD"/>
    <w:rsid w:val="00183ECC"/>
    <w:rsid w:val="0019214F"/>
    <w:rsid w:val="001927CF"/>
    <w:rsid w:val="00192A0B"/>
    <w:rsid w:val="001A2432"/>
    <w:rsid w:val="001A54F7"/>
    <w:rsid w:val="001B14F7"/>
    <w:rsid w:val="001B3612"/>
    <w:rsid w:val="001D385E"/>
    <w:rsid w:val="001E47E2"/>
    <w:rsid w:val="00205F3E"/>
    <w:rsid w:val="002530F1"/>
    <w:rsid w:val="00253624"/>
    <w:rsid w:val="00261041"/>
    <w:rsid w:val="00270764"/>
    <w:rsid w:val="0028535D"/>
    <w:rsid w:val="0029427E"/>
    <w:rsid w:val="00297F96"/>
    <w:rsid w:val="002A04E3"/>
    <w:rsid w:val="002C4C75"/>
    <w:rsid w:val="002D7F8A"/>
    <w:rsid w:val="002E0D1D"/>
    <w:rsid w:val="002E46ED"/>
    <w:rsid w:val="00307199"/>
    <w:rsid w:val="003103CF"/>
    <w:rsid w:val="003138B4"/>
    <w:rsid w:val="003138F3"/>
    <w:rsid w:val="003203A3"/>
    <w:rsid w:val="00326800"/>
    <w:rsid w:val="003342B4"/>
    <w:rsid w:val="003477E8"/>
    <w:rsid w:val="00357803"/>
    <w:rsid w:val="00366632"/>
    <w:rsid w:val="00374444"/>
    <w:rsid w:val="00395E47"/>
    <w:rsid w:val="003C388C"/>
    <w:rsid w:val="003C438B"/>
    <w:rsid w:val="003C4B70"/>
    <w:rsid w:val="003D0028"/>
    <w:rsid w:val="003D3AC9"/>
    <w:rsid w:val="003E2B6D"/>
    <w:rsid w:val="003E61BF"/>
    <w:rsid w:val="003F024B"/>
    <w:rsid w:val="004016AF"/>
    <w:rsid w:val="004032FB"/>
    <w:rsid w:val="004158E6"/>
    <w:rsid w:val="00421924"/>
    <w:rsid w:val="004253BB"/>
    <w:rsid w:val="00445E86"/>
    <w:rsid w:val="00451A95"/>
    <w:rsid w:val="00474E04"/>
    <w:rsid w:val="00480C52"/>
    <w:rsid w:val="004A034E"/>
    <w:rsid w:val="004A3BD7"/>
    <w:rsid w:val="004B39F0"/>
    <w:rsid w:val="004C1809"/>
    <w:rsid w:val="004C3718"/>
    <w:rsid w:val="004D04EB"/>
    <w:rsid w:val="004D0C5A"/>
    <w:rsid w:val="004D1824"/>
    <w:rsid w:val="004D5226"/>
    <w:rsid w:val="004E1396"/>
    <w:rsid w:val="004E4A4B"/>
    <w:rsid w:val="004F702B"/>
    <w:rsid w:val="005175DF"/>
    <w:rsid w:val="00532055"/>
    <w:rsid w:val="00550A1F"/>
    <w:rsid w:val="005535D5"/>
    <w:rsid w:val="00563EBC"/>
    <w:rsid w:val="0057064A"/>
    <w:rsid w:val="00574EC2"/>
    <w:rsid w:val="00580972"/>
    <w:rsid w:val="0058452F"/>
    <w:rsid w:val="00585B51"/>
    <w:rsid w:val="0059359B"/>
    <w:rsid w:val="00594A9D"/>
    <w:rsid w:val="005952DF"/>
    <w:rsid w:val="005B1E3F"/>
    <w:rsid w:val="005B2E00"/>
    <w:rsid w:val="005B5E3C"/>
    <w:rsid w:val="005C4BFD"/>
    <w:rsid w:val="005D5D00"/>
    <w:rsid w:val="005F0236"/>
    <w:rsid w:val="00611355"/>
    <w:rsid w:val="006461E3"/>
    <w:rsid w:val="00670E6A"/>
    <w:rsid w:val="006723F1"/>
    <w:rsid w:val="00674391"/>
    <w:rsid w:val="00675E3C"/>
    <w:rsid w:val="00692C9F"/>
    <w:rsid w:val="00693DE1"/>
    <w:rsid w:val="006A7003"/>
    <w:rsid w:val="006B52BE"/>
    <w:rsid w:val="006B7248"/>
    <w:rsid w:val="006B7321"/>
    <w:rsid w:val="006C7B79"/>
    <w:rsid w:val="006D4BAE"/>
    <w:rsid w:val="006E5345"/>
    <w:rsid w:val="006F0971"/>
    <w:rsid w:val="006F4E18"/>
    <w:rsid w:val="00702FF8"/>
    <w:rsid w:val="0070419E"/>
    <w:rsid w:val="0071775F"/>
    <w:rsid w:val="00720AC7"/>
    <w:rsid w:val="0072334C"/>
    <w:rsid w:val="0073086B"/>
    <w:rsid w:val="007556AC"/>
    <w:rsid w:val="00777498"/>
    <w:rsid w:val="007908EB"/>
    <w:rsid w:val="007A23BB"/>
    <w:rsid w:val="007E0DE6"/>
    <w:rsid w:val="007F5EBC"/>
    <w:rsid w:val="00807A9C"/>
    <w:rsid w:val="008250F9"/>
    <w:rsid w:val="008300C5"/>
    <w:rsid w:val="0083034C"/>
    <w:rsid w:val="008367F5"/>
    <w:rsid w:val="0083758B"/>
    <w:rsid w:val="00850CA2"/>
    <w:rsid w:val="00864466"/>
    <w:rsid w:val="00872DDC"/>
    <w:rsid w:val="00895BEA"/>
    <w:rsid w:val="008A2675"/>
    <w:rsid w:val="008A3497"/>
    <w:rsid w:val="008B0132"/>
    <w:rsid w:val="008B3135"/>
    <w:rsid w:val="008B4E32"/>
    <w:rsid w:val="008C12E0"/>
    <w:rsid w:val="008C44AB"/>
    <w:rsid w:val="008D1C38"/>
    <w:rsid w:val="008E1963"/>
    <w:rsid w:val="00917A54"/>
    <w:rsid w:val="009311A9"/>
    <w:rsid w:val="0093135B"/>
    <w:rsid w:val="00931C7E"/>
    <w:rsid w:val="00940A33"/>
    <w:rsid w:val="0095633A"/>
    <w:rsid w:val="009B67E0"/>
    <w:rsid w:val="009D0B26"/>
    <w:rsid w:val="009D6E0D"/>
    <w:rsid w:val="009E42ED"/>
    <w:rsid w:val="009F001C"/>
    <w:rsid w:val="00A01645"/>
    <w:rsid w:val="00A37DF5"/>
    <w:rsid w:val="00A41401"/>
    <w:rsid w:val="00A43553"/>
    <w:rsid w:val="00A51BC0"/>
    <w:rsid w:val="00A5242F"/>
    <w:rsid w:val="00A63EE3"/>
    <w:rsid w:val="00A64B73"/>
    <w:rsid w:val="00A84403"/>
    <w:rsid w:val="00A85499"/>
    <w:rsid w:val="00AB184F"/>
    <w:rsid w:val="00B07A82"/>
    <w:rsid w:val="00B57B44"/>
    <w:rsid w:val="00B605A7"/>
    <w:rsid w:val="00B61D81"/>
    <w:rsid w:val="00B67D9F"/>
    <w:rsid w:val="00B74348"/>
    <w:rsid w:val="00B861D4"/>
    <w:rsid w:val="00BA3EB1"/>
    <w:rsid w:val="00BA7103"/>
    <w:rsid w:val="00BB2504"/>
    <w:rsid w:val="00BB3D63"/>
    <w:rsid w:val="00BB6CA3"/>
    <w:rsid w:val="00BD0101"/>
    <w:rsid w:val="00BD0BF0"/>
    <w:rsid w:val="00BD7270"/>
    <w:rsid w:val="00BD7935"/>
    <w:rsid w:val="00BE19EB"/>
    <w:rsid w:val="00BE426E"/>
    <w:rsid w:val="00BE6F53"/>
    <w:rsid w:val="00BF2939"/>
    <w:rsid w:val="00C00209"/>
    <w:rsid w:val="00C20E85"/>
    <w:rsid w:val="00C26074"/>
    <w:rsid w:val="00C34C87"/>
    <w:rsid w:val="00C440C1"/>
    <w:rsid w:val="00C448BC"/>
    <w:rsid w:val="00C462D6"/>
    <w:rsid w:val="00C6205E"/>
    <w:rsid w:val="00C706E0"/>
    <w:rsid w:val="00C83B0A"/>
    <w:rsid w:val="00CA7F57"/>
    <w:rsid w:val="00CD517C"/>
    <w:rsid w:val="00CE1E0C"/>
    <w:rsid w:val="00CE277E"/>
    <w:rsid w:val="00CE2CD6"/>
    <w:rsid w:val="00D104F9"/>
    <w:rsid w:val="00D11904"/>
    <w:rsid w:val="00D22902"/>
    <w:rsid w:val="00D369B9"/>
    <w:rsid w:val="00D5357F"/>
    <w:rsid w:val="00D56867"/>
    <w:rsid w:val="00D56AA0"/>
    <w:rsid w:val="00D637B3"/>
    <w:rsid w:val="00D94A5A"/>
    <w:rsid w:val="00DA021B"/>
    <w:rsid w:val="00DA47A4"/>
    <w:rsid w:val="00DC4A5A"/>
    <w:rsid w:val="00DF05CB"/>
    <w:rsid w:val="00E02A7F"/>
    <w:rsid w:val="00E07880"/>
    <w:rsid w:val="00E204D0"/>
    <w:rsid w:val="00E604E0"/>
    <w:rsid w:val="00E64389"/>
    <w:rsid w:val="00E776D7"/>
    <w:rsid w:val="00E82621"/>
    <w:rsid w:val="00E91CD3"/>
    <w:rsid w:val="00E953DE"/>
    <w:rsid w:val="00EA400E"/>
    <w:rsid w:val="00EB12E2"/>
    <w:rsid w:val="00EE509E"/>
    <w:rsid w:val="00EE66ED"/>
    <w:rsid w:val="00F14C0E"/>
    <w:rsid w:val="00F3513C"/>
    <w:rsid w:val="00F4641B"/>
    <w:rsid w:val="00F47F79"/>
    <w:rsid w:val="00F71A46"/>
    <w:rsid w:val="00F77C9A"/>
    <w:rsid w:val="00F97033"/>
    <w:rsid w:val="00FB576C"/>
    <w:rsid w:val="00FD2AA6"/>
    <w:rsid w:val="00FD4503"/>
    <w:rsid w:val="00FE7E8A"/>
    <w:rsid w:val="04A94BA7"/>
    <w:rsid w:val="087F2EF1"/>
    <w:rsid w:val="09D403DB"/>
    <w:rsid w:val="0A7B49CF"/>
    <w:rsid w:val="0AE33BE1"/>
    <w:rsid w:val="12511775"/>
    <w:rsid w:val="17280520"/>
    <w:rsid w:val="18063ABA"/>
    <w:rsid w:val="1AA62FE2"/>
    <w:rsid w:val="1C174E5A"/>
    <w:rsid w:val="1DC9278F"/>
    <w:rsid w:val="1F656C80"/>
    <w:rsid w:val="20455CDB"/>
    <w:rsid w:val="20D63FCA"/>
    <w:rsid w:val="221B6997"/>
    <w:rsid w:val="251D0673"/>
    <w:rsid w:val="28993424"/>
    <w:rsid w:val="290C60E4"/>
    <w:rsid w:val="29973106"/>
    <w:rsid w:val="2A273150"/>
    <w:rsid w:val="2FB21A9B"/>
    <w:rsid w:val="30123D09"/>
    <w:rsid w:val="35524965"/>
    <w:rsid w:val="38BE00CE"/>
    <w:rsid w:val="3B4065B5"/>
    <w:rsid w:val="3E7A0CA2"/>
    <w:rsid w:val="3E9566A1"/>
    <w:rsid w:val="4108498B"/>
    <w:rsid w:val="425173B2"/>
    <w:rsid w:val="47F36CDA"/>
    <w:rsid w:val="49E1490B"/>
    <w:rsid w:val="4AAA1741"/>
    <w:rsid w:val="4ABB3E7C"/>
    <w:rsid w:val="4F306464"/>
    <w:rsid w:val="4F910A86"/>
    <w:rsid w:val="552704DE"/>
    <w:rsid w:val="56407115"/>
    <w:rsid w:val="57E1433C"/>
    <w:rsid w:val="59C82E25"/>
    <w:rsid w:val="59D4455F"/>
    <w:rsid w:val="5A2D0084"/>
    <w:rsid w:val="5DE53983"/>
    <w:rsid w:val="6329795B"/>
    <w:rsid w:val="649D5FA2"/>
    <w:rsid w:val="69561139"/>
    <w:rsid w:val="6A291C46"/>
    <w:rsid w:val="723A4344"/>
    <w:rsid w:val="72A9188A"/>
    <w:rsid w:val="763D20FD"/>
    <w:rsid w:val="76EC6353"/>
    <w:rsid w:val="77391FE9"/>
    <w:rsid w:val="7FD3354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99" w:semiHidden="0" w:name="Body Text Indent 3"/>
    <w:lsdException w:uiPriority="99" w:name="Block Text"/>
    <w:lsdException w:qFormat="1" w:uiPriority="99" w:name="Hyperlink"/>
    <w:lsdException w:uiPriority="99" w:name="FollowedHyperlink"/>
    <w:lsdException w:qFormat="1" w:unhideWhenUsed="0" w:uiPriority="99" w:semiHidden="0" w:name="Strong"/>
    <w:lsdException w:qFormat="1" w:unhideWhenUsed="0" w:uiPriority="99" w:semiHidden="0" w:name="Emphasis"/>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paragraph" w:styleId="2">
    <w:name w:val="heading 1"/>
    <w:basedOn w:val="1"/>
    <w:next w:val="1"/>
    <w:link w:val="16"/>
    <w:qFormat/>
    <w:uiPriority w:val="99"/>
    <w:pPr>
      <w:keepNext/>
      <w:keepLines/>
      <w:autoSpaceDE w:val="0"/>
      <w:autoSpaceDN w:val="0"/>
      <w:adjustRightInd w:val="0"/>
      <w:spacing w:before="340" w:after="330" w:line="578" w:lineRule="auto"/>
      <w:jc w:val="left"/>
      <w:outlineLvl w:val="0"/>
    </w:pPr>
    <w:rPr>
      <w:rFonts w:ascii="宋体"/>
      <w:b/>
      <w:bCs/>
      <w:kern w:val="44"/>
      <w:sz w:val="44"/>
      <w:szCs w:val="44"/>
    </w:rPr>
  </w:style>
  <w:style w:type="character" w:default="1" w:styleId="14">
    <w:name w:val="Default Paragraph Font"/>
    <w:semiHidden/>
    <w:uiPriority w:val="0"/>
  </w:style>
  <w:style w:type="table" w:default="1" w:styleId="13">
    <w:name w:val="Normal Table"/>
    <w:unhideWhenUsed/>
    <w:uiPriority w:val="99"/>
    <w:tblPr>
      <w:tblStyle w:val="13"/>
      <w:tblCellMar>
        <w:top w:w="0" w:type="dxa"/>
        <w:left w:w="108" w:type="dxa"/>
        <w:bottom w:w="0" w:type="dxa"/>
        <w:right w:w="108" w:type="dxa"/>
      </w:tblCellMar>
    </w:tblPr>
  </w:style>
  <w:style w:type="paragraph" w:styleId="3">
    <w:name w:val="annotation text"/>
    <w:basedOn w:val="1"/>
    <w:link w:val="17"/>
    <w:unhideWhenUsed/>
    <w:qFormat/>
    <w:uiPriority w:val="99"/>
    <w:pPr>
      <w:jc w:val="left"/>
    </w:pPr>
  </w:style>
  <w:style w:type="paragraph" w:styleId="4">
    <w:name w:val="Body Text Indent"/>
    <w:basedOn w:val="1"/>
    <w:link w:val="18"/>
    <w:qFormat/>
    <w:uiPriority w:val="99"/>
    <w:pPr>
      <w:ind w:firstLine="600" w:firstLineChars="200"/>
    </w:pPr>
    <w:rPr>
      <w:rFonts w:eastAsia="仿宋_GB2312"/>
      <w:sz w:val="30"/>
      <w:szCs w:val="30"/>
    </w:rPr>
  </w:style>
  <w:style w:type="paragraph" w:styleId="5">
    <w:name w:val="Plain Text"/>
    <w:basedOn w:val="1"/>
    <w:link w:val="19"/>
    <w:qFormat/>
    <w:uiPriority w:val="99"/>
    <w:rPr>
      <w:rFonts w:ascii="宋体" w:hAnsi="Courier New"/>
      <w:kern w:val="0"/>
      <w:sz w:val="20"/>
      <w:szCs w:val="20"/>
    </w:rPr>
  </w:style>
  <w:style w:type="paragraph" w:styleId="6">
    <w:name w:val="Date"/>
    <w:basedOn w:val="1"/>
    <w:next w:val="1"/>
    <w:link w:val="20"/>
    <w:qFormat/>
    <w:uiPriority w:val="0"/>
    <w:rPr>
      <w:sz w:val="24"/>
      <w:szCs w:val="20"/>
    </w:rPr>
  </w:style>
  <w:style w:type="paragraph" w:styleId="7">
    <w:name w:val="Balloon Text"/>
    <w:basedOn w:val="1"/>
    <w:link w:val="21"/>
    <w:qFormat/>
    <w:uiPriority w:val="0"/>
    <w:rPr>
      <w:rFonts w:ascii="Calibri" w:hAnsi="Calibri"/>
      <w:sz w:val="18"/>
      <w:szCs w:val="18"/>
    </w:rPr>
  </w:style>
  <w:style w:type="paragraph" w:styleId="8">
    <w:name w:val="footer"/>
    <w:basedOn w:val="1"/>
    <w:link w:val="22"/>
    <w:unhideWhenUsed/>
    <w:qFormat/>
    <w:uiPriority w:val="99"/>
    <w:pPr>
      <w:tabs>
        <w:tab w:val="center" w:pos="4153"/>
        <w:tab w:val="right" w:pos="8306"/>
      </w:tabs>
      <w:snapToGrid w:val="0"/>
      <w:jc w:val="left"/>
    </w:pPr>
    <w:rPr>
      <w:sz w:val="18"/>
      <w:szCs w:val="18"/>
    </w:rPr>
  </w:style>
  <w:style w:type="paragraph" w:styleId="9">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Body Text Indent 3"/>
    <w:basedOn w:val="1"/>
    <w:link w:val="24"/>
    <w:qFormat/>
    <w:uiPriority w:val="99"/>
    <w:pPr>
      <w:spacing w:after="120"/>
      <w:ind w:left="420" w:leftChars="200"/>
    </w:pPr>
    <w:rPr>
      <w:rFonts w:ascii="Calibri" w:hAnsi="Calibri"/>
      <w:sz w:val="16"/>
      <w:szCs w:val="16"/>
    </w:rPr>
  </w:style>
  <w:style w:type="paragraph" w:styleId="11">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2">
    <w:name w:val="annotation subject"/>
    <w:basedOn w:val="3"/>
    <w:next w:val="3"/>
    <w:link w:val="25"/>
    <w:qFormat/>
    <w:uiPriority w:val="99"/>
    <w:rPr>
      <w:b/>
      <w:bCs/>
      <w:szCs w:val="21"/>
    </w:rPr>
  </w:style>
  <w:style w:type="character" w:styleId="15">
    <w:name w:val="page number"/>
    <w:basedOn w:val="14"/>
    <w:qFormat/>
    <w:uiPriority w:val="0"/>
  </w:style>
  <w:style w:type="character" w:customStyle="1" w:styleId="16">
    <w:name w:val="标题 1 Char"/>
    <w:link w:val="2"/>
    <w:qFormat/>
    <w:uiPriority w:val="99"/>
    <w:rPr>
      <w:rFonts w:ascii="宋体"/>
      <w:b/>
      <w:bCs/>
      <w:kern w:val="44"/>
      <w:sz w:val="44"/>
      <w:szCs w:val="44"/>
    </w:rPr>
  </w:style>
  <w:style w:type="character" w:customStyle="1" w:styleId="17">
    <w:name w:val="批注文字 Char"/>
    <w:link w:val="3"/>
    <w:qFormat/>
    <w:uiPriority w:val="99"/>
    <w:rPr>
      <w:kern w:val="2"/>
      <w:sz w:val="21"/>
      <w:szCs w:val="24"/>
    </w:rPr>
  </w:style>
  <w:style w:type="character" w:customStyle="1" w:styleId="18">
    <w:name w:val="正文文本缩进 Char"/>
    <w:link w:val="4"/>
    <w:qFormat/>
    <w:uiPriority w:val="99"/>
    <w:rPr>
      <w:rFonts w:eastAsia="仿宋_GB2312"/>
      <w:kern w:val="2"/>
      <w:sz w:val="30"/>
      <w:szCs w:val="30"/>
    </w:rPr>
  </w:style>
  <w:style w:type="character" w:customStyle="1" w:styleId="19">
    <w:name w:val="纯文本 Char"/>
    <w:link w:val="5"/>
    <w:qFormat/>
    <w:uiPriority w:val="99"/>
    <w:rPr>
      <w:rFonts w:ascii="宋体" w:hAnsi="Courier New" w:cs="宋体"/>
    </w:rPr>
  </w:style>
  <w:style w:type="character" w:customStyle="1" w:styleId="20">
    <w:name w:val="日期 Char"/>
    <w:link w:val="6"/>
    <w:uiPriority w:val="0"/>
    <w:rPr>
      <w:kern w:val="2"/>
      <w:sz w:val="24"/>
    </w:rPr>
  </w:style>
  <w:style w:type="character" w:customStyle="1" w:styleId="21">
    <w:name w:val="批注框文本 Char"/>
    <w:link w:val="7"/>
    <w:qFormat/>
    <w:uiPriority w:val="0"/>
    <w:rPr>
      <w:rFonts w:ascii="Calibri" w:hAnsi="Calibri" w:cs="Calibri"/>
      <w:kern w:val="2"/>
      <w:sz w:val="18"/>
      <w:szCs w:val="18"/>
    </w:rPr>
  </w:style>
  <w:style w:type="character" w:customStyle="1" w:styleId="22">
    <w:name w:val="页脚 Char"/>
    <w:link w:val="8"/>
    <w:qFormat/>
    <w:uiPriority w:val="99"/>
    <w:rPr>
      <w:kern w:val="2"/>
      <w:sz w:val="18"/>
      <w:szCs w:val="18"/>
    </w:rPr>
  </w:style>
  <w:style w:type="character" w:customStyle="1" w:styleId="23">
    <w:name w:val="页眉 Char"/>
    <w:link w:val="9"/>
    <w:semiHidden/>
    <w:qFormat/>
    <w:uiPriority w:val="99"/>
    <w:rPr>
      <w:kern w:val="2"/>
      <w:sz w:val="18"/>
      <w:szCs w:val="18"/>
    </w:rPr>
  </w:style>
  <w:style w:type="character" w:customStyle="1" w:styleId="24">
    <w:name w:val="正文文本缩进 3 Char"/>
    <w:link w:val="10"/>
    <w:qFormat/>
    <w:uiPriority w:val="99"/>
    <w:rPr>
      <w:rFonts w:ascii="Calibri" w:hAnsi="Calibri" w:cs="Calibri"/>
      <w:kern w:val="2"/>
      <w:sz w:val="16"/>
      <w:szCs w:val="16"/>
    </w:rPr>
  </w:style>
  <w:style w:type="character" w:customStyle="1" w:styleId="25">
    <w:name w:val="批注主题 Char"/>
    <w:link w:val="12"/>
    <w:qFormat/>
    <w:uiPriority w:val="99"/>
    <w:rPr>
      <w:b/>
      <w:bCs/>
      <w:kern w:val="2"/>
      <w:sz w:val="21"/>
      <w:szCs w:val="21"/>
    </w:rPr>
  </w:style>
  <w:style w:type="character" w:customStyle="1" w:styleId="26">
    <w:name w:val=" Char Char4"/>
    <w:qFormat/>
    <w:uiPriority w:val="0"/>
    <w:rPr>
      <w:rFonts w:ascii="宋体" w:hAnsi="Courier New" w:cs="宋体"/>
    </w:rPr>
  </w:style>
  <w:style w:type="paragraph" w:customStyle="1" w:styleId="27">
    <w:name w:val="列项·"/>
    <w:qFormat/>
    <w:uiPriority w:val="99"/>
    <w:pPr>
      <w:tabs>
        <w:tab w:val="left" w:pos="840"/>
      </w:tabs>
      <w:ind w:left="420"/>
      <w:jc w:val="both"/>
    </w:pPr>
    <w:rPr>
      <w:rFonts w:ascii="宋体" w:cs="宋体"/>
      <w:lang w:val="en-US" w:eastAsia="zh-CN" w:bidi="ar-SA"/>
    </w:rPr>
  </w:style>
  <w:style w:type="paragraph" w:customStyle="1" w:styleId="28">
    <w:name w:val="二级条标题"/>
    <w:basedOn w:val="1"/>
    <w:next w:val="29"/>
    <w:qFormat/>
    <w:uiPriority w:val="0"/>
    <w:pPr>
      <w:widowControl/>
      <w:tabs>
        <w:tab w:val="left" w:pos="1680"/>
      </w:tabs>
      <w:ind w:left="1680" w:hanging="420"/>
      <w:outlineLvl w:val="3"/>
    </w:pPr>
    <w:rPr>
      <w:rFonts w:ascii="黑体" w:eastAsia="黑体"/>
      <w:kern w:val="0"/>
      <w:szCs w:val="20"/>
    </w:rPr>
  </w:style>
  <w:style w:type="paragraph" w:customStyle="1" w:styleId="29">
    <w:name w:val="段"/>
    <w:qFormat/>
    <w:uiPriority w:val="0"/>
    <w:pPr>
      <w:autoSpaceDE w:val="0"/>
      <w:autoSpaceDN w:val="0"/>
      <w:ind w:firstLine="420"/>
      <w:jc w:val="both"/>
    </w:pPr>
    <w:rPr>
      <w:color w:val="000000"/>
      <w:lang w:val="en-US" w:eastAsia="zh-CN" w:bidi="ar-SA"/>
    </w:rPr>
  </w:style>
  <w:style w:type="paragraph" w:customStyle="1" w:styleId="30">
    <w:name w:val="二级无标题条"/>
    <w:basedOn w:val="1"/>
    <w:qFormat/>
    <w:uiPriority w:val="0"/>
    <w:rPr>
      <w:szCs w:val="21"/>
    </w:rPr>
  </w:style>
  <w:style w:type="paragraph" w:customStyle="1" w:styleId="31">
    <w:name w:val="列出段落1"/>
    <w:basedOn w:val="1"/>
    <w:qFormat/>
    <w:uiPriority w:val="99"/>
    <w:pPr>
      <w:ind w:firstLine="420" w:firstLineChars="200"/>
    </w:pPr>
    <w:rPr>
      <w:rFonts w:ascii="Calibri" w:hAnsi="Calibri"/>
      <w:szCs w:val="22"/>
    </w:rPr>
  </w:style>
  <w:style w:type="paragraph" w:styleId="32">
    <w:name w:val=""/>
    <w:semiHidden/>
    <w:uiPriority w:val="99"/>
    <w:rPr>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3</Pages>
  <Words>818</Words>
  <Characters>984</Characters>
  <Lines>109</Lines>
  <Paragraphs>30</Paragraphs>
  <TotalTime>1</TotalTime>
  <ScaleCrop>false</ScaleCrop>
  <LinksUpToDate>false</LinksUpToDate>
  <CharactersWithSpaces>1000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2021-10-08T01:53:00Z</dcterms:created>
  <dc:creator>Legend User</dc:creator>
  <cp:lastModifiedBy>郝好</cp:lastModifiedBy>
  <cp:lastPrinted>2020-06-22T07:18:00Z</cp:lastPrinted>
  <dcterms:modified xsi:type="dcterms:W3CDTF">2023-11-02T01:05:14Z</dcterms:modified>
  <dc:title>××产品质量监督抽查实施细则</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9D19EBED959D4D7A8AA16E8098673E39_13</vt:lpwstr>
  </property>
</Properties>
</file>