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摩托车、电动自行车乘员头盔产</w:t>
      </w:r>
      <w:bookmarkStart w:id="0" w:name="_GoBack"/>
      <w:bookmarkEnd w:id="0"/>
      <w:r>
        <w:rPr>
          <w:rFonts w:hint="eastAsia" w:ascii="方正小标宋简体" w:hAnsi="方正小标宋简体" w:eastAsia="方正小标宋简体" w:cs="方正小标宋简体"/>
          <w:color w:val="auto"/>
          <w:sz w:val="32"/>
          <w:szCs w:val="32"/>
        </w:rPr>
        <w:t>品质量</w:t>
      </w:r>
      <w:r>
        <w:rPr>
          <w:rFonts w:hint="eastAsia" w:ascii="方正小标宋简体" w:hAnsi="方正小标宋简体" w:eastAsia="方正小标宋简体" w:cs="方正小标宋简体"/>
          <w:color w:val="auto"/>
          <w:sz w:val="32"/>
          <w:szCs w:val="32"/>
          <w:lang w:eastAsia="zh-CN"/>
        </w:rPr>
        <w:t>滑县</w:t>
      </w:r>
      <w:r>
        <w:rPr>
          <w:rFonts w:hint="eastAsia" w:ascii="方正小标宋简体" w:hAnsi="方正小标宋简体" w:eastAsia="方正小标宋简体" w:cs="方正小标宋简体"/>
          <w:color w:val="auto"/>
          <w:sz w:val="32"/>
          <w:szCs w:val="32"/>
        </w:rPr>
        <w:t>监督抽查实施细则</w:t>
      </w:r>
    </w:p>
    <w:p>
      <w:pPr>
        <w:snapToGrid w:val="0"/>
        <w:spacing w:line="560" w:lineRule="exact"/>
        <w:jc w:val="center"/>
        <w:rPr>
          <w:rFonts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（2023年版）</w:t>
      </w:r>
    </w:p>
    <w:p>
      <w:pPr>
        <w:snapToGrid w:val="0"/>
        <w:spacing w:line="560" w:lineRule="exact"/>
        <w:jc w:val="center"/>
        <w:rPr>
          <w:rFonts w:ascii="方正小标宋简体" w:hAnsi="方正小标宋简体" w:eastAsia="方正小标宋简体" w:cs="方正小标宋简体"/>
          <w:color w:val="auto"/>
          <w:sz w:val="28"/>
          <w:szCs w:val="28"/>
        </w:rPr>
      </w:pPr>
    </w:p>
    <w:p>
      <w:pPr>
        <w:spacing w:line="560" w:lineRule="exact"/>
        <w:ind w:firstLine="560" w:firstLineChars="200"/>
        <w:rPr>
          <w:rFonts w:ascii="仿宋_GB2312" w:hAnsi="宋体" w:eastAsia="仿宋_GB2312"/>
          <w:color w:val="auto"/>
          <w:sz w:val="28"/>
          <w:szCs w:val="28"/>
        </w:rPr>
      </w:pPr>
      <w:r>
        <w:rPr>
          <w:rFonts w:hint="eastAsia" w:ascii="仿宋_GB2312" w:hAnsi="方正仿宋_GBK" w:eastAsia="仿宋_GB2312" w:cs="方正仿宋_GBK"/>
          <w:color w:val="auto"/>
          <w:sz w:val="28"/>
          <w:szCs w:val="28"/>
        </w:rPr>
        <w:t>本细则适用</w:t>
      </w:r>
      <w:r>
        <w:rPr>
          <w:rFonts w:hint="eastAsia" w:ascii="仿宋_GB2312" w:hAnsi="方正仿宋_GBK" w:eastAsia="仿宋_GB2312" w:cs="方正仿宋_GBK"/>
          <w:color w:val="auto"/>
          <w:sz w:val="28"/>
          <w:szCs w:val="28"/>
          <w:lang w:eastAsia="zh-CN"/>
        </w:rPr>
        <w:t>滑县</w:t>
      </w:r>
      <w:r>
        <w:rPr>
          <w:rFonts w:hint="eastAsia" w:ascii="仿宋_GB2312" w:hAnsi="方正仿宋_GBK" w:eastAsia="仿宋_GB2312" w:cs="方正仿宋_GBK"/>
          <w:color w:val="auto"/>
          <w:sz w:val="28"/>
          <w:szCs w:val="28"/>
        </w:rPr>
        <w:t>市场监督管理局组织的摩托车、电动自行车乘员头盔产品质量监督抽查。本细则规定了此产品的抽样方法、检验依据、检验项目、检验方法、判定规则等。</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黑体" w:hAnsi="黑体" w:eastAsia="黑体"/>
          <w:color w:val="auto"/>
          <w:sz w:val="28"/>
          <w:szCs w:val="28"/>
        </w:rPr>
      </w:pPr>
      <w:r>
        <w:rPr>
          <w:rFonts w:ascii="黑体" w:hAnsi="黑体" w:eastAsia="黑体"/>
          <w:color w:val="auto"/>
          <w:sz w:val="28"/>
          <w:szCs w:val="28"/>
        </w:rPr>
        <w:t>1</w:t>
      </w:r>
      <w:r>
        <w:rPr>
          <w:rFonts w:hint="eastAsia" w:ascii="黑体" w:hAnsi="黑体" w:eastAsia="黑体"/>
          <w:color w:val="auto"/>
          <w:sz w:val="28"/>
          <w:szCs w:val="28"/>
        </w:rPr>
        <w:t xml:space="preserve"> 抽样方法</w:t>
      </w:r>
    </w:p>
    <w:p>
      <w:pPr>
        <w:adjustRightInd w:val="0"/>
        <w:snapToGrid w:val="0"/>
        <w:spacing w:line="560" w:lineRule="exact"/>
        <w:ind w:firstLine="560"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以随机抽样方式在被抽样生产者、销售者的待销产品中抽取。</w:t>
      </w:r>
    </w:p>
    <w:p>
      <w:pPr>
        <w:snapToGrid w:val="0"/>
        <w:spacing w:line="594" w:lineRule="exact"/>
        <w:ind w:firstLine="560" w:firstLineChars="200"/>
        <w:rPr>
          <w:rFonts w:ascii="Times New Roman" w:hAnsi="Times New Roman" w:eastAsia="仿宋_GB2312"/>
          <w:color w:val="auto"/>
          <w:spacing w:val="-6"/>
          <w:sz w:val="28"/>
          <w:szCs w:val="28"/>
        </w:rPr>
      </w:pPr>
      <w:r>
        <w:rPr>
          <w:rFonts w:ascii="Times New Roman" w:hAnsi="Times New Roman" w:eastAsia="仿宋_GB2312"/>
          <w:color w:val="auto"/>
          <w:sz w:val="28"/>
          <w:szCs w:val="28"/>
        </w:rPr>
        <w:t>随</w:t>
      </w:r>
      <w:r>
        <w:rPr>
          <w:rFonts w:ascii="Times New Roman" w:hAnsi="Times New Roman" w:eastAsia="仿宋_GB2312"/>
          <w:color w:val="auto"/>
          <w:spacing w:val="-6"/>
          <w:sz w:val="28"/>
          <w:szCs w:val="28"/>
        </w:rPr>
        <w:t>机数一般可使用随机数表、随机数骰子或扑克牌等方法产生。</w:t>
      </w:r>
    </w:p>
    <w:p>
      <w:pPr>
        <w:pStyle w:val="13"/>
        <w:widowControl w:val="0"/>
        <w:tabs>
          <w:tab w:val="clear" w:pos="840"/>
        </w:tabs>
        <w:spacing w:before="156" w:beforeLines="50" w:after="156" w:afterLines="50" w:line="560" w:lineRule="exact"/>
        <w:ind w:firstLine="198"/>
        <w:jc w:val="center"/>
        <w:rPr>
          <w:rFonts w:ascii="仿宋_GB2312" w:hAnsi="Times New Roman" w:eastAsia="仿宋_GB2312" w:cs="Times New Roman"/>
          <w:b/>
          <w:bCs/>
          <w:color w:val="auto"/>
          <w:sz w:val="28"/>
          <w:szCs w:val="28"/>
        </w:rPr>
      </w:pPr>
      <w:r>
        <w:rPr>
          <w:rFonts w:hint="eastAsia" w:ascii="仿宋_GB2312" w:hAnsi="Times New Roman" w:eastAsia="仿宋_GB2312"/>
          <w:b/>
          <w:bCs/>
          <w:color w:val="auto"/>
          <w:sz w:val="28"/>
          <w:szCs w:val="28"/>
        </w:rPr>
        <w:t>表1 抽取样品数量</w:t>
      </w:r>
    </w:p>
    <w:tbl>
      <w:tblPr>
        <w:tblStyle w:val="9"/>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980"/>
        <w:gridCol w:w="1755"/>
        <w:gridCol w:w="2055"/>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vAlign w:val="center"/>
          </w:tcPr>
          <w:p>
            <w:pPr>
              <w:jc w:val="center"/>
              <w:rPr>
                <w:rFonts w:ascii="仿宋_GB2312" w:hAnsi="Times New Roman" w:eastAsia="仿宋_GB2312"/>
                <w:bCs/>
                <w:color w:val="auto"/>
                <w:kern w:val="0"/>
                <w:sz w:val="22"/>
                <w:szCs w:val="28"/>
              </w:rPr>
            </w:pPr>
            <w:r>
              <w:rPr>
                <w:rFonts w:hint="eastAsia" w:ascii="仿宋_GB2312" w:hAnsi="Times New Roman" w:eastAsia="仿宋_GB2312"/>
                <w:bCs/>
                <w:color w:val="auto"/>
                <w:kern w:val="0"/>
                <w:sz w:val="22"/>
                <w:szCs w:val="28"/>
              </w:rPr>
              <w:t>序号</w:t>
            </w:r>
          </w:p>
        </w:tc>
        <w:tc>
          <w:tcPr>
            <w:tcW w:w="1980" w:type="dxa"/>
            <w:vAlign w:val="center"/>
          </w:tcPr>
          <w:p>
            <w:pPr>
              <w:jc w:val="center"/>
              <w:rPr>
                <w:rFonts w:ascii="仿宋_GB2312" w:hAnsi="Times New Roman" w:eastAsia="仿宋_GB2312"/>
                <w:bCs/>
                <w:color w:val="auto"/>
                <w:kern w:val="0"/>
                <w:sz w:val="22"/>
                <w:szCs w:val="28"/>
              </w:rPr>
            </w:pPr>
            <w:r>
              <w:rPr>
                <w:rFonts w:hint="eastAsia" w:ascii="仿宋_GB2312" w:hAnsi="Times New Roman" w:eastAsia="仿宋_GB2312"/>
                <w:bCs/>
                <w:color w:val="auto"/>
                <w:kern w:val="0"/>
                <w:sz w:val="22"/>
                <w:szCs w:val="28"/>
              </w:rPr>
              <w:t>产品种类</w:t>
            </w:r>
          </w:p>
        </w:tc>
        <w:tc>
          <w:tcPr>
            <w:tcW w:w="1755" w:type="dxa"/>
            <w:vAlign w:val="center"/>
          </w:tcPr>
          <w:p>
            <w:pPr>
              <w:jc w:val="center"/>
              <w:rPr>
                <w:rFonts w:ascii="仿宋_GB2312" w:hAnsi="Times New Roman" w:eastAsia="仿宋_GB2312"/>
                <w:bCs/>
                <w:color w:val="auto"/>
                <w:kern w:val="0"/>
                <w:sz w:val="22"/>
                <w:szCs w:val="28"/>
              </w:rPr>
            </w:pPr>
            <w:r>
              <w:rPr>
                <w:rFonts w:hint="eastAsia" w:ascii="仿宋_GB2312" w:hAnsi="Times New Roman" w:eastAsia="仿宋_GB2312"/>
                <w:bCs/>
                <w:color w:val="auto"/>
                <w:kern w:val="0"/>
                <w:sz w:val="22"/>
                <w:szCs w:val="28"/>
              </w:rPr>
              <w:t>抽样数量（个）</w:t>
            </w:r>
          </w:p>
        </w:tc>
        <w:tc>
          <w:tcPr>
            <w:tcW w:w="2055" w:type="dxa"/>
            <w:vAlign w:val="center"/>
          </w:tcPr>
          <w:p>
            <w:pPr>
              <w:jc w:val="center"/>
              <w:rPr>
                <w:rFonts w:ascii="仿宋_GB2312" w:hAnsi="Times New Roman" w:eastAsia="仿宋_GB2312"/>
                <w:bCs/>
                <w:color w:val="auto"/>
                <w:kern w:val="0"/>
                <w:sz w:val="22"/>
                <w:szCs w:val="28"/>
              </w:rPr>
            </w:pPr>
            <w:r>
              <w:rPr>
                <w:rFonts w:hint="eastAsia" w:ascii="仿宋_GB2312" w:hAnsi="Times New Roman" w:eastAsia="仿宋_GB2312"/>
                <w:color w:val="auto"/>
                <w:sz w:val="22"/>
                <w:szCs w:val="28"/>
              </w:rPr>
              <w:t>检验样品数量</w:t>
            </w:r>
            <w:r>
              <w:rPr>
                <w:rFonts w:hint="eastAsia" w:ascii="仿宋_GB2312" w:hAnsi="Times New Roman" w:eastAsia="仿宋_GB2312"/>
                <w:bCs/>
                <w:color w:val="auto"/>
                <w:kern w:val="0"/>
                <w:sz w:val="22"/>
                <w:szCs w:val="28"/>
              </w:rPr>
              <w:t>（个）</w:t>
            </w:r>
          </w:p>
        </w:tc>
        <w:tc>
          <w:tcPr>
            <w:tcW w:w="2042" w:type="dxa"/>
            <w:vAlign w:val="center"/>
          </w:tcPr>
          <w:p>
            <w:pPr>
              <w:jc w:val="center"/>
              <w:rPr>
                <w:rFonts w:ascii="仿宋_GB2312" w:hAnsi="Times New Roman" w:eastAsia="仿宋_GB2312"/>
                <w:bCs/>
                <w:color w:val="auto"/>
                <w:kern w:val="0"/>
                <w:sz w:val="22"/>
                <w:szCs w:val="28"/>
              </w:rPr>
            </w:pPr>
            <w:r>
              <w:rPr>
                <w:rFonts w:hint="eastAsia" w:ascii="仿宋_GB2312" w:hAnsi="Times New Roman" w:eastAsia="仿宋_GB2312"/>
                <w:color w:val="auto"/>
                <w:sz w:val="22"/>
                <w:szCs w:val="28"/>
              </w:rPr>
              <w:t>备用样品数量</w:t>
            </w:r>
            <w:r>
              <w:rPr>
                <w:rFonts w:hint="eastAsia" w:ascii="仿宋_GB2312" w:hAnsi="Times New Roman" w:eastAsia="仿宋_GB2312"/>
                <w:bCs/>
                <w:color w:val="auto"/>
                <w:kern w:val="0"/>
                <w:sz w:val="22"/>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98" w:type="dxa"/>
            <w:vAlign w:val="center"/>
          </w:tcPr>
          <w:p>
            <w:pPr>
              <w:adjustRightInd w:val="0"/>
              <w:jc w:val="center"/>
              <w:rPr>
                <w:rFonts w:ascii="仿宋_GB2312" w:hAnsi="Times New Roman" w:eastAsia="仿宋_GB2312"/>
                <w:color w:val="auto"/>
                <w:sz w:val="22"/>
                <w:szCs w:val="28"/>
              </w:rPr>
            </w:pPr>
            <w:r>
              <w:rPr>
                <w:rFonts w:hint="eastAsia" w:ascii="仿宋_GB2312" w:hAnsi="Times New Roman" w:eastAsia="仿宋_GB2312"/>
                <w:color w:val="auto"/>
                <w:sz w:val="22"/>
                <w:szCs w:val="28"/>
              </w:rPr>
              <w:t>1</w:t>
            </w:r>
          </w:p>
        </w:tc>
        <w:tc>
          <w:tcPr>
            <w:tcW w:w="1980" w:type="dxa"/>
            <w:vAlign w:val="center"/>
          </w:tcPr>
          <w:p>
            <w:pPr>
              <w:adjustRightInd w:val="0"/>
              <w:jc w:val="center"/>
              <w:rPr>
                <w:rFonts w:ascii="仿宋_GB2312" w:hAnsi="Times New Roman" w:eastAsia="仿宋_GB2312"/>
                <w:color w:val="auto"/>
                <w:kern w:val="0"/>
                <w:sz w:val="22"/>
                <w:szCs w:val="28"/>
              </w:rPr>
            </w:pPr>
            <w:r>
              <w:rPr>
                <w:rFonts w:hint="eastAsia" w:ascii="仿宋_GB2312" w:hAnsi="Times New Roman" w:eastAsia="仿宋_GB2312"/>
                <w:color w:val="auto"/>
                <w:kern w:val="0"/>
                <w:sz w:val="22"/>
                <w:szCs w:val="28"/>
              </w:rPr>
              <w:t>摩托车、电动自行车乘员头盔</w:t>
            </w:r>
          </w:p>
        </w:tc>
        <w:tc>
          <w:tcPr>
            <w:tcW w:w="1755" w:type="dxa"/>
            <w:vAlign w:val="center"/>
          </w:tcPr>
          <w:p>
            <w:pPr>
              <w:jc w:val="center"/>
              <w:rPr>
                <w:rFonts w:ascii="仿宋_GB2312" w:hAnsi="Times New Roman" w:eastAsia="仿宋_GB2312"/>
                <w:color w:val="auto"/>
                <w:kern w:val="0"/>
                <w:sz w:val="22"/>
                <w:szCs w:val="28"/>
              </w:rPr>
            </w:pPr>
            <w:r>
              <w:rPr>
                <w:rFonts w:hint="eastAsia" w:ascii="仿宋_GB2312" w:hAnsi="Times New Roman" w:eastAsia="仿宋_GB2312"/>
                <w:color w:val="auto"/>
                <w:kern w:val="0"/>
                <w:sz w:val="22"/>
                <w:szCs w:val="28"/>
              </w:rPr>
              <w:t>6</w:t>
            </w:r>
          </w:p>
        </w:tc>
        <w:tc>
          <w:tcPr>
            <w:tcW w:w="2055" w:type="dxa"/>
            <w:vAlign w:val="center"/>
          </w:tcPr>
          <w:p>
            <w:pPr>
              <w:jc w:val="center"/>
              <w:rPr>
                <w:rFonts w:ascii="仿宋_GB2312" w:hAnsi="Times New Roman" w:eastAsia="仿宋_GB2312"/>
                <w:color w:val="auto"/>
                <w:kern w:val="0"/>
                <w:sz w:val="22"/>
                <w:szCs w:val="28"/>
              </w:rPr>
            </w:pPr>
            <w:r>
              <w:rPr>
                <w:rFonts w:hint="eastAsia" w:ascii="仿宋_GB2312" w:hAnsi="Times New Roman" w:eastAsia="仿宋_GB2312"/>
                <w:color w:val="auto"/>
                <w:kern w:val="0"/>
                <w:sz w:val="22"/>
                <w:szCs w:val="28"/>
              </w:rPr>
              <w:t>3</w:t>
            </w:r>
          </w:p>
        </w:tc>
        <w:tc>
          <w:tcPr>
            <w:tcW w:w="2042" w:type="dxa"/>
            <w:vAlign w:val="center"/>
          </w:tcPr>
          <w:p>
            <w:pPr>
              <w:jc w:val="center"/>
              <w:rPr>
                <w:rFonts w:ascii="仿宋_GB2312" w:hAnsi="Times New Roman" w:eastAsia="仿宋_GB2312"/>
                <w:color w:val="auto"/>
                <w:kern w:val="0"/>
                <w:sz w:val="22"/>
                <w:szCs w:val="28"/>
              </w:rPr>
            </w:pPr>
            <w:r>
              <w:rPr>
                <w:rFonts w:hint="eastAsia" w:ascii="仿宋_GB2312" w:hAnsi="Times New Roman" w:eastAsia="仿宋_GB2312"/>
                <w:color w:val="auto"/>
                <w:kern w:val="0"/>
                <w:sz w:val="22"/>
                <w:szCs w:val="28"/>
              </w:rPr>
              <w:t>3</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黑体" w:hAnsi="黑体" w:eastAsia="黑体"/>
          <w:color w:val="auto"/>
          <w:sz w:val="28"/>
          <w:szCs w:val="28"/>
        </w:rPr>
      </w:pPr>
      <w:r>
        <w:rPr>
          <w:rFonts w:ascii="黑体" w:hAnsi="黑体" w:eastAsia="黑体"/>
          <w:color w:val="auto"/>
          <w:sz w:val="28"/>
          <w:szCs w:val="28"/>
        </w:rPr>
        <w:t>2</w:t>
      </w:r>
      <w:r>
        <w:rPr>
          <w:rFonts w:hint="eastAsia" w:ascii="黑体" w:hAnsi="黑体" w:eastAsia="黑体"/>
          <w:color w:val="auto"/>
          <w:sz w:val="28"/>
          <w:szCs w:val="28"/>
        </w:rPr>
        <w:t xml:space="preserve"> 检验依据</w:t>
      </w:r>
    </w:p>
    <w:p>
      <w:pPr>
        <w:pStyle w:val="7"/>
        <w:widowControl w:val="0"/>
        <w:adjustRightInd w:val="0"/>
        <w:snapToGrid w:val="0"/>
        <w:spacing w:before="156" w:beforeLines="50" w:beforeAutospacing="0" w:after="156" w:afterLines="50" w:afterAutospacing="0" w:line="560" w:lineRule="exact"/>
        <w:ind w:firstLine="198"/>
        <w:contextualSpacing/>
        <w:jc w:val="center"/>
        <w:rPr>
          <w:rFonts w:ascii="仿宋_GB2312" w:hAnsi="Times New Roman" w:eastAsia="仿宋_GB2312" w:cs="黑体"/>
          <w:b/>
          <w:color w:val="auto"/>
          <w:kern w:val="2"/>
          <w:sz w:val="28"/>
          <w:szCs w:val="28"/>
        </w:rPr>
      </w:pPr>
      <w:r>
        <w:rPr>
          <w:rFonts w:hint="eastAsia" w:ascii="仿宋_GB2312" w:hAnsi="Times New Roman" w:eastAsia="仿宋_GB2312" w:cs="黑体"/>
          <w:b/>
          <w:color w:val="auto"/>
          <w:kern w:val="2"/>
          <w:sz w:val="28"/>
          <w:szCs w:val="28"/>
        </w:rPr>
        <w:t>表</w:t>
      </w:r>
      <w:r>
        <w:rPr>
          <w:rFonts w:hint="eastAsia" w:ascii="仿宋_GB2312" w:hAnsi="Times New Roman" w:eastAsia="仿宋_GB2312" w:cs="黑体"/>
          <w:b/>
          <w:color w:val="auto"/>
          <w:kern w:val="2"/>
          <w:sz w:val="28"/>
          <w:szCs w:val="28"/>
          <w:lang w:val="en-US" w:eastAsia="zh-CN"/>
        </w:rPr>
        <w:t xml:space="preserve">2 </w:t>
      </w:r>
      <w:r>
        <w:rPr>
          <w:rFonts w:hint="eastAsia" w:ascii="仿宋_GB2312" w:hAnsi="Times New Roman" w:eastAsia="仿宋_GB2312" w:cs="黑体"/>
          <w:b/>
          <w:color w:val="auto"/>
          <w:kern w:val="2"/>
          <w:sz w:val="28"/>
          <w:szCs w:val="28"/>
        </w:rPr>
        <w:t>摩托车</w:t>
      </w:r>
      <w:r>
        <w:rPr>
          <w:rFonts w:hint="eastAsia" w:eastAsia="仿宋_GB2312" w:cs="黑体" w:asciiTheme="minorHAnsi" w:hAnsiTheme="minorHAnsi"/>
          <w:b/>
          <w:color w:val="auto"/>
          <w:kern w:val="2"/>
          <w:sz w:val="28"/>
          <w:szCs w:val="28"/>
        </w:rPr>
        <w:t>、</w:t>
      </w:r>
      <w:r>
        <w:rPr>
          <w:rFonts w:hint="eastAsia" w:ascii="仿宋_GB2312" w:hAnsi="Times New Roman" w:eastAsia="仿宋_GB2312" w:cs="黑体"/>
          <w:b/>
          <w:color w:val="auto"/>
          <w:kern w:val="2"/>
          <w:sz w:val="28"/>
          <w:szCs w:val="28"/>
        </w:rPr>
        <w:t>电动自行车乘员头盔（GB 811—2022）</w:t>
      </w:r>
    </w:p>
    <w:tbl>
      <w:tblPr>
        <w:tblStyle w:val="9"/>
        <w:tblW w:w="48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2541"/>
        <w:gridCol w:w="2768"/>
        <w:gridCol w:w="3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序号</w:t>
            </w:r>
          </w:p>
        </w:tc>
        <w:tc>
          <w:tcPr>
            <w:tcW w:w="2919" w:type="pct"/>
            <w:gridSpan w:val="2"/>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检验项目</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1</w:t>
            </w:r>
          </w:p>
        </w:tc>
        <w:tc>
          <w:tcPr>
            <w:tcW w:w="2919" w:type="pct"/>
            <w:gridSpan w:val="2"/>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结构</w:t>
            </w:r>
            <w:r>
              <w:rPr>
                <w:rFonts w:hint="eastAsia" w:ascii="仿宋_GB2312" w:hAnsi="Times New Roman" w:eastAsia="仿宋_GB2312" w:cs="仿宋_GB2312"/>
                <w:color w:val="auto"/>
                <w:sz w:val="22"/>
                <w:szCs w:val="22"/>
              </w:rPr>
              <w:t>-</w:t>
            </w:r>
            <w:r>
              <w:rPr>
                <w:rFonts w:ascii="仿宋_GB2312" w:hAnsi="Times New Roman" w:eastAsia="仿宋_GB2312" w:cs="仿宋_GB2312"/>
                <w:color w:val="auto"/>
                <w:sz w:val="22"/>
                <w:szCs w:val="22"/>
              </w:rPr>
              <w:t>佩戴装置</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2</w:t>
            </w:r>
          </w:p>
        </w:tc>
        <w:tc>
          <w:tcPr>
            <w:tcW w:w="2919" w:type="pct"/>
            <w:gridSpan w:val="2"/>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视野</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3</w:t>
            </w:r>
          </w:p>
        </w:tc>
        <w:tc>
          <w:tcPr>
            <w:tcW w:w="2919" w:type="pct"/>
            <w:gridSpan w:val="2"/>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护目镜</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4</w:t>
            </w:r>
          </w:p>
        </w:tc>
        <w:tc>
          <w:tcPr>
            <w:tcW w:w="2919" w:type="pct"/>
            <w:gridSpan w:val="2"/>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固定装置稳定性</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5</w:t>
            </w:r>
          </w:p>
        </w:tc>
        <w:tc>
          <w:tcPr>
            <w:tcW w:w="2919" w:type="pct"/>
            <w:gridSpan w:val="2"/>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佩戴装置强度</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Merge w:val="restar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6</w:t>
            </w:r>
          </w:p>
        </w:tc>
        <w:tc>
          <w:tcPr>
            <w:tcW w:w="1397" w:type="pct"/>
            <w:vMerge w:val="restar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吸收碰撞能量性能</w:t>
            </w:r>
          </w:p>
        </w:tc>
        <w:tc>
          <w:tcPr>
            <w:tcW w:w="1522"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低温</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Merge w:val="continue"/>
            <w:vAlign w:val="center"/>
          </w:tcPr>
          <w:p>
            <w:pPr>
              <w:adjustRightInd w:val="0"/>
              <w:snapToGrid w:val="0"/>
              <w:jc w:val="center"/>
              <w:rPr>
                <w:rFonts w:ascii="仿宋_GB2312" w:hAnsi="Times New Roman" w:eastAsia="仿宋_GB2312" w:cs="仿宋_GB2312"/>
                <w:color w:val="auto"/>
                <w:sz w:val="22"/>
                <w:szCs w:val="22"/>
              </w:rPr>
            </w:pPr>
          </w:p>
        </w:tc>
        <w:tc>
          <w:tcPr>
            <w:tcW w:w="1397" w:type="pct"/>
            <w:vMerge w:val="continue"/>
            <w:vAlign w:val="center"/>
          </w:tcPr>
          <w:p>
            <w:pPr>
              <w:adjustRightInd w:val="0"/>
              <w:snapToGrid w:val="0"/>
              <w:jc w:val="center"/>
              <w:rPr>
                <w:rFonts w:ascii="仿宋_GB2312" w:hAnsi="Times New Roman" w:eastAsia="仿宋_GB2312" w:cs="仿宋_GB2312"/>
                <w:color w:val="auto"/>
                <w:sz w:val="22"/>
                <w:szCs w:val="22"/>
              </w:rPr>
            </w:pPr>
          </w:p>
        </w:tc>
        <w:tc>
          <w:tcPr>
            <w:tcW w:w="1522"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高温</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5"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7</w:t>
            </w:r>
          </w:p>
        </w:tc>
        <w:tc>
          <w:tcPr>
            <w:tcW w:w="1397"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耐穿透性能</w:t>
            </w:r>
          </w:p>
        </w:tc>
        <w:tc>
          <w:tcPr>
            <w:tcW w:w="1522" w:type="pct"/>
            <w:vAlign w:val="center"/>
          </w:tcPr>
          <w:p>
            <w:pPr>
              <w:adjustRightInd w:val="0"/>
              <w:snapToGrid w:val="0"/>
              <w:jc w:val="center"/>
              <w:rPr>
                <w:rFonts w:ascii="仿宋_GB2312" w:hAnsi="Times New Roman" w:eastAsia="仿宋_GB2312" w:cs="仿宋_GB2312"/>
                <w:color w:val="auto"/>
                <w:sz w:val="22"/>
                <w:szCs w:val="22"/>
              </w:rPr>
            </w:pPr>
            <w:r>
              <w:rPr>
                <w:rFonts w:ascii="仿宋_GB2312" w:hAnsi="Times New Roman" w:eastAsia="仿宋_GB2312" w:cs="仿宋_GB2312"/>
                <w:color w:val="auto"/>
                <w:sz w:val="22"/>
                <w:szCs w:val="22"/>
              </w:rPr>
              <w:t>低温</w:t>
            </w:r>
          </w:p>
        </w:tc>
        <w:tc>
          <w:tcPr>
            <w:tcW w:w="1656" w:type="pct"/>
            <w:vAlign w:val="center"/>
          </w:tcPr>
          <w:p>
            <w:pPr>
              <w:adjustRightInd w:val="0"/>
              <w:snapToGrid w:val="0"/>
              <w:jc w:val="center"/>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GB 811—2022</w:t>
            </w:r>
          </w:p>
        </w:tc>
      </w:tr>
    </w:tbl>
    <w:p>
      <w:pPr>
        <w:adjustRightInd w:val="0"/>
        <w:snapToGrid w:val="0"/>
        <w:spacing w:line="560" w:lineRule="exact"/>
        <w:ind w:firstLine="560"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执行企业标准、团体标准、地方标准的产品，检验项目参照上述内容执行。</w:t>
      </w:r>
    </w:p>
    <w:p>
      <w:pPr>
        <w:adjustRightInd w:val="0"/>
        <w:snapToGrid w:val="0"/>
        <w:spacing w:line="560" w:lineRule="exact"/>
        <w:ind w:firstLine="560"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凡是注日期的文件，其随后所有的修改单（不包括勘误的内容）或修订版不适用于本细则。凡是不注日期的文件，其最新版本适用于本细则。</w:t>
      </w:r>
    </w:p>
    <w:p>
      <w:pPr>
        <w:adjustRightInd w:val="0"/>
        <w:snapToGrid w:val="0"/>
        <w:spacing w:line="560" w:lineRule="exact"/>
        <w:ind w:firstLine="560" w:firstLineChars="200"/>
        <w:rPr>
          <w:rFonts w:ascii="黑体" w:hAnsi="黑体" w:eastAsia="黑体"/>
          <w:color w:val="auto"/>
          <w:sz w:val="28"/>
          <w:szCs w:val="28"/>
        </w:rPr>
      </w:pPr>
      <w:r>
        <w:rPr>
          <w:rFonts w:ascii="黑体" w:hAnsi="黑体" w:eastAsia="黑体"/>
          <w:color w:val="auto"/>
          <w:sz w:val="28"/>
          <w:szCs w:val="28"/>
        </w:rPr>
        <w:t>3</w:t>
      </w:r>
      <w:r>
        <w:rPr>
          <w:rFonts w:hint="eastAsia" w:ascii="黑体" w:hAnsi="黑体" w:eastAsia="黑体"/>
          <w:color w:val="auto"/>
          <w:sz w:val="28"/>
          <w:szCs w:val="28"/>
        </w:rPr>
        <w:t xml:space="preserve"> 判定规则</w:t>
      </w:r>
    </w:p>
    <w:p>
      <w:pPr>
        <w:adjustRightInd w:val="0"/>
        <w:snapToGrid w:val="0"/>
        <w:spacing w:line="560" w:lineRule="exact"/>
        <w:ind w:firstLine="562" w:firstLineChars="200"/>
        <w:rPr>
          <w:rFonts w:ascii="楷体_GB2312" w:hAnsi="Times New Roman" w:eastAsia="楷体_GB2312"/>
          <w:b/>
          <w:color w:val="auto"/>
          <w:sz w:val="28"/>
          <w:szCs w:val="28"/>
        </w:rPr>
      </w:pPr>
      <w:r>
        <w:rPr>
          <w:rFonts w:hint="eastAsia" w:ascii="楷体_GB2312" w:hAnsi="Times New Roman" w:eastAsia="楷体_GB2312"/>
          <w:b/>
          <w:color w:val="auto"/>
          <w:sz w:val="28"/>
          <w:szCs w:val="28"/>
        </w:rPr>
        <w:t>3.1依据标准</w:t>
      </w:r>
    </w:p>
    <w:p>
      <w:pPr>
        <w:adjustRightInd w:val="0"/>
        <w:snapToGrid w:val="0"/>
        <w:spacing w:line="560" w:lineRule="exact"/>
        <w:ind w:firstLine="560" w:firstLineChars="200"/>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GB 811—2022摩托车、电动自行车乘员头盔</w:t>
      </w:r>
    </w:p>
    <w:p>
      <w:pPr>
        <w:adjustRightInd w:val="0"/>
        <w:snapToGrid w:val="0"/>
        <w:spacing w:line="560" w:lineRule="exact"/>
        <w:ind w:firstLine="560" w:firstLineChars="200"/>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注：GB 811—2022实施日期2023年7月1日</w:t>
      </w:r>
    </w:p>
    <w:p>
      <w:pPr>
        <w:adjustRightInd w:val="0"/>
        <w:snapToGrid w:val="0"/>
        <w:spacing w:line="560" w:lineRule="exact"/>
        <w:ind w:firstLine="560"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现行有效的企业标准、团体标准、地方标准及产品明示质量要求</w:t>
      </w:r>
    </w:p>
    <w:p>
      <w:pPr>
        <w:adjustRightInd w:val="0"/>
        <w:snapToGrid w:val="0"/>
        <w:spacing w:line="560" w:lineRule="exact"/>
        <w:ind w:firstLine="562" w:firstLineChars="200"/>
        <w:rPr>
          <w:rFonts w:ascii="楷体_GB2312" w:hAnsi="Times New Roman" w:eastAsia="楷体_GB2312"/>
          <w:b/>
          <w:color w:val="auto"/>
          <w:sz w:val="28"/>
          <w:szCs w:val="28"/>
        </w:rPr>
      </w:pPr>
      <w:r>
        <w:rPr>
          <w:rFonts w:hint="eastAsia" w:ascii="楷体_GB2312" w:hAnsi="Times New Roman" w:eastAsia="楷体_GB2312"/>
          <w:b/>
          <w:color w:val="auto"/>
          <w:sz w:val="28"/>
          <w:szCs w:val="28"/>
        </w:rPr>
        <w:t>3.2判定原则</w:t>
      </w:r>
    </w:p>
    <w:p>
      <w:pPr>
        <w:adjustRightInd w:val="0"/>
        <w:snapToGrid w:val="0"/>
        <w:spacing w:line="560" w:lineRule="exact"/>
        <w:ind w:firstLine="557" w:firstLineChars="199"/>
        <w:rPr>
          <w:rFonts w:ascii="仿宋_GB2312" w:hAnsi="Times New Roman" w:eastAsia="仿宋_GB2312"/>
          <w:color w:val="auto"/>
          <w:sz w:val="28"/>
          <w:szCs w:val="28"/>
        </w:rPr>
      </w:pPr>
      <w:r>
        <w:rPr>
          <w:rFonts w:hint="eastAsia" w:ascii="仿宋_GB2312" w:hAnsi="Times New Roman" w:eastAsia="仿宋_GB2312"/>
          <w:color w:val="auto"/>
          <w:sz w:val="28"/>
          <w:szCs w:val="28"/>
        </w:rPr>
        <w:t>经检验，检验项目全部合格，判定为被抽查产品所检项目未发现不合格；检验项目中任一项或一项以上不合格，判定为被抽查产品不合格。</w:t>
      </w:r>
    </w:p>
    <w:p>
      <w:pPr>
        <w:adjustRightInd w:val="0"/>
        <w:snapToGrid w:val="0"/>
        <w:spacing w:line="560" w:lineRule="exact"/>
        <w:ind w:firstLine="557" w:firstLineChars="199"/>
        <w:rPr>
          <w:rFonts w:ascii="仿宋_GB2312" w:hAnsi="Times New Roman" w:eastAsia="仿宋_GB2312"/>
          <w:color w:val="auto"/>
          <w:sz w:val="28"/>
          <w:szCs w:val="28"/>
        </w:rPr>
      </w:pPr>
      <w:r>
        <w:rPr>
          <w:rFonts w:hint="eastAsia" w:ascii="仿宋_GB2312" w:hAnsi="Times New Roman" w:eastAsia="仿宋_GB2312"/>
          <w:color w:val="auto"/>
          <w:sz w:val="28"/>
          <w:szCs w:val="28"/>
        </w:rPr>
        <w:t>若被检产品明示的质量要求高于本细则中检验项目依据的标准要求时，应按被检产品明示的质量要求判定。</w:t>
      </w:r>
    </w:p>
    <w:p>
      <w:pPr>
        <w:adjustRightInd w:val="0"/>
        <w:snapToGrid w:val="0"/>
        <w:spacing w:line="560" w:lineRule="exact"/>
        <w:ind w:firstLine="557" w:firstLineChars="199"/>
        <w:rPr>
          <w:rFonts w:ascii="仿宋_GB2312" w:hAnsi="Times New Roman" w:eastAsia="仿宋_GB2312"/>
          <w:color w:val="auto"/>
          <w:sz w:val="28"/>
          <w:szCs w:val="28"/>
        </w:rPr>
      </w:pPr>
      <w:r>
        <w:rPr>
          <w:rFonts w:hint="eastAsia" w:ascii="仿宋_GB2312" w:hAnsi="Times New Roman" w:eastAsia="仿宋_GB2312"/>
          <w:color w:val="auto"/>
          <w:sz w:val="28"/>
          <w:szCs w:val="28"/>
        </w:rPr>
        <w:t>若被检产品明示的质量要求低于本细则中检验项目依据的强制性标准要求时，应按照强制性标准要求判定。</w:t>
      </w:r>
    </w:p>
    <w:p>
      <w:pPr>
        <w:adjustRightInd w:val="0"/>
        <w:snapToGrid w:val="0"/>
        <w:spacing w:line="560" w:lineRule="exact"/>
        <w:ind w:firstLine="557" w:firstLineChars="199"/>
        <w:rPr>
          <w:rFonts w:ascii="仿宋_GB2312" w:hAnsi="Times New Roman" w:eastAsia="仿宋_GB2312"/>
          <w:color w:val="auto"/>
          <w:sz w:val="28"/>
          <w:szCs w:val="28"/>
        </w:rPr>
      </w:pPr>
      <w:r>
        <w:rPr>
          <w:rFonts w:hint="eastAsia" w:ascii="仿宋_GB2312" w:hAnsi="Times New Roman" w:eastAsia="仿宋_GB2312"/>
          <w:color w:val="auto"/>
          <w:sz w:val="28"/>
          <w:szCs w:val="28"/>
        </w:rPr>
        <w:t>若被检产品明示的质量要求低于或包含本细则中检验项目依据的推荐性标准要求时，应以被检产品明示的质量要求判定。</w:t>
      </w:r>
    </w:p>
    <w:p>
      <w:pPr>
        <w:adjustRightInd w:val="0"/>
        <w:snapToGrid w:val="0"/>
        <w:spacing w:line="560" w:lineRule="exact"/>
        <w:ind w:firstLine="557" w:firstLineChars="199"/>
        <w:rPr>
          <w:rFonts w:ascii="仿宋_GB2312" w:hAnsi="Times New Roman" w:eastAsia="仿宋_GB2312"/>
          <w:color w:val="auto"/>
          <w:sz w:val="28"/>
          <w:szCs w:val="28"/>
        </w:rPr>
      </w:pPr>
      <w:r>
        <w:rPr>
          <w:rFonts w:hint="eastAsia" w:ascii="仿宋_GB2312" w:hAnsi="Times New Roman" w:eastAsia="仿宋_GB2312"/>
          <w:color w:val="auto"/>
          <w:sz w:val="28"/>
          <w:szCs w:val="28"/>
        </w:rPr>
        <w:t>若被检产品明示的质量要求缺少本细则中检验项目依据的强制性标准要求时，应按照强制性标准要求判定。</w:t>
      </w:r>
    </w:p>
    <w:p>
      <w:pPr>
        <w:adjustRightInd w:val="0"/>
        <w:snapToGrid w:val="0"/>
        <w:spacing w:line="560" w:lineRule="exact"/>
        <w:ind w:firstLine="557" w:firstLineChars="199"/>
        <w:rPr>
          <w:color w:val="auto"/>
          <w:sz w:val="20"/>
          <w:szCs w:val="22"/>
        </w:rPr>
      </w:pPr>
      <w:r>
        <w:rPr>
          <w:rFonts w:hint="eastAsia" w:ascii="仿宋_GB2312" w:hAnsi="Times New Roman" w:eastAsia="仿宋_GB2312"/>
          <w:color w:val="auto"/>
          <w:sz w:val="28"/>
          <w:szCs w:val="28"/>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18" w:bottom="1985" w:left="1418"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1M2NmZTA5NjEzYzdjYjE3MTkwMTNiMmQyMjg2M2QifQ=="/>
  </w:docVars>
  <w:rsids>
    <w:rsidRoot w:val="39781C86"/>
    <w:rsid w:val="00036878"/>
    <w:rsid w:val="0004509E"/>
    <w:rsid w:val="001C7B21"/>
    <w:rsid w:val="0040572C"/>
    <w:rsid w:val="00C95847"/>
    <w:rsid w:val="00CA55E4"/>
    <w:rsid w:val="00DB6251"/>
    <w:rsid w:val="00DD44DD"/>
    <w:rsid w:val="00E70C93"/>
    <w:rsid w:val="00FB65C5"/>
    <w:rsid w:val="052C7B5E"/>
    <w:rsid w:val="0DB64C81"/>
    <w:rsid w:val="13845DCF"/>
    <w:rsid w:val="1E571869"/>
    <w:rsid w:val="2010152B"/>
    <w:rsid w:val="2956645F"/>
    <w:rsid w:val="2F3766DE"/>
    <w:rsid w:val="35E73F68"/>
    <w:rsid w:val="39781C86"/>
    <w:rsid w:val="44F93B4E"/>
    <w:rsid w:val="47411C6B"/>
    <w:rsid w:val="4A7F5F6E"/>
    <w:rsid w:val="595A5390"/>
    <w:rsid w:val="60F22C6B"/>
    <w:rsid w:val="6D7F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Plain Text"/>
    <w:basedOn w:val="1"/>
    <w:link w:val="17"/>
    <w:qFormat/>
    <w:uiPriority w:val="99"/>
    <w:rPr>
      <w:rFonts w:ascii="宋体" w:hAnsi="Courier New"/>
      <w:kern w:val="0"/>
      <w:sz w:val="20"/>
      <w:szCs w:val="20"/>
    </w:rPr>
  </w:style>
  <w:style w:type="paragraph" w:styleId="4">
    <w:name w:val="Balloon Text"/>
    <w:basedOn w:val="1"/>
    <w:link w:val="20"/>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9"/>
    <w:qFormat/>
    <w:uiPriority w:val="0"/>
    <w:rPr>
      <w:b/>
      <w:bCs/>
    </w:rPr>
  </w:style>
  <w:style w:type="character" w:styleId="11">
    <w:name w:val="page number"/>
    <w:basedOn w:val="10"/>
    <w:qFormat/>
    <w:uiPriority w:val="0"/>
  </w:style>
  <w:style w:type="character" w:styleId="12">
    <w:name w:val="annotation reference"/>
    <w:basedOn w:val="10"/>
    <w:qFormat/>
    <w:uiPriority w:val="0"/>
    <w:rPr>
      <w:sz w:val="21"/>
      <w:szCs w:val="21"/>
    </w:rPr>
  </w:style>
  <w:style w:type="paragraph" w:customStyle="1" w:styleId="13">
    <w:name w:val="列项·"/>
    <w:qFormat/>
    <w:uiPriority w:val="99"/>
    <w:pPr>
      <w:tabs>
        <w:tab w:val="left" w:pos="840"/>
      </w:tabs>
      <w:ind w:left="420"/>
      <w:jc w:val="both"/>
    </w:pPr>
    <w:rPr>
      <w:rFonts w:ascii="宋体" w:hAnsi="Calibri" w:eastAsia="宋体" w:cs="宋体"/>
      <w:lang w:val="en-US" w:eastAsia="zh-CN" w:bidi="ar-SA"/>
    </w:rPr>
  </w:style>
  <w:style w:type="paragraph" w:customStyle="1" w:styleId="14">
    <w:name w:val="二级无标题条"/>
    <w:basedOn w:val="1"/>
    <w:qFormat/>
    <w:uiPriority w:val="0"/>
    <w:rPr>
      <w:szCs w:val="21"/>
    </w:rPr>
  </w:style>
  <w:style w:type="paragraph" w:customStyle="1" w:styleId="15">
    <w:name w:val="段"/>
    <w:qFormat/>
    <w:uiPriority w:val="0"/>
    <w:pPr>
      <w:autoSpaceDE w:val="0"/>
      <w:autoSpaceDN w:val="0"/>
      <w:ind w:firstLine="420"/>
      <w:jc w:val="both"/>
    </w:pPr>
    <w:rPr>
      <w:rFonts w:ascii="Calibri" w:hAnsi="Calibri" w:eastAsia="宋体" w:cs="Times New Roman"/>
      <w:color w:val="000000"/>
      <w:lang w:val="en-US" w:eastAsia="zh-CN" w:bidi="ar-SA"/>
    </w:rPr>
  </w:style>
  <w:style w:type="paragraph" w:customStyle="1" w:styleId="16">
    <w:name w:val="二级条标题"/>
    <w:basedOn w:val="1"/>
    <w:next w:val="15"/>
    <w:qFormat/>
    <w:uiPriority w:val="0"/>
    <w:pPr>
      <w:widowControl/>
      <w:tabs>
        <w:tab w:val="left" w:pos="1680"/>
      </w:tabs>
      <w:ind w:left="1680" w:hanging="420"/>
      <w:outlineLvl w:val="3"/>
    </w:pPr>
    <w:rPr>
      <w:rFonts w:ascii="黑体" w:eastAsia="黑体"/>
      <w:kern w:val="0"/>
      <w:szCs w:val="20"/>
    </w:rPr>
  </w:style>
  <w:style w:type="character" w:customStyle="1" w:styleId="17">
    <w:name w:val="纯文本 Char"/>
    <w:link w:val="3"/>
    <w:qFormat/>
    <w:uiPriority w:val="99"/>
    <w:rPr>
      <w:rFonts w:ascii="宋体" w:hAnsi="Courier New"/>
    </w:rPr>
  </w:style>
  <w:style w:type="character" w:customStyle="1" w:styleId="18">
    <w:name w:val="批注文字 Char"/>
    <w:basedOn w:val="10"/>
    <w:link w:val="2"/>
    <w:qFormat/>
    <w:uiPriority w:val="0"/>
    <w:rPr>
      <w:kern w:val="2"/>
      <w:sz w:val="21"/>
      <w:szCs w:val="24"/>
    </w:rPr>
  </w:style>
  <w:style w:type="character" w:customStyle="1" w:styleId="19">
    <w:name w:val="批注主题 Char"/>
    <w:basedOn w:val="18"/>
    <w:link w:val="8"/>
    <w:qFormat/>
    <w:uiPriority w:val="0"/>
    <w:rPr>
      <w:b/>
      <w:bCs/>
      <w:kern w:val="2"/>
      <w:sz w:val="21"/>
      <w:szCs w:val="24"/>
    </w:rPr>
  </w:style>
  <w:style w:type="character" w:customStyle="1" w:styleId="20">
    <w:name w:val="批注框文本 Char"/>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3</Pages>
  <Words>907</Words>
  <Characters>1057</Characters>
  <Lines>8</Lines>
  <Paragraphs>2</Paragraphs>
  <TotalTime>8</TotalTime>
  <ScaleCrop>false</ScaleCrop>
  <LinksUpToDate>false</LinksUpToDate>
  <CharactersWithSpaces>1084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2023-02-28T09:10:00Z</dcterms:created>
  <dc:creator>Administrator</dc:creator>
  <cp:lastModifiedBy>周</cp:lastModifiedBy>
  <dcterms:modified xsi:type="dcterms:W3CDTF">2023-11-02T07:18:08Z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307EE1A3A7F7413AA21AA17410869444</vt:lpwstr>
  </property>
</Properties>
</file>