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lang w:eastAsia="zh-CN"/>
        </w:rPr>
        <w:t>塑料一次性餐具</w:t>
      </w:r>
      <w:r>
        <w:rPr>
          <w:rFonts w:hint="eastAsia" w:ascii="方正小标宋简体" w:hAnsi="方正小标宋简体" w:eastAsia="方正小标宋简体" w:cs="方正小标宋简体"/>
          <w:color w:val="000000"/>
          <w:sz w:val="32"/>
          <w:szCs w:val="32"/>
        </w:rPr>
        <w:t>产品质量</w:t>
      </w:r>
      <w:r>
        <w:rPr>
          <w:rFonts w:hint="eastAsia" w:ascii="方正小标宋简体" w:hAnsi="方正小标宋简体" w:eastAsia="方正小标宋简体" w:cs="方正小标宋简体"/>
          <w:color w:val="000000"/>
          <w:sz w:val="32"/>
          <w:szCs w:val="32"/>
          <w:lang w:val="en-US" w:eastAsia="zh-CN"/>
        </w:rPr>
        <w:t>滑县</w:t>
      </w:r>
      <w:r>
        <w:rPr>
          <w:rFonts w:hint="eastAsia" w:ascii="方正小标宋简体" w:hAnsi="方正小标宋简体" w:eastAsia="方正小标宋简体" w:cs="方正小标宋简体"/>
          <w:color w:val="000000"/>
          <w:sz w:val="32"/>
          <w:szCs w:val="32"/>
        </w:rPr>
        <w:t>监督抽查实施细则</w:t>
      </w:r>
    </w:p>
    <w:p>
      <w:pPr>
        <w:snapToGrid w:val="0"/>
        <w:spacing w:line="560" w:lineRule="exact"/>
        <w:jc w:val="center"/>
        <w:rPr>
          <w:rFonts w:hint="eastAsia" w:ascii="方正小标宋简体" w:hAnsi="方正小标宋简体" w:eastAsia="方正小标宋简体" w:cs="方正小标宋简体"/>
          <w:color w:val="000000"/>
          <w:sz w:val="32"/>
          <w:szCs w:val="32"/>
          <w:lang w:eastAsia="zh-CN"/>
        </w:rPr>
      </w:pPr>
      <w:r>
        <w:rPr>
          <w:rFonts w:hint="eastAsia" w:ascii="方正小标宋简体" w:hAnsi="方正小标宋简体" w:eastAsia="方正小标宋简体" w:cs="方正小标宋简体"/>
          <w:color w:val="000000"/>
          <w:sz w:val="32"/>
          <w:szCs w:val="32"/>
          <w:lang w:eastAsia="zh-CN"/>
        </w:rPr>
        <w:t>（</w:t>
      </w:r>
      <w:r>
        <w:rPr>
          <w:rFonts w:hint="eastAsia" w:ascii="方正小标宋简体" w:hAnsi="方正小标宋简体" w:eastAsia="方正小标宋简体" w:cs="方正小标宋简体"/>
          <w:color w:val="000000"/>
          <w:sz w:val="32"/>
          <w:szCs w:val="32"/>
          <w:lang w:val="en-US" w:eastAsia="zh-CN"/>
        </w:rPr>
        <w:t>2023年版</w:t>
      </w:r>
      <w:r>
        <w:rPr>
          <w:rFonts w:hint="eastAsia" w:ascii="方正小标宋简体" w:hAnsi="方正小标宋简体" w:eastAsia="方正小标宋简体" w:cs="方正小标宋简体"/>
          <w:color w:val="000000"/>
          <w:sz w:val="32"/>
          <w:szCs w:val="32"/>
          <w:lang w:eastAsia="zh-CN"/>
        </w:rPr>
        <w:t>）</w:t>
      </w:r>
    </w:p>
    <w:p>
      <w:pPr>
        <w:snapToGrid w:val="0"/>
        <w:spacing w:line="560" w:lineRule="exact"/>
        <w:jc w:val="center"/>
        <w:rPr>
          <w:rFonts w:hint="eastAsia" w:ascii="方正小标宋简体" w:hAnsi="方正小标宋简体" w:eastAsia="方正小标宋简体" w:cs="方正小标宋简体"/>
          <w:color w:val="000000"/>
          <w:sz w:val="44"/>
          <w:szCs w:val="44"/>
        </w:rPr>
      </w:pPr>
    </w:p>
    <w:p>
      <w:pPr>
        <w:spacing w:line="560" w:lineRule="exact"/>
        <w:ind w:firstLine="548" w:firstLineChars="200"/>
        <w:rPr>
          <w:rFonts w:ascii="Times New Roman" w:hAnsi="Times New Roman" w:eastAsia="仿宋_GB2312"/>
          <w:color w:val="auto"/>
          <w:sz w:val="28"/>
          <w:szCs w:val="28"/>
        </w:rPr>
      </w:pPr>
      <w:r>
        <w:rPr>
          <w:rFonts w:hint="eastAsia" w:ascii="仿宋_GB2312" w:hAnsi="方正仿宋_GBK" w:eastAsia="仿宋_GB2312" w:cs="方正仿宋_GBK"/>
          <w:color w:val="auto"/>
          <w:sz w:val="28"/>
          <w:szCs w:val="28"/>
        </w:rPr>
        <w:t>本细则适用</w:t>
      </w:r>
      <w:r>
        <w:rPr>
          <w:rFonts w:hint="eastAsia" w:ascii="仿宋_GB2312" w:hAnsi="方正仿宋_GBK" w:eastAsia="仿宋_GB2312" w:cs="方正仿宋_GBK"/>
          <w:color w:val="auto"/>
          <w:sz w:val="28"/>
          <w:szCs w:val="28"/>
          <w:lang w:val="en-US" w:eastAsia="zh-CN"/>
        </w:rPr>
        <w:t>滑县</w:t>
      </w:r>
      <w:r>
        <w:rPr>
          <w:rFonts w:hint="eastAsia" w:ascii="仿宋_GB2312" w:hAnsi="方正仿宋_GBK" w:eastAsia="仿宋_GB2312" w:cs="方正仿宋_GBK"/>
          <w:color w:val="auto"/>
          <w:sz w:val="28"/>
          <w:szCs w:val="28"/>
        </w:rPr>
        <w:t>市场监督管理局组织的</w:t>
      </w:r>
      <w:r>
        <w:rPr>
          <w:rFonts w:hint="eastAsia" w:ascii="仿宋_GB2312" w:hAnsi="方正仿宋_GBK" w:eastAsia="仿宋_GB2312" w:cs="方正仿宋_GBK"/>
          <w:color w:val="auto"/>
          <w:sz w:val="28"/>
          <w:szCs w:val="28"/>
          <w:lang w:eastAsia="zh-CN"/>
        </w:rPr>
        <w:t>塑料一次性餐具</w:t>
      </w:r>
      <w:r>
        <w:rPr>
          <w:rFonts w:hint="eastAsia" w:ascii="仿宋_GB2312" w:hAnsi="方正仿宋_GBK" w:eastAsia="仿宋_GB2312" w:cs="方正仿宋_GBK"/>
          <w:color w:val="auto"/>
          <w:sz w:val="28"/>
          <w:szCs w:val="28"/>
        </w:rPr>
        <w:t>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rPr>
        <w:t>1</w:t>
      </w:r>
      <w:r>
        <w:rPr>
          <w:rFonts w:hint="eastAsia" w:ascii="黑体" w:hAnsi="黑体" w:eastAsia="黑体" w:cs="黑体"/>
          <w:color w:val="auto"/>
          <w:sz w:val="28"/>
          <w:szCs w:val="28"/>
          <w:lang w:val="en-US" w:eastAsia="zh-CN"/>
        </w:rPr>
        <w:t xml:space="preserve"> </w:t>
      </w:r>
      <w:r>
        <w:rPr>
          <w:rFonts w:hint="eastAsia" w:ascii="黑体" w:hAnsi="黑体" w:eastAsia="黑体"/>
          <w:color w:val="auto"/>
          <w:sz w:val="28"/>
          <w:szCs w:val="28"/>
        </w:rPr>
        <w:t>抽样</w:t>
      </w:r>
      <w:r>
        <w:rPr>
          <w:rFonts w:hint="eastAsia" w:ascii="黑体" w:hAnsi="黑体" w:eastAsia="黑体" w:cs="Times New Roman"/>
          <w:color w:val="auto"/>
          <w:sz w:val="28"/>
          <w:szCs w:val="28"/>
        </w:rPr>
        <w:t>方法</w:t>
      </w:r>
    </w:p>
    <w:p>
      <w:pPr>
        <w:spacing w:line="560" w:lineRule="exact"/>
        <w:ind w:firstLine="548" w:firstLineChars="200"/>
        <w:rPr>
          <w:rFonts w:hint="eastAsia" w:ascii="仿宋_GB2312" w:hAnsi="方正仿宋_GBK" w:eastAsia="仿宋_GB2312" w:cs="方正仿宋_GBK"/>
          <w:color w:val="auto"/>
          <w:sz w:val="28"/>
          <w:szCs w:val="28"/>
        </w:rPr>
      </w:pPr>
      <w:r>
        <w:rPr>
          <w:rFonts w:hint="eastAsia" w:ascii="仿宋_GB2312" w:hAnsi="方正仿宋_GBK" w:eastAsia="仿宋_GB2312" w:cs="方正仿宋_GBK"/>
          <w:color w:val="auto"/>
          <w:sz w:val="28"/>
          <w:szCs w:val="28"/>
        </w:rPr>
        <w:t>以随机抽样方式在被抽样生产者、销售者的待销产品中抽取。</w:t>
      </w:r>
    </w:p>
    <w:p>
      <w:pPr>
        <w:spacing w:line="560" w:lineRule="exact"/>
        <w:ind w:firstLine="548" w:firstLineChars="200"/>
        <w:rPr>
          <w:rFonts w:hint="eastAsia" w:ascii="仿宋_GB2312" w:hAnsi="方正仿宋_GBK" w:eastAsia="仿宋_GB2312" w:cs="方正仿宋_GBK"/>
          <w:color w:val="auto"/>
          <w:sz w:val="28"/>
          <w:szCs w:val="28"/>
        </w:rPr>
      </w:pPr>
      <w:r>
        <w:rPr>
          <w:rFonts w:hint="eastAsia" w:ascii="仿宋_GB2312" w:hAnsi="方正仿宋_GBK" w:eastAsia="仿宋_GB2312" w:cs="方正仿宋_GBK"/>
          <w:color w:val="auto"/>
          <w:sz w:val="28"/>
          <w:szCs w:val="28"/>
        </w:rPr>
        <w:t>随机数一般可使用随机数表等方法产生。</w:t>
      </w:r>
    </w:p>
    <w:p>
      <w:pPr>
        <w:pStyle w:val="26"/>
        <w:keepNext w:val="0"/>
        <w:keepLines w:val="0"/>
        <w:pageBreakBefore w:val="0"/>
        <w:widowControl w:val="0"/>
        <w:kinsoku/>
        <w:wordWrap/>
        <w:overflowPunct/>
        <w:topLinePunct w:val="0"/>
        <w:autoSpaceDE/>
        <w:autoSpaceDN/>
        <w:bidi w:val="0"/>
        <w:adjustRightInd/>
        <w:snapToGrid/>
        <w:spacing w:line="560" w:lineRule="exact"/>
        <w:ind w:left="0" w:firstLine="0"/>
        <w:jc w:val="center"/>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表1 抽取样品数量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066"/>
        <w:gridCol w:w="2176"/>
        <w:gridCol w:w="3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799" w:type="dxa"/>
            <w:noWrap w:val="0"/>
            <w:vAlign w:val="center"/>
          </w:tcPr>
          <w:p>
            <w:pPr>
              <w:adjustRightInd w:val="0"/>
              <w:snapToGrid w:val="0"/>
              <w:jc w:val="center"/>
              <w:rPr>
                <w:rFonts w:hint="eastAsia" w:ascii="仿宋_GB2312" w:hAnsi="宋体" w:eastAsia="仿宋_GB2312"/>
                <w:color w:val="auto"/>
                <w:sz w:val="22"/>
                <w:szCs w:val="21"/>
              </w:rPr>
            </w:pPr>
            <w:r>
              <w:rPr>
                <w:rFonts w:hint="eastAsia" w:ascii="仿宋_GB2312" w:hAnsi="宋体" w:eastAsia="仿宋_GB2312"/>
                <w:color w:val="auto"/>
                <w:sz w:val="22"/>
                <w:szCs w:val="21"/>
              </w:rPr>
              <w:t>序号</w:t>
            </w:r>
          </w:p>
        </w:tc>
        <w:tc>
          <w:tcPr>
            <w:tcW w:w="2066" w:type="dxa"/>
            <w:noWrap w:val="0"/>
            <w:vAlign w:val="center"/>
          </w:tcPr>
          <w:p>
            <w:pPr>
              <w:adjustRightInd w:val="0"/>
              <w:snapToGrid w:val="0"/>
              <w:jc w:val="center"/>
              <w:rPr>
                <w:rFonts w:hint="eastAsia" w:ascii="Times New Roman" w:hAnsi="Times New Roman" w:eastAsia="仿宋_GB2312" w:cs="Times New Roman"/>
                <w:color w:val="auto"/>
                <w:kern w:val="2"/>
                <w:sz w:val="22"/>
                <w:szCs w:val="22"/>
                <w:lang w:val="en-US" w:eastAsia="zh-CN" w:bidi="ar-SA"/>
              </w:rPr>
            </w:pPr>
            <w:r>
              <w:rPr>
                <w:rFonts w:ascii="Times New Roman" w:hAnsi="Times New Roman" w:eastAsia="仿宋_GB2312" w:cs="Times New Roman"/>
                <w:color w:val="auto"/>
                <w:sz w:val="22"/>
                <w:szCs w:val="22"/>
              </w:rPr>
              <w:t>明示标准</w:t>
            </w:r>
          </w:p>
        </w:tc>
        <w:tc>
          <w:tcPr>
            <w:tcW w:w="2176" w:type="dxa"/>
            <w:noWrap w:val="0"/>
            <w:vAlign w:val="center"/>
          </w:tcPr>
          <w:p>
            <w:pPr>
              <w:adjustRightInd w:val="0"/>
              <w:snapToGrid w:val="0"/>
              <w:jc w:val="center"/>
              <w:rPr>
                <w:rFonts w:hint="eastAsia" w:ascii="仿宋_GB2312" w:hAnsi="宋体" w:eastAsia="仿宋_GB2312"/>
                <w:color w:val="auto"/>
                <w:sz w:val="22"/>
                <w:szCs w:val="21"/>
              </w:rPr>
            </w:pPr>
            <w:r>
              <w:rPr>
                <w:rFonts w:hint="eastAsia" w:ascii="仿宋_GB2312" w:hAnsi="宋体" w:eastAsia="仿宋_GB2312"/>
                <w:color w:val="auto"/>
                <w:sz w:val="22"/>
                <w:szCs w:val="21"/>
              </w:rPr>
              <w:t>产品名称</w:t>
            </w:r>
          </w:p>
        </w:tc>
        <w:tc>
          <w:tcPr>
            <w:tcW w:w="3138" w:type="dxa"/>
            <w:noWrap w:val="0"/>
            <w:vAlign w:val="center"/>
          </w:tcPr>
          <w:p>
            <w:pPr>
              <w:adjustRightInd w:val="0"/>
              <w:snapToGrid w:val="0"/>
              <w:jc w:val="center"/>
              <w:rPr>
                <w:rFonts w:hint="eastAsia" w:ascii="仿宋_GB2312" w:hAnsi="宋体" w:eastAsia="仿宋_GB2312"/>
                <w:color w:val="auto"/>
                <w:sz w:val="22"/>
                <w:szCs w:val="21"/>
              </w:rPr>
            </w:pPr>
            <w:r>
              <w:rPr>
                <w:rFonts w:hint="eastAsia" w:ascii="仿宋_GB2312" w:hAnsi="宋体" w:eastAsia="仿宋_GB2312"/>
                <w:color w:val="auto"/>
                <w:sz w:val="22"/>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eastAsia" w:ascii="仿宋_GB2312" w:hAnsi="宋体" w:eastAsia="仿宋_GB2312"/>
                <w:color w:val="auto"/>
                <w:sz w:val="22"/>
                <w:szCs w:val="21"/>
                <w:lang w:eastAsia="zh-CN"/>
              </w:rPr>
            </w:pPr>
            <w:r>
              <w:rPr>
                <w:rFonts w:hint="eastAsia" w:ascii="仿宋_GB2312" w:hAnsi="宋体" w:eastAsia="仿宋_GB2312"/>
                <w:color w:val="auto"/>
                <w:sz w:val="22"/>
                <w:szCs w:val="21"/>
                <w:lang w:val="en-US" w:eastAsia="zh-CN"/>
              </w:rPr>
              <w:t>1</w:t>
            </w:r>
          </w:p>
        </w:tc>
        <w:tc>
          <w:tcPr>
            <w:tcW w:w="2066" w:type="dxa"/>
            <w:noWrap w:val="0"/>
            <w:vAlign w:val="center"/>
          </w:tcPr>
          <w:p>
            <w:pPr>
              <w:adjustRightInd w:val="0"/>
              <w:snapToGrid w:val="0"/>
              <w:jc w:val="center"/>
              <w:rPr>
                <w:rFonts w:hint="default" w:ascii="Times New Roman" w:hAnsi="Times New Roman" w:eastAsia="仿宋_GB2312" w:cs="Times New Roman"/>
                <w:color w:val="auto"/>
                <w:kern w:val="2"/>
                <w:sz w:val="22"/>
                <w:szCs w:val="22"/>
                <w:lang w:val="en-US" w:eastAsia="zh-CN" w:bidi="ar-SA"/>
              </w:rPr>
            </w:pPr>
            <w:r>
              <w:rPr>
                <w:rFonts w:hint="eastAsia" w:ascii="Times New Roman" w:hAnsi="Times New Roman" w:eastAsia="仿宋_GB2312" w:cs="Times New Roman"/>
                <w:color w:val="auto"/>
                <w:sz w:val="22"/>
                <w:szCs w:val="22"/>
              </w:rPr>
              <w:t>GB/T</w:t>
            </w:r>
            <w:r>
              <w:rPr>
                <w:rFonts w:hint="eastAsia" w:ascii="Times New Roman" w:hAnsi="Times New Roman" w:eastAsia="仿宋_GB2312" w:cs="Times New Roman"/>
                <w:color w:val="auto"/>
                <w:sz w:val="22"/>
                <w:szCs w:val="22"/>
                <w:lang w:val="en-US" w:eastAsia="zh-CN"/>
              </w:rPr>
              <w:t>18006.1-2009</w:t>
            </w:r>
          </w:p>
        </w:tc>
        <w:tc>
          <w:tcPr>
            <w:tcW w:w="2176" w:type="dxa"/>
            <w:noWrap w:val="0"/>
            <w:vAlign w:val="center"/>
          </w:tcPr>
          <w:p>
            <w:pPr>
              <w:adjustRightInd w:val="0"/>
              <w:snapToGrid w:val="0"/>
              <w:jc w:val="center"/>
              <w:rPr>
                <w:rFonts w:hint="eastAsia" w:ascii="仿宋_GB2312" w:hAnsi="宋体" w:eastAsia="仿宋_GB2312"/>
                <w:color w:val="auto"/>
                <w:sz w:val="22"/>
                <w:szCs w:val="21"/>
              </w:rPr>
            </w:pPr>
            <w:r>
              <w:rPr>
                <w:rFonts w:hint="eastAsia" w:ascii="仿宋_GB2312" w:hAnsi="宋体" w:eastAsia="仿宋_GB2312"/>
                <w:color w:val="auto"/>
                <w:sz w:val="22"/>
                <w:szCs w:val="21"/>
                <w:lang w:eastAsia="zh-CN"/>
              </w:rPr>
              <w:t>一</w:t>
            </w:r>
            <w:r>
              <w:rPr>
                <w:rFonts w:hint="eastAsia" w:ascii="仿宋_GB2312" w:hAnsi="宋体" w:eastAsia="仿宋_GB2312"/>
                <w:color w:val="auto"/>
                <w:sz w:val="22"/>
                <w:szCs w:val="21"/>
              </w:rPr>
              <w:t>次性塑料</w:t>
            </w:r>
            <w:r>
              <w:rPr>
                <w:rFonts w:hint="eastAsia" w:ascii="仿宋_GB2312" w:hAnsi="宋体" w:eastAsia="仿宋_GB2312"/>
                <w:color w:val="auto"/>
                <w:sz w:val="22"/>
                <w:szCs w:val="21"/>
                <w:lang w:eastAsia="zh-CN"/>
              </w:rPr>
              <w:t>餐</w:t>
            </w:r>
            <w:r>
              <w:rPr>
                <w:rFonts w:hint="eastAsia" w:ascii="仿宋_GB2312" w:hAnsi="宋体" w:eastAsia="仿宋_GB2312"/>
                <w:color w:val="auto"/>
                <w:sz w:val="22"/>
                <w:szCs w:val="21"/>
              </w:rPr>
              <w:t>具</w:t>
            </w:r>
          </w:p>
        </w:tc>
        <w:tc>
          <w:tcPr>
            <w:tcW w:w="3138" w:type="dxa"/>
            <w:noWrap w:val="0"/>
            <w:vAlign w:val="center"/>
          </w:tcPr>
          <w:p>
            <w:pPr>
              <w:adjustRightInd w:val="0"/>
              <w:snapToGrid w:val="0"/>
              <w:jc w:val="center"/>
              <w:rPr>
                <w:rFonts w:hint="eastAsia" w:ascii="Times New Roman" w:hAnsi="Times New Roman" w:eastAsia="仿宋_GB2312"/>
                <w:color w:val="auto"/>
                <w:sz w:val="20"/>
                <w:szCs w:val="20"/>
              </w:rPr>
            </w:pPr>
            <w:r>
              <w:rPr>
                <w:rFonts w:hint="eastAsia" w:ascii="Times New Roman" w:hAnsi="Times New Roman"/>
                <w:color w:val="auto"/>
                <w:sz w:val="20"/>
                <w:szCs w:val="20"/>
              </w:rPr>
              <w:t>40个</w:t>
            </w:r>
            <w:r>
              <w:rPr>
                <w:rFonts w:hint="eastAsia" w:ascii="仿宋_GB2312" w:hAnsi="宋体" w:eastAsia="仿宋_GB2312"/>
                <w:color w:val="auto"/>
                <w:sz w:val="22"/>
                <w:szCs w:val="21"/>
              </w:rPr>
              <w:t>×3（每份单独包装）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default" w:ascii="仿宋_GB2312" w:hAnsi="宋体" w:eastAsia="仿宋_GB2312"/>
                <w:color w:val="auto"/>
                <w:sz w:val="22"/>
                <w:szCs w:val="21"/>
                <w:lang w:val="en-US" w:eastAsia="zh-CN"/>
              </w:rPr>
            </w:pPr>
            <w:r>
              <w:rPr>
                <w:rFonts w:hint="eastAsia" w:ascii="仿宋_GB2312" w:hAnsi="宋体" w:eastAsia="仿宋_GB2312"/>
                <w:color w:val="auto"/>
                <w:sz w:val="22"/>
                <w:szCs w:val="21"/>
                <w:lang w:val="en-US" w:eastAsia="zh-CN"/>
              </w:rPr>
              <w:t>2</w:t>
            </w:r>
          </w:p>
        </w:tc>
        <w:tc>
          <w:tcPr>
            <w:tcW w:w="2066" w:type="dxa"/>
            <w:noWrap w:val="0"/>
            <w:vAlign w:val="center"/>
          </w:tcPr>
          <w:p>
            <w:pPr>
              <w:adjustRightInd w:val="0"/>
              <w:snapToGrid w:val="0"/>
              <w:jc w:val="center"/>
              <w:rPr>
                <w:rFonts w:hint="eastAsia" w:ascii="Times New Roman" w:hAnsi="Times New Roman" w:eastAsia="仿宋_GB2312" w:cs="Times New Roman"/>
                <w:color w:val="auto"/>
                <w:kern w:val="2"/>
                <w:sz w:val="22"/>
                <w:szCs w:val="22"/>
                <w:lang w:val="en-US" w:eastAsia="zh-CN" w:bidi="ar-SA"/>
              </w:rPr>
            </w:pPr>
            <w:r>
              <w:rPr>
                <w:rFonts w:hint="default" w:ascii="Times New Roman" w:hAnsi="Times New Roman" w:eastAsia="仿宋_GB2312" w:cs="Times New Roman"/>
                <w:color w:val="auto"/>
                <w:kern w:val="2"/>
                <w:sz w:val="22"/>
                <w:szCs w:val="22"/>
                <w:lang w:val="en-US" w:eastAsia="zh-CN" w:bidi="ar-SA"/>
              </w:rPr>
              <w:t>GB/T 24693-2009</w:t>
            </w:r>
          </w:p>
        </w:tc>
        <w:tc>
          <w:tcPr>
            <w:tcW w:w="2176" w:type="dxa"/>
            <w:noWrap w:val="0"/>
            <w:vAlign w:val="center"/>
          </w:tcPr>
          <w:p>
            <w:pPr>
              <w:adjustRightInd w:val="0"/>
              <w:snapToGrid w:val="0"/>
              <w:jc w:val="center"/>
              <w:rPr>
                <w:rFonts w:hint="eastAsia" w:ascii="仿宋_GB2312" w:hAnsi="宋体" w:eastAsia="仿宋_GB2312"/>
                <w:color w:val="auto"/>
                <w:kern w:val="2"/>
                <w:sz w:val="22"/>
                <w:szCs w:val="21"/>
                <w:lang w:val="en-US" w:eastAsia="zh-CN" w:bidi="ar-SA"/>
              </w:rPr>
            </w:pPr>
            <w:r>
              <w:rPr>
                <w:rFonts w:hint="eastAsia" w:ascii="仿宋_GB2312" w:hAnsi="宋体" w:eastAsia="仿宋_GB2312"/>
                <w:color w:val="auto"/>
                <w:sz w:val="22"/>
                <w:szCs w:val="21"/>
              </w:rPr>
              <w:t>聚丙烯饮用吸管</w:t>
            </w:r>
          </w:p>
        </w:tc>
        <w:tc>
          <w:tcPr>
            <w:tcW w:w="3138" w:type="dxa"/>
            <w:noWrap w:val="0"/>
            <w:vAlign w:val="center"/>
          </w:tcPr>
          <w:p>
            <w:pPr>
              <w:adjustRightInd w:val="0"/>
              <w:snapToGrid w:val="0"/>
              <w:jc w:val="center"/>
              <w:rPr>
                <w:rFonts w:hint="eastAsia" w:ascii="Times New Roman" w:hAnsi="Times New Roman" w:eastAsia="仿宋_GB2312"/>
                <w:color w:val="auto"/>
                <w:kern w:val="2"/>
                <w:sz w:val="20"/>
                <w:szCs w:val="20"/>
                <w:lang w:val="en-US" w:eastAsia="zh-CN" w:bidi="ar-SA"/>
              </w:rPr>
            </w:pPr>
            <w:r>
              <w:rPr>
                <w:rFonts w:hint="eastAsia" w:ascii="Times New Roman" w:hAnsi="Times New Roman"/>
                <w:color w:val="auto"/>
                <w:sz w:val="20"/>
                <w:szCs w:val="20"/>
                <w:lang w:val="en-US" w:eastAsia="zh-CN"/>
              </w:rPr>
              <w:t>10</w:t>
            </w:r>
            <w:r>
              <w:rPr>
                <w:rFonts w:hint="eastAsia" w:ascii="Times New Roman" w:hAnsi="Times New Roman"/>
                <w:color w:val="auto"/>
                <w:sz w:val="20"/>
                <w:szCs w:val="20"/>
              </w:rPr>
              <w:t>0</w:t>
            </w:r>
            <w:r>
              <w:rPr>
                <w:rFonts w:hint="eastAsia" w:ascii="Times New Roman" w:hAnsi="Times New Roman"/>
                <w:color w:val="auto"/>
                <w:sz w:val="20"/>
                <w:szCs w:val="20"/>
                <w:lang w:eastAsia="zh-CN"/>
              </w:rPr>
              <w:t>只</w:t>
            </w:r>
            <w:r>
              <w:rPr>
                <w:rFonts w:hint="eastAsia" w:ascii="仿宋_GB2312" w:hAnsi="宋体" w:eastAsia="仿宋_GB2312"/>
                <w:color w:val="auto"/>
                <w:sz w:val="22"/>
                <w:szCs w:val="21"/>
              </w:rPr>
              <w:t>×3（每份单独包装）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default" w:ascii="仿宋_GB2312" w:hAnsi="宋体" w:eastAsia="仿宋_GB2312"/>
                <w:color w:val="auto"/>
                <w:sz w:val="22"/>
                <w:szCs w:val="21"/>
                <w:lang w:val="en-US" w:eastAsia="zh-CN"/>
              </w:rPr>
            </w:pPr>
            <w:r>
              <w:rPr>
                <w:rFonts w:hint="eastAsia" w:ascii="仿宋_GB2312" w:hAnsi="宋体" w:eastAsia="仿宋_GB2312"/>
                <w:color w:val="auto"/>
                <w:sz w:val="22"/>
                <w:szCs w:val="21"/>
                <w:lang w:val="en-US" w:eastAsia="zh-CN"/>
              </w:rPr>
              <w:t>3</w:t>
            </w:r>
          </w:p>
        </w:tc>
        <w:tc>
          <w:tcPr>
            <w:tcW w:w="2066" w:type="dxa"/>
            <w:noWrap w:val="0"/>
            <w:vAlign w:val="center"/>
          </w:tcPr>
          <w:p>
            <w:pPr>
              <w:adjustRightInd w:val="0"/>
              <w:snapToGrid w:val="0"/>
              <w:jc w:val="center"/>
              <w:rPr>
                <w:rFonts w:hint="eastAsia" w:ascii="Times New Roman" w:hAnsi="Times New Roman" w:eastAsia="仿宋_GB2312" w:cs="Times New Roman"/>
                <w:color w:val="auto"/>
                <w:kern w:val="2"/>
                <w:sz w:val="22"/>
                <w:szCs w:val="22"/>
                <w:lang w:val="en-US" w:eastAsia="zh-CN" w:bidi="ar-SA"/>
              </w:rPr>
            </w:pPr>
            <w:r>
              <w:rPr>
                <w:rFonts w:hint="eastAsia" w:ascii="Times New Roman" w:hAnsi="Times New Roman" w:eastAsia="仿宋_GB2312" w:cs="Times New Roman"/>
                <w:color w:val="auto"/>
                <w:sz w:val="22"/>
                <w:szCs w:val="22"/>
              </w:rPr>
              <w:t>执行企业标准、团体标准、地方标准</w:t>
            </w:r>
          </w:p>
        </w:tc>
        <w:tc>
          <w:tcPr>
            <w:tcW w:w="2176" w:type="dxa"/>
            <w:noWrap w:val="0"/>
            <w:vAlign w:val="center"/>
          </w:tcPr>
          <w:p>
            <w:pPr>
              <w:adjustRightInd w:val="0"/>
              <w:snapToGrid w:val="0"/>
              <w:jc w:val="center"/>
              <w:rPr>
                <w:rFonts w:hint="eastAsia" w:ascii="仿宋_GB2312" w:hAnsi="宋体" w:eastAsia="仿宋_GB2312"/>
                <w:color w:val="auto"/>
                <w:kern w:val="2"/>
                <w:sz w:val="22"/>
                <w:szCs w:val="21"/>
                <w:lang w:val="en-US" w:eastAsia="zh-CN" w:bidi="ar-SA"/>
              </w:rPr>
            </w:pPr>
            <w:r>
              <w:rPr>
                <w:rFonts w:hint="eastAsia" w:ascii="仿宋_GB2312" w:hAnsi="宋体" w:eastAsia="仿宋_GB2312"/>
                <w:color w:val="auto"/>
                <w:sz w:val="22"/>
                <w:szCs w:val="21"/>
                <w:lang w:eastAsia="zh-CN"/>
              </w:rPr>
              <w:t>一</w:t>
            </w:r>
            <w:r>
              <w:rPr>
                <w:rFonts w:hint="eastAsia" w:ascii="仿宋_GB2312" w:hAnsi="宋体" w:eastAsia="仿宋_GB2312"/>
                <w:color w:val="auto"/>
                <w:sz w:val="22"/>
                <w:szCs w:val="21"/>
              </w:rPr>
              <w:t>次性塑料</w:t>
            </w:r>
            <w:r>
              <w:rPr>
                <w:rFonts w:hint="eastAsia" w:ascii="仿宋_GB2312" w:hAnsi="宋体" w:eastAsia="仿宋_GB2312"/>
                <w:color w:val="auto"/>
                <w:sz w:val="22"/>
                <w:szCs w:val="21"/>
                <w:lang w:eastAsia="zh-CN"/>
              </w:rPr>
              <w:t>餐</w:t>
            </w:r>
            <w:r>
              <w:rPr>
                <w:rFonts w:hint="eastAsia" w:ascii="仿宋_GB2312" w:hAnsi="宋体" w:eastAsia="仿宋_GB2312"/>
                <w:color w:val="auto"/>
                <w:sz w:val="22"/>
                <w:szCs w:val="21"/>
              </w:rPr>
              <w:t>具</w:t>
            </w:r>
          </w:p>
        </w:tc>
        <w:tc>
          <w:tcPr>
            <w:tcW w:w="3138" w:type="dxa"/>
            <w:noWrap w:val="0"/>
            <w:vAlign w:val="center"/>
          </w:tcPr>
          <w:p>
            <w:pPr>
              <w:adjustRightInd w:val="0"/>
              <w:snapToGrid w:val="0"/>
              <w:jc w:val="center"/>
              <w:rPr>
                <w:rFonts w:hint="eastAsia" w:ascii="Times New Roman" w:hAnsi="Times New Roman" w:eastAsia="等线"/>
                <w:color w:val="auto"/>
                <w:kern w:val="2"/>
                <w:sz w:val="20"/>
                <w:szCs w:val="20"/>
                <w:lang w:val="en-US" w:eastAsia="zh-CN" w:bidi="ar-SA"/>
              </w:rPr>
            </w:pPr>
            <w:r>
              <w:rPr>
                <w:rFonts w:hint="eastAsia" w:ascii="Times New Roman" w:hAnsi="Times New Roman"/>
                <w:color w:val="auto"/>
                <w:sz w:val="20"/>
                <w:szCs w:val="20"/>
              </w:rPr>
              <w:t>40个</w:t>
            </w:r>
            <w:r>
              <w:rPr>
                <w:rFonts w:hint="eastAsia" w:ascii="仿宋_GB2312" w:hAnsi="宋体" w:eastAsia="仿宋_GB2312"/>
                <w:color w:val="auto"/>
                <w:sz w:val="22"/>
                <w:szCs w:val="21"/>
              </w:rPr>
              <w:t>×3（每份单独包装）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79" w:type="dxa"/>
            <w:gridSpan w:val="4"/>
            <w:noWrap w:val="0"/>
            <w:vAlign w:val="center"/>
          </w:tcPr>
          <w:p>
            <w:pPr>
              <w:adjustRightInd w:val="0"/>
              <w:snapToGrid w:val="0"/>
              <w:jc w:val="both"/>
              <w:rPr>
                <w:rFonts w:hint="eastAsia" w:ascii="Times New Roman" w:hAnsi="Times New Roman"/>
                <w:color w:val="auto"/>
                <w:sz w:val="20"/>
                <w:szCs w:val="20"/>
              </w:rPr>
            </w:pPr>
            <w:r>
              <w:rPr>
                <w:rFonts w:hint="eastAsia" w:ascii="仿宋_GB2312" w:hAnsi="Times New Roman" w:eastAsia="仿宋_GB2312"/>
                <w:color w:val="auto"/>
                <w:kern w:val="0"/>
                <w:sz w:val="22"/>
                <w:szCs w:val="28"/>
                <w:highlight w:val="none"/>
                <w:lang w:val="en-US" w:eastAsia="zh-CN"/>
              </w:rPr>
              <w:t>流通领域抽样：试样大小不一，数量可适当调整，满足检验和备样需要数量即可</w:t>
            </w:r>
          </w:p>
        </w:tc>
      </w:tr>
    </w:tbl>
    <w:p>
      <w:pPr>
        <w:pStyle w:val="25"/>
        <w:adjustRightInd w:val="0"/>
        <w:snapToGrid w:val="0"/>
        <w:ind w:left="465" w:leftChars="228" w:firstLine="214" w:firstLineChars="100"/>
        <w:jc w:val="left"/>
        <w:rPr>
          <w:rFonts w:ascii="仿宋_GB2312" w:hAnsi="Times New Roman" w:eastAsia="仿宋_GB2312" w:cs="仿宋_GB2312"/>
          <w:color w:val="auto"/>
          <w:sz w:val="22"/>
          <w:szCs w:val="22"/>
        </w:rPr>
      </w:pPr>
      <w:r>
        <w:rPr>
          <w:rFonts w:hint="eastAsia" w:ascii="仿宋_GB2312" w:hAnsi="Times New Roman" w:eastAsia="仿宋_GB2312" w:cs="仿宋_GB2312"/>
          <w:color w:val="auto"/>
          <w:sz w:val="22"/>
          <w:szCs w:val="22"/>
        </w:rPr>
        <w:t>注：</w:t>
      </w:r>
      <w:r>
        <w:rPr>
          <w:rFonts w:hint="eastAsia" w:ascii="仿宋_GB2312" w:hAnsi="Times New Roman" w:eastAsia="仿宋_GB2312" w:cs="仿宋_GB2312"/>
          <w:color w:val="auto"/>
          <w:sz w:val="22"/>
          <w:szCs w:val="22"/>
          <w:lang w:eastAsia="zh-CN"/>
        </w:rPr>
        <w:t>执行</w:t>
      </w:r>
      <w:r>
        <w:rPr>
          <w:rFonts w:hint="eastAsia" w:ascii="Times New Roman" w:hAnsi="Times New Roman" w:eastAsia="仿宋_GB2312" w:cs="Times New Roman"/>
          <w:color w:val="auto"/>
          <w:sz w:val="22"/>
          <w:szCs w:val="22"/>
        </w:rPr>
        <w:t>GB/T</w:t>
      </w:r>
      <w:r>
        <w:rPr>
          <w:rFonts w:hint="eastAsia" w:ascii="Times New Roman" w:hAnsi="Times New Roman" w:eastAsia="仿宋_GB2312" w:cs="Times New Roman"/>
          <w:color w:val="auto"/>
          <w:sz w:val="22"/>
          <w:szCs w:val="22"/>
          <w:lang w:val="en-US" w:eastAsia="zh-CN"/>
        </w:rPr>
        <w:t>18006.1-2009标准的</w:t>
      </w:r>
      <w:r>
        <w:rPr>
          <w:rFonts w:hint="eastAsia" w:ascii="仿宋_GB2312" w:hAnsi="宋体" w:eastAsia="仿宋_GB2312"/>
          <w:color w:val="auto"/>
          <w:sz w:val="22"/>
          <w:szCs w:val="20"/>
        </w:rPr>
        <w:t>一次性塑料</w:t>
      </w:r>
      <w:r>
        <w:rPr>
          <w:rFonts w:hint="eastAsia" w:ascii="仿宋_GB2312" w:hAnsi="宋体" w:eastAsia="仿宋_GB2312"/>
          <w:color w:val="auto"/>
          <w:sz w:val="22"/>
          <w:szCs w:val="20"/>
          <w:lang w:eastAsia="zh-CN"/>
        </w:rPr>
        <w:t>餐</w:t>
      </w:r>
      <w:r>
        <w:rPr>
          <w:rFonts w:hint="eastAsia" w:ascii="仿宋_GB2312" w:hAnsi="宋体" w:eastAsia="仿宋_GB2312"/>
          <w:color w:val="auto"/>
          <w:sz w:val="22"/>
          <w:szCs w:val="20"/>
        </w:rPr>
        <w:t>具</w:t>
      </w:r>
      <w:r>
        <w:rPr>
          <w:rFonts w:hint="eastAsia" w:ascii="仿宋_GB2312" w:hAnsi="Times New Roman" w:eastAsia="仿宋_GB2312" w:cs="仿宋_GB2312"/>
          <w:color w:val="auto"/>
          <w:sz w:val="22"/>
          <w:szCs w:val="22"/>
        </w:rPr>
        <w:t>产品每种样品抽样数量为120个，样品分三份独立包装，二份样品分别40个/份（其中一份用于微生物检测），一份样品40个（备用样品）。（若最小销售包装不是40个的整数倍，需按采样数折算，保证检样不少于120个，备样不少于40个，避免打开原包装。）</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黑体" w:hAnsi="黑体" w:eastAsia="黑体"/>
          <w:color w:val="auto"/>
          <w:sz w:val="28"/>
          <w:szCs w:val="28"/>
        </w:rPr>
      </w:pPr>
      <w:r>
        <w:rPr>
          <w:rFonts w:hint="eastAsia" w:ascii="黑体" w:hAnsi="黑体" w:eastAsia="黑体" w:cs="黑体"/>
          <w:color w:val="auto"/>
          <w:sz w:val="28"/>
          <w:szCs w:val="28"/>
        </w:rPr>
        <w:t>2</w:t>
      </w:r>
      <w:r>
        <w:rPr>
          <w:rFonts w:hint="eastAsia" w:ascii="黑体" w:hAnsi="黑体" w:eastAsia="黑体" w:cs="黑体"/>
          <w:color w:val="auto"/>
          <w:sz w:val="28"/>
          <w:szCs w:val="28"/>
          <w:lang w:val="en-US" w:eastAsia="zh-CN"/>
        </w:rPr>
        <w:t xml:space="preserve"> </w:t>
      </w:r>
      <w:r>
        <w:rPr>
          <w:rFonts w:hint="eastAsia" w:ascii="黑体" w:hAnsi="黑体" w:eastAsia="黑体"/>
          <w:color w:val="auto"/>
          <w:sz w:val="28"/>
          <w:szCs w:val="28"/>
        </w:rPr>
        <w:t>检验依据</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jc w:val="center"/>
        <w:textAlignment w:val="auto"/>
        <w:rPr>
          <w:rFonts w:hint="eastAsia" w:ascii="仿宋_GB2312" w:hAnsi="Times New Roman" w:eastAsia="仿宋_GB2312" w:cs="仿宋_GB2312"/>
          <w:b/>
          <w:color w:val="auto"/>
          <w:sz w:val="28"/>
          <w:szCs w:val="28"/>
        </w:rPr>
      </w:pPr>
      <w:r>
        <w:rPr>
          <w:rFonts w:hint="eastAsia" w:ascii="仿宋_GB2312" w:hAnsi="Times New Roman" w:eastAsia="仿宋_GB2312" w:cs="仿宋_GB2312"/>
          <w:b/>
          <w:color w:val="auto"/>
          <w:sz w:val="28"/>
          <w:szCs w:val="28"/>
        </w:rPr>
        <w:t>表2</w:t>
      </w:r>
      <w:r>
        <w:rPr>
          <w:rFonts w:hint="eastAsia" w:ascii="仿宋_GB2312" w:hAnsi="Times New Roman" w:eastAsia="仿宋_GB2312" w:cs="仿宋_GB2312"/>
          <w:b/>
          <w:color w:val="auto"/>
          <w:sz w:val="28"/>
          <w:szCs w:val="28"/>
          <w:lang w:val="en-US" w:eastAsia="zh-CN"/>
        </w:rPr>
        <w:t xml:space="preserve"> </w:t>
      </w:r>
      <w:r>
        <w:rPr>
          <w:rFonts w:hint="eastAsia" w:ascii="仿宋_GB2312" w:hAnsi="Times New Roman" w:eastAsia="仿宋_GB2312" w:cs="仿宋_GB2312"/>
          <w:b/>
          <w:color w:val="auto"/>
          <w:sz w:val="28"/>
          <w:szCs w:val="28"/>
        </w:rPr>
        <w:t>塑料一次性餐饮具通用技术要求（GB/T 18006.1-2009）</w:t>
      </w:r>
    </w:p>
    <w:tbl>
      <w:tblPr>
        <w:tblStyle w:val="11"/>
        <w:tblW w:w="4996" w:type="pct"/>
        <w:tblInd w:w="0" w:type="dxa"/>
        <w:tblLayout w:type="autofit"/>
        <w:tblCellMar>
          <w:top w:w="0" w:type="dxa"/>
          <w:left w:w="108" w:type="dxa"/>
          <w:bottom w:w="0" w:type="dxa"/>
          <w:right w:w="108" w:type="dxa"/>
        </w:tblCellMar>
      </w:tblPr>
      <w:tblGrid>
        <w:gridCol w:w="970"/>
        <w:gridCol w:w="4384"/>
        <w:gridCol w:w="3813"/>
      </w:tblGrid>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序号</w:t>
            </w:r>
          </w:p>
        </w:tc>
        <w:tc>
          <w:tcPr>
            <w:tcW w:w="2391" w:type="pct"/>
            <w:tcBorders>
              <w:top w:val="single" w:color="000000" w:sz="4" w:space="0"/>
              <w:left w:val="single" w:color="000000" w:sz="4" w:space="0"/>
              <w:bottom w:val="single" w:color="000000" w:sz="4" w:space="0"/>
            </w:tcBorders>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检验项目</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检验方法</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1</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val="en-US" w:eastAsia="zh-CN" w:bidi="ar-SA"/>
              </w:rPr>
            </w:pPr>
            <w:r>
              <w:rPr>
                <w:rFonts w:hint="eastAsia" w:ascii="仿宋_GB2312" w:hAnsi="Times New Roman" w:eastAsia="仿宋_GB2312" w:cs="仿宋_GB2312"/>
                <w:color w:val="auto"/>
                <w:kern w:val="2"/>
                <w:sz w:val="22"/>
                <w:szCs w:val="22"/>
              </w:rPr>
              <w:t>感官要求</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val="en-US" w:eastAsia="zh-CN" w:bidi="ar-SA"/>
              </w:rPr>
            </w:pPr>
            <w:r>
              <w:rPr>
                <w:rFonts w:hint="eastAsia" w:ascii="仿宋_GB2312" w:hAnsi="Times New Roman" w:eastAsia="仿宋_GB2312" w:cs="仿宋_GB2312"/>
                <w:color w:val="auto"/>
                <w:kern w:val="2"/>
                <w:sz w:val="22"/>
                <w:szCs w:val="22"/>
              </w:rPr>
              <w:t>GB 4806.7-2016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2</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val="en-US" w:eastAsia="zh-CN" w:bidi="ar-SA"/>
              </w:rPr>
            </w:pPr>
            <w:r>
              <w:rPr>
                <w:rFonts w:hint="eastAsia" w:ascii="仿宋_GB2312" w:hAnsi="Times New Roman" w:eastAsia="仿宋_GB2312" w:cs="仿宋_GB2312"/>
                <w:color w:val="auto"/>
                <w:kern w:val="2"/>
                <w:sz w:val="22"/>
                <w:szCs w:val="22"/>
              </w:rPr>
              <w:t>浸泡液</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val="en-US" w:eastAsia="zh-CN" w:bidi="ar-SA"/>
              </w:rPr>
            </w:pPr>
            <w:r>
              <w:rPr>
                <w:rFonts w:hint="eastAsia" w:ascii="仿宋_GB2312" w:hAnsi="Times New Roman" w:eastAsia="仿宋_GB2312" w:cs="仿宋_GB2312"/>
                <w:color w:val="auto"/>
                <w:kern w:val="2"/>
                <w:sz w:val="22"/>
                <w:szCs w:val="22"/>
              </w:rPr>
              <w:t>GB 4806.7-2016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3</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总迁移量</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default" w:ascii="仿宋_GB2312" w:hAnsi="Times New Roman" w:eastAsia="仿宋_GB2312" w:cs="仿宋_GB2312"/>
                <w:color w:val="auto"/>
                <w:kern w:val="2"/>
                <w:sz w:val="22"/>
                <w:szCs w:val="22"/>
                <w:lang w:val="en-US" w:eastAsia="zh-CN"/>
              </w:rPr>
            </w:pPr>
            <w:r>
              <w:rPr>
                <w:rFonts w:hint="eastAsia" w:ascii="仿宋_GB2312" w:hAnsi="Times New Roman" w:eastAsia="仿宋_GB2312" w:cs="仿宋_GB2312"/>
                <w:color w:val="auto"/>
                <w:kern w:val="2"/>
                <w:sz w:val="22"/>
                <w:szCs w:val="22"/>
              </w:rPr>
              <w:t>GB 31604.8-20</w:t>
            </w:r>
            <w:r>
              <w:rPr>
                <w:rFonts w:hint="eastAsia" w:ascii="仿宋_GB2312" w:hAnsi="Times New Roman" w:eastAsia="仿宋_GB2312" w:cs="仿宋_GB2312"/>
                <w:color w:val="auto"/>
                <w:kern w:val="2"/>
                <w:sz w:val="22"/>
                <w:szCs w:val="22"/>
                <w:lang w:val="en-US" w:eastAsia="zh-CN"/>
              </w:rPr>
              <w:t>21</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4</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高锰酸钾消耗量</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31604.2-2016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5</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重金属</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31604.9-2016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val="en-US" w:eastAsia="zh-CN"/>
              </w:rPr>
              <w:t>6</w:t>
            </w:r>
          </w:p>
        </w:tc>
        <w:tc>
          <w:tcPr>
            <w:tcW w:w="2391" w:type="pct"/>
            <w:tcBorders>
              <w:top w:val="single" w:color="000000" w:sz="4" w:space="0"/>
              <w:left w:val="single" w:color="000000" w:sz="4" w:space="0"/>
              <w:bottom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脱色试验</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31604.7-2016</w:t>
            </w:r>
          </w:p>
        </w:tc>
      </w:tr>
      <w:tr>
        <w:tblPrEx>
          <w:tblCellMar>
            <w:top w:w="0" w:type="dxa"/>
            <w:left w:w="108" w:type="dxa"/>
            <w:bottom w:w="0" w:type="dxa"/>
            <w:right w:w="108" w:type="dxa"/>
          </w:tblCellMar>
        </w:tblPrEx>
        <w:trPr>
          <w:cantSplit/>
          <w:trHeight w:val="454" w:hRule="atLeast"/>
        </w:trPr>
        <w:tc>
          <w:tcPr>
            <w:tcW w:w="5000"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4"/>
              <w:adjustRightInd w:val="0"/>
              <w:snapToGrid w:val="0"/>
              <w:jc w:val="both"/>
              <w:rPr>
                <w:rFonts w:hint="eastAsia" w:ascii="仿宋_GB2312" w:hAnsi="Times New Roman" w:eastAsia="仿宋_GB2312" w:cs="仿宋_GB2312"/>
                <w:color w:val="auto"/>
                <w:kern w:val="2"/>
                <w:sz w:val="22"/>
                <w:szCs w:val="22"/>
                <w:lang w:eastAsia="zh-CN"/>
              </w:rPr>
            </w:pPr>
            <w:r>
              <w:rPr>
                <w:rFonts w:hint="eastAsia" w:ascii="仿宋_GB2312" w:hAnsi="Times New Roman" w:eastAsia="仿宋_GB2312" w:cs="仿宋_GB2312"/>
                <w:color w:val="auto"/>
                <w:kern w:val="2"/>
                <w:sz w:val="22"/>
                <w:szCs w:val="22"/>
                <w:lang w:eastAsia="zh-CN"/>
              </w:rPr>
              <w:t>注：</w:t>
            </w:r>
          </w:p>
          <w:p>
            <w:pPr>
              <w:pStyle w:val="4"/>
              <w:adjustRightInd w:val="0"/>
              <w:snapToGrid w:val="0"/>
              <w:ind w:firstLine="428" w:firstLineChars="200"/>
              <w:jc w:val="both"/>
              <w:rPr>
                <w:rFonts w:hint="default" w:ascii="仿宋_GB2312" w:hAnsi="Times New Roman" w:eastAsia="仿宋_GB2312" w:cs="仿宋_GB2312"/>
                <w:color w:val="auto"/>
                <w:kern w:val="2"/>
                <w:sz w:val="22"/>
                <w:szCs w:val="22"/>
                <w:lang w:val="en-US" w:eastAsia="zh-CN"/>
              </w:rPr>
            </w:pPr>
            <w:r>
              <w:rPr>
                <w:rFonts w:hint="eastAsia" w:ascii="仿宋_GB2312" w:hAnsi="Times New Roman" w:eastAsia="仿宋_GB2312" w:cs="仿宋_GB2312"/>
                <w:color w:val="auto"/>
                <w:kern w:val="2"/>
                <w:sz w:val="22"/>
                <w:szCs w:val="22"/>
                <w:lang w:val="en-US" w:eastAsia="zh-CN"/>
              </w:rPr>
              <w:t>*——一次性塑料餐具产品宣称可微波炉使用时，检验微波炉高频加热性能、微波炉耐温性。</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jc w:val="center"/>
        <w:textAlignment w:val="auto"/>
        <w:rPr>
          <w:rFonts w:hint="eastAsia" w:ascii="仿宋_GB2312" w:hAnsi="Times New Roman" w:eastAsia="仿宋_GB2312" w:cs="仿宋_GB2312"/>
          <w:b/>
          <w:color w:val="auto"/>
          <w:sz w:val="28"/>
          <w:szCs w:val="28"/>
        </w:rPr>
      </w:pPr>
      <w:r>
        <w:rPr>
          <w:rFonts w:hint="eastAsia" w:ascii="仿宋_GB2312" w:hAnsi="Times New Roman" w:eastAsia="仿宋_GB2312" w:cs="仿宋_GB2312"/>
          <w:b/>
          <w:color w:val="auto"/>
          <w:sz w:val="28"/>
          <w:szCs w:val="28"/>
        </w:rPr>
        <w:t>表3</w:t>
      </w:r>
      <w:r>
        <w:rPr>
          <w:rFonts w:hint="eastAsia" w:ascii="仿宋_GB2312" w:hAnsi="Times New Roman" w:eastAsia="仿宋_GB2312" w:cs="仿宋_GB2312"/>
          <w:b/>
          <w:color w:val="auto"/>
          <w:sz w:val="28"/>
          <w:szCs w:val="28"/>
          <w:lang w:val="en-US" w:eastAsia="zh-CN"/>
        </w:rPr>
        <w:t xml:space="preserve"> </w:t>
      </w:r>
      <w:r>
        <w:rPr>
          <w:rFonts w:hint="eastAsia" w:ascii="仿宋_GB2312" w:hAnsi="Times New Roman" w:eastAsia="仿宋_GB2312" w:cs="仿宋_GB2312"/>
          <w:b/>
          <w:color w:val="auto"/>
          <w:sz w:val="28"/>
          <w:szCs w:val="28"/>
        </w:rPr>
        <w:t>食品接触用</w:t>
      </w:r>
      <w:r>
        <w:rPr>
          <w:rFonts w:hint="eastAsia" w:ascii="仿宋_GB2312" w:hAnsi="Times New Roman" w:eastAsia="仿宋_GB2312" w:cs="仿宋_GB2312"/>
          <w:b/>
          <w:color w:val="auto"/>
          <w:sz w:val="28"/>
          <w:szCs w:val="28"/>
          <w:lang w:eastAsia="zh-CN"/>
        </w:rPr>
        <w:t>特定一次性塑料餐具</w:t>
      </w:r>
      <w:r>
        <w:rPr>
          <w:rFonts w:hint="eastAsia" w:ascii="仿宋_GB2312" w:hAnsi="Times New Roman" w:eastAsia="仿宋_GB2312" w:cs="仿宋_GB2312"/>
          <w:b/>
          <w:color w:val="auto"/>
          <w:sz w:val="28"/>
          <w:szCs w:val="28"/>
        </w:rPr>
        <w:t>（GB 4806.7-2016）</w:t>
      </w:r>
    </w:p>
    <w:tbl>
      <w:tblPr>
        <w:tblStyle w:val="11"/>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4127"/>
        <w:gridCol w:w="3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序号</w:t>
            </w:r>
          </w:p>
        </w:tc>
        <w:tc>
          <w:tcPr>
            <w:tcW w:w="2251" w:type="pct"/>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检验项目</w:t>
            </w:r>
          </w:p>
        </w:tc>
        <w:tc>
          <w:tcPr>
            <w:tcW w:w="2179" w:type="pct"/>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1</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感官</w:t>
            </w:r>
          </w:p>
        </w:tc>
        <w:tc>
          <w:tcPr>
            <w:tcW w:w="2179"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2</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浸泡液</w:t>
            </w:r>
          </w:p>
        </w:tc>
        <w:tc>
          <w:tcPr>
            <w:tcW w:w="2179"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3</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总迁移量</w:t>
            </w:r>
          </w:p>
        </w:tc>
        <w:tc>
          <w:tcPr>
            <w:tcW w:w="2179" w:type="pct"/>
            <w:noWrap w:val="0"/>
            <w:vAlign w:val="center"/>
          </w:tcPr>
          <w:p>
            <w:pPr>
              <w:adjustRightInd w:val="0"/>
              <w:snapToGrid w:val="0"/>
              <w:jc w:val="center"/>
              <w:rPr>
                <w:rFonts w:hint="default"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31604.8-20</w:t>
            </w:r>
            <w:r>
              <w:rPr>
                <w:rFonts w:hint="eastAsia" w:ascii="仿宋_GB2312" w:hAnsi="宋体" w:eastAsia="仿宋_GB2312"/>
                <w:color w:val="auto"/>
                <w:sz w:val="22"/>
                <w:szCs w:val="21"/>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4</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高锰酸钾消耗量</w:t>
            </w:r>
          </w:p>
        </w:tc>
        <w:tc>
          <w:tcPr>
            <w:tcW w:w="2179"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5</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重金属</w:t>
            </w:r>
          </w:p>
        </w:tc>
        <w:tc>
          <w:tcPr>
            <w:tcW w:w="2179"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6</w:t>
            </w:r>
          </w:p>
        </w:tc>
        <w:tc>
          <w:tcPr>
            <w:tcW w:w="2251"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脱色试验</w:t>
            </w:r>
          </w:p>
        </w:tc>
        <w:tc>
          <w:tcPr>
            <w:tcW w:w="2179" w:type="pct"/>
            <w:noWrap w:val="0"/>
            <w:vAlign w:val="center"/>
          </w:tcPr>
          <w:p>
            <w:pPr>
              <w:adjustRightInd w:val="0"/>
              <w:snapToGrid w:val="0"/>
              <w:jc w:val="center"/>
              <w:rPr>
                <w:rFonts w:hint="eastAsia" w:ascii="仿宋_GB2312" w:hAnsi="宋体" w:eastAsia="仿宋_GB2312" w:cs="Times New Roman"/>
                <w:color w:val="auto"/>
                <w:kern w:val="2"/>
                <w:sz w:val="22"/>
                <w:szCs w:val="21"/>
                <w:lang w:val="en-US" w:eastAsia="zh-CN" w:bidi="ar-SA"/>
              </w:rPr>
            </w:pPr>
            <w:r>
              <w:rPr>
                <w:rFonts w:hint="eastAsia" w:ascii="仿宋_GB2312" w:hAnsi="宋体" w:eastAsia="仿宋_GB2312"/>
                <w:color w:val="auto"/>
                <w:sz w:val="22"/>
                <w:szCs w:val="21"/>
              </w:rPr>
              <w:t>GB 31604.7-2016</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jc w:val="center"/>
        <w:textAlignment w:val="auto"/>
        <w:rPr>
          <w:rFonts w:hint="eastAsia" w:ascii="仿宋_GB2312" w:hAnsi="Times New Roman" w:eastAsia="仿宋_GB2312" w:cs="仿宋_GB2312"/>
          <w:b/>
          <w:color w:val="auto"/>
          <w:sz w:val="28"/>
          <w:szCs w:val="28"/>
        </w:rPr>
      </w:pPr>
      <w:bookmarkStart w:id="0" w:name="_GoBack"/>
      <w:bookmarkEnd w:id="0"/>
      <w:r>
        <w:rPr>
          <w:rFonts w:hint="eastAsia" w:ascii="仿宋_GB2312" w:hAnsi="Times New Roman" w:eastAsia="仿宋_GB2312" w:cs="仿宋_GB2312"/>
          <w:b/>
          <w:color w:val="auto"/>
          <w:sz w:val="28"/>
          <w:szCs w:val="28"/>
        </w:rPr>
        <w:t>表</w:t>
      </w:r>
      <w:r>
        <w:rPr>
          <w:rFonts w:hint="eastAsia" w:ascii="仿宋_GB2312" w:hAnsi="Times New Roman" w:eastAsia="仿宋_GB2312" w:cs="仿宋_GB2312"/>
          <w:b/>
          <w:color w:val="auto"/>
          <w:sz w:val="28"/>
          <w:szCs w:val="28"/>
          <w:lang w:val="en-US" w:eastAsia="zh-CN"/>
        </w:rPr>
        <w:t>4</w:t>
      </w:r>
      <w:r>
        <w:rPr>
          <w:rFonts w:hint="eastAsia" w:ascii="仿宋_GB2312" w:hAnsi="Times New Roman" w:eastAsia="仿宋_GB2312" w:cs="仿宋_GB2312"/>
          <w:b/>
          <w:color w:val="auto"/>
          <w:sz w:val="28"/>
          <w:szCs w:val="28"/>
        </w:rPr>
        <w:t xml:space="preserve"> </w:t>
      </w:r>
      <w:r>
        <w:rPr>
          <w:rFonts w:hint="eastAsia" w:ascii="仿宋_GB2312" w:hAnsi="Times New Roman" w:eastAsia="仿宋_GB2312" w:cs="仿宋_GB2312"/>
          <w:b/>
          <w:color w:val="auto"/>
          <w:sz w:val="28"/>
          <w:szCs w:val="28"/>
          <w:lang w:val="en-US" w:eastAsia="zh-CN"/>
        </w:rPr>
        <w:t xml:space="preserve"> </w:t>
      </w:r>
      <w:r>
        <w:rPr>
          <w:rFonts w:hint="eastAsia" w:ascii="仿宋_GB2312" w:hAnsi="Times New Roman" w:eastAsia="仿宋_GB2312" w:cs="仿宋_GB2312"/>
          <w:b/>
          <w:color w:val="auto"/>
          <w:sz w:val="28"/>
          <w:szCs w:val="28"/>
          <w:lang w:val="zh-CN"/>
        </w:rPr>
        <w:t>聚丙烯饮用</w:t>
      </w:r>
      <w:r>
        <w:rPr>
          <w:rFonts w:hint="eastAsia" w:ascii="仿宋_GB2312" w:hAnsi="Times New Roman" w:eastAsia="仿宋_GB2312" w:cs="仿宋_GB2312"/>
          <w:b/>
          <w:color w:val="auto"/>
          <w:sz w:val="28"/>
          <w:szCs w:val="28"/>
        </w:rPr>
        <w:t>吸管（GB/T 24693-2009）</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619"/>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55" w:type="dxa"/>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序号</w:t>
            </w:r>
          </w:p>
        </w:tc>
        <w:tc>
          <w:tcPr>
            <w:tcW w:w="3619" w:type="dxa"/>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检验项目</w:t>
            </w:r>
          </w:p>
        </w:tc>
        <w:tc>
          <w:tcPr>
            <w:tcW w:w="3993" w:type="dxa"/>
            <w:noWrap w:val="0"/>
            <w:vAlign w:val="center"/>
          </w:tcPr>
          <w:p>
            <w:pPr>
              <w:adjustRightInd w:val="0"/>
              <w:snapToGrid w:val="0"/>
              <w:jc w:val="center"/>
              <w:rPr>
                <w:rFonts w:hint="eastAsia" w:ascii="仿宋_GB2312" w:hAnsi="宋体" w:eastAsia="仿宋_GB2312" w:cs="Times New Roman"/>
                <w:b/>
                <w:bCs/>
                <w:color w:val="auto"/>
                <w:kern w:val="2"/>
                <w:sz w:val="22"/>
                <w:szCs w:val="21"/>
                <w:lang w:val="en-US" w:eastAsia="zh-CN" w:bidi="ar-SA"/>
              </w:rPr>
            </w:pPr>
            <w:r>
              <w:rPr>
                <w:rFonts w:hint="eastAsia" w:ascii="仿宋_GB2312" w:hAnsi="宋体" w:eastAsia="仿宋_GB2312" w:cs="Times New Roman"/>
                <w:b/>
                <w:bCs/>
                <w:color w:val="auto"/>
                <w:kern w:val="2"/>
                <w:sz w:val="22"/>
                <w:szCs w:val="21"/>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1</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感官</w:t>
            </w:r>
          </w:p>
        </w:tc>
        <w:tc>
          <w:tcPr>
            <w:tcW w:w="3993"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2</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浸泡液</w:t>
            </w:r>
          </w:p>
        </w:tc>
        <w:tc>
          <w:tcPr>
            <w:tcW w:w="3993"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3</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总迁移量</w:t>
            </w:r>
          </w:p>
        </w:tc>
        <w:tc>
          <w:tcPr>
            <w:tcW w:w="3993" w:type="dxa"/>
            <w:noWrap w:val="0"/>
            <w:vAlign w:val="center"/>
          </w:tcPr>
          <w:p>
            <w:pPr>
              <w:pStyle w:val="4"/>
              <w:adjustRightInd w:val="0"/>
              <w:snapToGrid w:val="0"/>
              <w:jc w:val="center"/>
              <w:rPr>
                <w:rFonts w:hint="default" w:ascii="仿宋_GB2312" w:hAnsi="Times New Roman" w:eastAsia="仿宋_GB2312" w:cs="仿宋_GB2312"/>
                <w:color w:val="auto"/>
                <w:kern w:val="2"/>
                <w:sz w:val="22"/>
                <w:szCs w:val="22"/>
                <w:lang w:val="en-US" w:eastAsia="zh-CN"/>
              </w:rPr>
            </w:pPr>
            <w:r>
              <w:rPr>
                <w:rFonts w:hint="eastAsia" w:ascii="仿宋_GB2312" w:hAnsi="Times New Roman" w:eastAsia="仿宋_GB2312" w:cs="仿宋_GB2312"/>
                <w:color w:val="auto"/>
                <w:kern w:val="2"/>
                <w:sz w:val="22"/>
                <w:szCs w:val="22"/>
              </w:rPr>
              <w:t>GB 31604.8-20</w:t>
            </w:r>
            <w:r>
              <w:rPr>
                <w:rFonts w:hint="eastAsia" w:ascii="仿宋_GB2312" w:hAnsi="Times New Roman" w:eastAsia="仿宋_GB2312" w:cs="仿宋_GB2312"/>
                <w:color w:val="auto"/>
                <w:kern w:val="2"/>
                <w:sz w:val="22"/>
                <w:szCs w:val="22"/>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4</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高锰酸钾消耗量（水）</w:t>
            </w:r>
          </w:p>
        </w:tc>
        <w:tc>
          <w:tcPr>
            <w:tcW w:w="3993"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5</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重金属（以Pb计）</w:t>
            </w:r>
          </w:p>
        </w:tc>
        <w:tc>
          <w:tcPr>
            <w:tcW w:w="3993"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6</w:t>
            </w:r>
          </w:p>
        </w:tc>
        <w:tc>
          <w:tcPr>
            <w:tcW w:w="3619"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脱色试验</w:t>
            </w:r>
          </w:p>
        </w:tc>
        <w:tc>
          <w:tcPr>
            <w:tcW w:w="3993" w:type="dxa"/>
            <w:noWrap w:val="0"/>
            <w:vAlign w:val="center"/>
          </w:tcPr>
          <w:p>
            <w:pPr>
              <w:pStyle w:val="4"/>
              <w:adjustRightInd w:val="0"/>
              <w:snapToGrid w:val="0"/>
              <w:jc w:val="center"/>
              <w:rPr>
                <w:rFonts w:hint="eastAsia" w:ascii="仿宋_GB2312" w:hAnsi="Times New Roman" w:eastAsia="仿宋_GB2312" w:cs="仿宋_GB2312"/>
                <w:color w:val="auto"/>
                <w:kern w:val="2"/>
                <w:sz w:val="22"/>
                <w:szCs w:val="22"/>
              </w:rPr>
            </w:pPr>
            <w:r>
              <w:rPr>
                <w:rFonts w:hint="eastAsia" w:ascii="仿宋_GB2312" w:hAnsi="Times New Roman" w:eastAsia="仿宋_GB2312" w:cs="仿宋_GB2312"/>
                <w:color w:val="auto"/>
                <w:kern w:val="2"/>
                <w:sz w:val="22"/>
                <w:szCs w:val="22"/>
              </w:rPr>
              <w:t>GB 31604.</w:t>
            </w:r>
            <w:r>
              <w:rPr>
                <w:rFonts w:hint="eastAsia" w:ascii="仿宋_GB2312" w:hAnsi="Times New Roman" w:eastAsia="仿宋_GB2312" w:cs="仿宋_GB2312"/>
                <w:color w:val="auto"/>
                <w:kern w:val="2"/>
                <w:sz w:val="22"/>
                <w:szCs w:val="22"/>
                <w:lang w:val="en-US" w:eastAsia="zh-CN"/>
              </w:rPr>
              <w:t>7</w:t>
            </w:r>
            <w:r>
              <w:rPr>
                <w:rFonts w:hint="eastAsia" w:ascii="仿宋_GB2312" w:hAnsi="Times New Roman" w:eastAsia="仿宋_GB2312" w:cs="仿宋_GB2312"/>
                <w:color w:val="auto"/>
                <w:kern w:val="2"/>
                <w:sz w:val="22"/>
                <w:szCs w:val="22"/>
              </w:rPr>
              <w:t>-2016</w:t>
            </w:r>
          </w:p>
        </w:tc>
      </w:tr>
    </w:tbl>
    <w:p>
      <w:pPr>
        <w:snapToGrid w:val="0"/>
        <w:spacing w:line="594" w:lineRule="exact"/>
        <w:ind w:firstLine="546" w:firstLineChars="199"/>
        <w:rPr>
          <w:rFonts w:ascii="Times New Roman" w:hAnsi="Times New Roman" w:eastAsia="仿宋_GB2312"/>
          <w:color w:val="auto"/>
          <w:sz w:val="28"/>
          <w:szCs w:val="28"/>
        </w:rPr>
      </w:pPr>
      <w:r>
        <w:rPr>
          <w:rFonts w:hint="eastAsia" w:ascii="仿宋_GB2312" w:hAnsi="方正仿宋_GBK" w:eastAsia="仿宋_GB2312" w:cs="方正仿宋_GBK"/>
          <w:color w:val="auto"/>
          <w:sz w:val="28"/>
          <w:szCs w:val="28"/>
        </w:rPr>
        <w:t>执行企业标准、团体标准、地方标准的产品，检验项目参照</w:t>
      </w:r>
      <w:r>
        <w:rPr>
          <w:rFonts w:hint="eastAsia" w:ascii="仿宋_GB2312" w:hAnsi="方正仿宋_GBK" w:eastAsia="仿宋_GB2312" w:cs="方正仿宋_GBK"/>
          <w:color w:val="auto"/>
          <w:sz w:val="28"/>
          <w:szCs w:val="28"/>
          <w:lang w:eastAsia="zh-CN"/>
        </w:rPr>
        <w:t>表</w:t>
      </w:r>
      <w:r>
        <w:rPr>
          <w:rFonts w:hint="eastAsia" w:ascii="仿宋_GB2312" w:hAnsi="方正仿宋_GBK" w:eastAsia="仿宋_GB2312" w:cs="方正仿宋_GBK"/>
          <w:color w:val="auto"/>
          <w:sz w:val="28"/>
          <w:szCs w:val="28"/>
          <w:lang w:val="en-US" w:eastAsia="zh-CN"/>
        </w:rPr>
        <w:t>3</w:t>
      </w:r>
      <w:r>
        <w:rPr>
          <w:rFonts w:hint="eastAsia" w:ascii="仿宋_GB2312" w:hAnsi="方正仿宋_GBK" w:eastAsia="仿宋_GB2312" w:cs="方正仿宋_GBK"/>
          <w:color w:val="auto"/>
          <w:sz w:val="28"/>
          <w:szCs w:val="28"/>
        </w:rPr>
        <w:t>内容执行。</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rPr>
        <w:t>3 判定</w:t>
      </w:r>
      <w:r>
        <w:rPr>
          <w:rFonts w:hint="eastAsia" w:ascii="黑体" w:hAnsi="黑体" w:eastAsia="黑体"/>
          <w:color w:val="auto"/>
          <w:sz w:val="28"/>
          <w:szCs w:val="28"/>
        </w:rPr>
        <w:t>规则</w:t>
      </w:r>
    </w:p>
    <w:p>
      <w:pPr>
        <w:adjustRightInd w:val="0"/>
        <w:snapToGrid w:val="0"/>
        <w:spacing w:line="560" w:lineRule="exact"/>
        <w:ind w:firstLine="548" w:firstLineChars="200"/>
        <w:rPr>
          <w:rFonts w:ascii="楷体_GB2312" w:hAnsi="楷体_GB2312" w:eastAsia="楷体_GB2312" w:cs="楷体_GB2312"/>
          <w:b/>
          <w:bCs/>
          <w:color w:val="auto"/>
          <w:sz w:val="28"/>
          <w:szCs w:val="28"/>
        </w:rPr>
      </w:pPr>
      <w:r>
        <w:rPr>
          <w:rFonts w:hint="eastAsia" w:ascii="楷体_GB2312" w:hAnsi="楷体_GB2312" w:eastAsia="楷体_GB2312" w:cs="楷体_GB2312"/>
          <w:b/>
          <w:bCs/>
          <w:color w:val="auto"/>
          <w:sz w:val="28"/>
          <w:szCs w:val="28"/>
        </w:rPr>
        <w:t>3.1依据标准</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GB/T 18006.1-2009 塑料一次性餐饮具 通用技术要求</w:t>
      </w:r>
    </w:p>
    <w:p>
      <w:pPr>
        <w:adjustRightInd w:val="0"/>
        <w:snapToGrid w:val="0"/>
        <w:spacing w:line="560" w:lineRule="exact"/>
        <w:ind w:firstLine="548" w:firstLineChars="200"/>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GB/T 24693-2009</w:t>
      </w:r>
      <w:r>
        <w:rPr>
          <w:rFonts w:hint="eastAsia" w:ascii="仿宋_GB2312" w:hAnsi="Times New Roman" w:eastAsia="仿宋_GB2312" w:cs="宋体"/>
          <w:color w:val="auto"/>
          <w:sz w:val="28"/>
          <w:szCs w:val="28"/>
          <w:lang w:val="en-US" w:eastAsia="zh-CN"/>
        </w:rPr>
        <w:t xml:space="preserve">  </w:t>
      </w:r>
      <w:r>
        <w:rPr>
          <w:rFonts w:hint="eastAsia" w:ascii="仿宋_GB2312" w:hAnsi="Times New Roman" w:eastAsia="仿宋_GB2312" w:cs="宋体"/>
          <w:color w:val="auto"/>
          <w:sz w:val="28"/>
          <w:szCs w:val="28"/>
          <w:lang w:val="zh-CN"/>
        </w:rPr>
        <w:t>聚丙烯饮用</w:t>
      </w:r>
      <w:r>
        <w:rPr>
          <w:rFonts w:hint="eastAsia" w:ascii="仿宋_GB2312" w:hAnsi="Times New Roman" w:eastAsia="仿宋_GB2312" w:cs="宋体"/>
          <w:color w:val="auto"/>
          <w:sz w:val="28"/>
          <w:szCs w:val="28"/>
        </w:rPr>
        <w:t>吸管</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 4806.6-2016 食品安全国家标准 食品接触用塑料树脂</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 4806.7-2016 食品安全国家标准 食品接触用塑料材料及制品</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GB 9685-2016 食品安全国家标准 食品接触材料及制品用添加剂使用标准</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hint="eastAsia" w:ascii="仿宋_GB2312" w:hAnsi="Times New Roman" w:eastAsia="仿宋_GB2312" w:cs="宋体"/>
          <w:color w:val="auto"/>
          <w:sz w:val="28"/>
          <w:szCs w:val="28"/>
        </w:rPr>
      </w:pPr>
      <w:r>
        <w:rPr>
          <w:rFonts w:hint="eastAsia" w:ascii="仿宋_GB2312" w:hAnsi="Times New Roman" w:eastAsia="仿宋_GB2312" w:cs="宋体"/>
          <w:color w:val="auto"/>
          <w:sz w:val="28"/>
          <w:szCs w:val="28"/>
        </w:rPr>
        <w:t>国家质量监督检验检疫总局《食品用塑料包装、容器、工具等制品生产许可审查细则》</w:t>
      </w:r>
    </w:p>
    <w:p>
      <w:pPr>
        <w:keepNext w:val="0"/>
        <w:keepLines w:val="0"/>
        <w:pageBreakBefore w:val="0"/>
        <w:widowControl w:val="0"/>
        <w:kinsoku/>
        <w:wordWrap/>
        <w:overflowPunct/>
        <w:topLinePunct w:val="0"/>
        <w:autoSpaceDE/>
        <w:autoSpaceDN/>
        <w:bidi w:val="0"/>
        <w:snapToGrid w:val="0"/>
        <w:spacing w:line="594" w:lineRule="exact"/>
        <w:ind w:firstLine="548" w:firstLineChars="200"/>
        <w:jc w:val="left"/>
        <w:textAlignment w:val="auto"/>
        <w:rPr>
          <w:rFonts w:hint="eastAsia" w:ascii="Times New Roman" w:hAnsi="Times New Roman" w:eastAsia="仿宋_GB2312"/>
          <w:color w:val="auto"/>
          <w:sz w:val="28"/>
          <w:szCs w:val="28"/>
        </w:rPr>
      </w:pPr>
      <w:r>
        <w:rPr>
          <w:rFonts w:hint="eastAsia" w:ascii="Times New Roman" w:hAnsi="Times New Roman" w:eastAsia="仿宋_GB2312"/>
          <w:color w:val="auto"/>
          <w:sz w:val="28"/>
          <w:szCs w:val="28"/>
        </w:rPr>
        <w:t>相关的法律法规、部门规章和规范</w:t>
      </w:r>
    </w:p>
    <w:p>
      <w:pPr>
        <w:keepNext w:val="0"/>
        <w:keepLines w:val="0"/>
        <w:pageBreakBefore w:val="0"/>
        <w:widowControl w:val="0"/>
        <w:kinsoku/>
        <w:wordWrap/>
        <w:overflowPunct/>
        <w:topLinePunct w:val="0"/>
        <w:autoSpaceDE/>
        <w:autoSpaceDN/>
        <w:bidi w:val="0"/>
        <w:snapToGrid w:val="0"/>
        <w:spacing w:line="594" w:lineRule="exact"/>
        <w:ind w:firstLine="548" w:firstLineChars="200"/>
        <w:jc w:val="left"/>
        <w:textAlignment w:val="auto"/>
        <w:rPr>
          <w:rFonts w:ascii="Times New Roman" w:hAnsi="Times New Roman" w:eastAsia="仿宋_GB2312"/>
          <w:color w:val="auto"/>
          <w:sz w:val="28"/>
          <w:szCs w:val="28"/>
        </w:rPr>
      </w:pPr>
      <w:r>
        <w:rPr>
          <w:rFonts w:hint="eastAsia" w:ascii="Times New Roman" w:hAnsi="Times New Roman" w:eastAsia="仿宋_GB2312"/>
          <w:color w:val="auto"/>
          <w:sz w:val="28"/>
          <w:szCs w:val="28"/>
        </w:rPr>
        <w:t>现行有效的企业标准及产品明示质量要求</w:t>
      </w:r>
    </w:p>
    <w:p>
      <w:pPr>
        <w:adjustRightInd w:val="0"/>
        <w:snapToGrid w:val="0"/>
        <w:spacing w:line="560" w:lineRule="exact"/>
        <w:ind w:firstLine="548" w:firstLineChars="200"/>
        <w:rPr>
          <w:rFonts w:ascii="楷体_GB2312" w:hAnsi="楷体_GB2312" w:eastAsia="楷体_GB2312" w:cs="楷体_GB2312"/>
          <w:b/>
          <w:bCs/>
          <w:color w:val="auto"/>
          <w:sz w:val="28"/>
          <w:szCs w:val="28"/>
        </w:rPr>
      </w:pPr>
      <w:r>
        <w:rPr>
          <w:rFonts w:ascii="楷体_GB2312" w:hAnsi="楷体_GB2312" w:eastAsia="楷体_GB2312" w:cs="楷体_GB2312"/>
          <w:b/>
          <w:bCs/>
          <w:color w:val="auto"/>
          <w:sz w:val="28"/>
          <w:szCs w:val="28"/>
        </w:rPr>
        <w:t>3.2</w:t>
      </w:r>
      <w:r>
        <w:rPr>
          <w:rFonts w:hint="eastAsia" w:ascii="楷体_GB2312" w:hAnsi="楷体_GB2312" w:eastAsia="楷体_GB2312" w:cs="楷体_GB2312"/>
          <w:b/>
          <w:bCs/>
          <w:color w:val="auto"/>
          <w:sz w:val="28"/>
          <w:szCs w:val="28"/>
        </w:rPr>
        <w:t>判定</w:t>
      </w:r>
      <w:r>
        <w:rPr>
          <w:rFonts w:ascii="楷体_GB2312" w:hAnsi="楷体_GB2312" w:eastAsia="楷体_GB2312" w:cs="楷体_GB2312"/>
          <w:b/>
          <w:bCs/>
          <w:color w:val="auto"/>
          <w:sz w:val="28"/>
          <w:szCs w:val="28"/>
        </w:rPr>
        <w:t>原则</w:t>
      </w:r>
    </w:p>
    <w:p>
      <w:pPr>
        <w:snapToGrid w:val="0"/>
        <w:spacing w:line="594" w:lineRule="exact"/>
        <w:ind w:firstLine="548" w:firstLineChars="200"/>
        <w:rPr>
          <w:rFonts w:ascii="Times New Roman" w:hAnsi="Times New Roman" w:eastAsia="仿宋_GB2312"/>
          <w:color w:val="auto"/>
          <w:sz w:val="28"/>
          <w:szCs w:val="28"/>
        </w:rPr>
      </w:pPr>
      <w:r>
        <w:rPr>
          <w:rFonts w:ascii="Times New Roman" w:hAnsi="Times New Roman" w:eastAsia="仿宋_GB2312"/>
          <w:color w:val="auto"/>
          <w:sz w:val="28"/>
          <w:szCs w:val="28"/>
        </w:rPr>
        <w:t>经检验，检验项目全部合格，</w:t>
      </w:r>
      <w:r>
        <w:rPr>
          <w:rFonts w:hint="eastAsia" w:ascii="仿宋_GB2312" w:eastAsia="仿宋_GB2312"/>
          <w:color w:val="000000"/>
          <w:sz w:val="28"/>
          <w:szCs w:val="28"/>
        </w:rPr>
        <w:t>判定为被抽查产品所检项目未发现不合格；</w:t>
      </w:r>
      <w:r>
        <w:rPr>
          <w:rFonts w:ascii="Times New Roman" w:hAnsi="Times New Roman" w:eastAsia="仿宋_GB2312"/>
          <w:color w:val="auto"/>
          <w:sz w:val="28"/>
          <w:szCs w:val="28"/>
        </w:rPr>
        <w:t>检验项目中任一项或一项以上不合格，判定为被抽查产品不合格。</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若被检产品明示的质量要求高于本细则中检验项目依据的标准要求时，应按被检产品明示的质量要求判定。</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若被检产品明示的质量要求低于本细则中检验项目依据的强制性标准要求时，应按照强制性标准要求判定。</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若被检产品明示的质量要求低于或包含本细则中检验项目依据的推荐性标准要求时，应以被检产品明示的质量要求判定。</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若被检产品明示的质量要求缺少本细则中检验项目依据的强制性标准要求时，应按照强制性标准要求判定。</w:t>
      </w:r>
    </w:p>
    <w:p>
      <w:pPr>
        <w:snapToGrid w:val="0"/>
        <w:spacing w:line="594" w:lineRule="exact"/>
        <w:ind w:firstLine="546" w:firstLineChars="199"/>
        <w:rPr>
          <w:rFonts w:ascii="Times New Roman" w:hAnsi="Times New Roman" w:eastAsia="仿宋_GB2312"/>
          <w:color w:val="auto"/>
          <w:sz w:val="28"/>
          <w:szCs w:val="28"/>
        </w:rPr>
      </w:pPr>
      <w:r>
        <w:rPr>
          <w:rFonts w:ascii="Times New Roman" w:hAnsi="Times New Roman" w:eastAsia="仿宋_GB2312"/>
          <w:color w:val="auto"/>
          <w:sz w:val="28"/>
          <w:szCs w:val="28"/>
        </w:rPr>
        <w:t>若被检产品明示的质量要求缺少本细则中检验项目依据的推荐性标准要求时，该项目不参与判定。</w:t>
      </w:r>
    </w:p>
    <w:p>
      <w:pPr>
        <w:adjustRightInd w:val="0"/>
        <w:snapToGrid w:val="0"/>
        <w:spacing w:line="560" w:lineRule="exact"/>
        <w:ind w:firstLine="548" w:firstLineChars="200"/>
        <w:rPr>
          <w:rFonts w:hint="default" w:ascii="仿宋_GB2312" w:eastAsia="仿宋_GB2312"/>
          <w:color w:val="000000"/>
          <w:sz w:val="32"/>
          <w:szCs w:val="32"/>
          <w:lang w:val="en-US" w:eastAsia="zh-CN"/>
        </w:rPr>
      </w:pPr>
      <w:r>
        <w:rPr>
          <w:rFonts w:hint="eastAsia" w:ascii="仿宋_GB2312" w:eastAsia="仿宋_GB2312"/>
          <w:color w:val="auto"/>
          <w:sz w:val="28"/>
          <w:szCs w:val="28"/>
        </w:rPr>
        <w:t>依据卫健委“卫监督发[2005]515号”《健康相关产品国家卫生监督抽检规定》第十九条“产品微生物指标超标的不予复检”</w:t>
      </w:r>
      <w:r>
        <w:rPr>
          <w:rFonts w:hint="eastAsia" w:ascii="仿宋_GB2312" w:eastAsia="仿宋_GB2312"/>
          <w:color w:val="auto"/>
          <w:sz w:val="28"/>
          <w:szCs w:val="28"/>
          <w:lang w:eastAsia="zh-CN"/>
        </w:rPr>
        <w:t>、</w:t>
      </w:r>
      <w:r>
        <w:rPr>
          <w:rFonts w:hint="eastAsia" w:ascii="仿宋_GB2312" w:eastAsia="仿宋_GB2312"/>
          <w:color w:val="auto"/>
          <w:sz w:val="28"/>
          <w:szCs w:val="28"/>
        </w:rPr>
        <w:t>“检验结果报告后，剩余样品和同批产品不进行微生物项目的复检”的规定，微生物项目（大肠杆菌、</w:t>
      </w:r>
      <w:r>
        <w:rPr>
          <w:rFonts w:hint="eastAsia" w:ascii="仿宋_GB2312" w:eastAsia="仿宋_GB2312"/>
          <w:color w:val="auto"/>
          <w:sz w:val="28"/>
          <w:szCs w:val="28"/>
          <w:lang w:eastAsia="zh-CN"/>
        </w:rPr>
        <w:t>致病菌</w:t>
      </w:r>
      <w:r>
        <w:rPr>
          <w:rFonts w:hint="eastAsia" w:ascii="仿宋_GB2312" w:eastAsia="仿宋_GB2312"/>
          <w:color w:val="auto"/>
          <w:sz w:val="28"/>
          <w:szCs w:val="28"/>
        </w:rPr>
        <w:t>、霉菌）不合格不复检。</w:t>
      </w:r>
    </w:p>
    <w:sectPr>
      <w:footerReference r:id="rId3" w:type="default"/>
      <w:pgSz w:w="11906" w:h="16838"/>
      <w:pgMar w:top="1984" w:right="1474" w:bottom="1361" w:left="1474" w:header="851" w:footer="1361" w:gutter="0"/>
      <w:cols w:space="72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pPr>
                      <w:pStyle w:val="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2"/>
  <w:drawingGridVerticalSpacing w:val="14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1M2NmZTA5NjEzYzdjYjE3MTkwMTNiMmQyMjg2M2QifQ=="/>
  </w:docVars>
  <w:rsids>
    <w:rsidRoot w:val="00172A27"/>
    <w:rsid w:val="000049CE"/>
    <w:rsid w:val="00013890"/>
    <w:rsid w:val="000232F9"/>
    <w:rsid w:val="000500E0"/>
    <w:rsid w:val="000731C9"/>
    <w:rsid w:val="000A67A7"/>
    <w:rsid w:val="000C5CBE"/>
    <w:rsid w:val="000E741B"/>
    <w:rsid w:val="000F2726"/>
    <w:rsid w:val="00111EBD"/>
    <w:rsid w:val="001850A2"/>
    <w:rsid w:val="001D4E92"/>
    <w:rsid w:val="001E79D2"/>
    <w:rsid w:val="002039FE"/>
    <w:rsid w:val="00206D31"/>
    <w:rsid w:val="0023233E"/>
    <w:rsid w:val="002455DC"/>
    <w:rsid w:val="00266EA3"/>
    <w:rsid w:val="00271EB5"/>
    <w:rsid w:val="002720F8"/>
    <w:rsid w:val="002B21AB"/>
    <w:rsid w:val="002C0250"/>
    <w:rsid w:val="002C7FF9"/>
    <w:rsid w:val="002D31C1"/>
    <w:rsid w:val="0032196E"/>
    <w:rsid w:val="003334B6"/>
    <w:rsid w:val="00333D9B"/>
    <w:rsid w:val="00366169"/>
    <w:rsid w:val="00371DAD"/>
    <w:rsid w:val="003D605A"/>
    <w:rsid w:val="003E667E"/>
    <w:rsid w:val="00405F99"/>
    <w:rsid w:val="004148E2"/>
    <w:rsid w:val="004356B1"/>
    <w:rsid w:val="00442AF4"/>
    <w:rsid w:val="004B2648"/>
    <w:rsid w:val="004B43A2"/>
    <w:rsid w:val="004B7761"/>
    <w:rsid w:val="004E7BBF"/>
    <w:rsid w:val="00514D35"/>
    <w:rsid w:val="00580BA8"/>
    <w:rsid w:val="00581201"/>
    <w:rsid w:val="0058735B"/>
    <w:rsid w:val="005951ED"/>
    <w:rsid w:val="005E2062"/>
    <w:rsid w:val="006049ED"/>
    <w:rsid w:val="00611970"/>
    <w:rsid w:val="00626EBF"/>
    <w:rsid w:val="00645A0E"/>
    <w:rsid w:val="006529B5"/>
    <w:rsid w:val="00677A07"/>
    <w:rsid w:val="006861DD"/>
    <w:rsid w:val="00690D3D"/>
    <w:rsid w:val="00697C39"/>
    <w:rsid w:val="006B5372"/>
    <w:rsid w:val="006C1431"/>
    <w:rsid w:val="006D0E89"/>
    <w:rsid w:val="006D11C9"/>
    <w:rsid w:val="00714FAA"/>
    <w:rsid w:val="007243A5"/>
    <w:rsid w:val="007504BE"/>
    <w:rsid w:val="00762AAE"/>
    <w:rsid w:val="00786089"/>
    <w:rsid w:val="00795BCF"/>
    <w:rsid w:val="007D3664"/>
    <w:rsid w:val="007D548E"/>
    <w:rsid w:val="007E39FB"/>
    <w:rsid w:val="0086138B"/>
    <w:rsid w:val="008D4A95"/>
    <w:rsid w:val="00924F0B"/>
    <w:rsid w:val="00966F02"/>
    <w:rsid w:val="00992192"/>
    <w:rsid w:val="009941C0"/>
    <w:rsid w:val="00A42A73"/>
    <w:rsid w:val="00A53AB1"/>
    <w:rsid w:val="00AD06A8"/>
    <w:rsid w:val="00B30457"/>
    <w:rsid w:val="00B720CC"/>
    <w:rsid w:val="00BA52A2"/>
    <w:rsid w:val="00BA6009"/>
    <w:rsid w:val="00C06925"/>
    <w:rsid w:val="00C34866"/>
    <w:rsid w:val="00C65D36"/>
    <w:rsid w:val="00C802EA"/>
    <w:rsid w:val="00CE1036"/>
    <w:rsid w:val="00CF23C3"/>
    <w:rsid w:val="00D10A00"/>
    <w:rsid w:val="00D21ADA"/>
    <w:rsid w:val="00D36E9D"/>
    <w:rsid w:val="00D523B8"/>
    <w:rsid w:val="00DC2C32"/>
    <w:rsid w:val="00DD068E"/>
    <w:rsid w:val="00DE7E0F"/>
    <w:rsid w:val="00DF2639"/>
    <w:rsid w:val="00E10A0A"/>
    <w:rsid w:val="00E32F4F"/>
    <w:rsid w:val="00E44968"/>
    <w:rsid w:val="00E73DDF"/>
    <w:rsid w:val="00E81F24"/>
    <w:rsid w:val="00EB737E"/>
    <w:rsid w:val="00EC7CD0"/>
    <w:rsid w:val="00ED7784"/>
    <w:rsid w:val="00EE5575"/>
    <w:rsid w:val="00EF0FF9"/>
    <w:rsid w:val="00EF35C4"/>
    <w:rsid w:val="00F03212"/>
    <w:rsid w:val="00F1388B"/>
    <w:rsid w:val="00F21862"/>
    <w:rsid w:val="00F4297A"/>
    <w:rsid w:val="00F7461A"/>
    <w:rsid w:val="00F77810"/>
    <w:rsid w:val="00FD2FD0"/>
    <w:rsid w:val="00FE7884"/>
    <w:rsid w:val="01F65BDD"/>
    <w:rsid w:val="03633CE8"/>
    <w:rsid w:val="03FA1A99"/>
    <w:rsid w:val="04AD267B"/>
    <w:rsid w:val="06A43FD8"/>
    <w:rsid w:val="07F10B4A"/>
    <w:rsid w:val="09B802FA"/>
    <w:rsid w:val="09D21F26"/>
    <w:rsid w:val="0C090135"/>
    <w:rsid w:val="0C7A1AEA"/>
    <w:rsid w:val="0FBE206B"/>
    <w:rsid w:val="109C26F3"/>
    <w:rsid w:val="111F6D05"/>
    <w:rsid w:val="12C50CD6"/>
    <w:rsid w:val="133E645D"/>
    <w:rsid w:val="18600DA4"/>
    <w:rsid w:val="1A700323"/>
    <w:rsid w:val="1A730087"/>
    <w:rsid w:val="1B3E40A4"/>
    <w:rsid w:val="1BDD03B5"/>
    <w:rsid w:val="1C6D70F9"/>
    <w:rsid w:val="21AE27D6"/>
    <w:rsid w:val="21E91230"/>
    <w:rsid w:val="22134A93"/>
    <w:rsid w:val="22B51B96"/>
    <w:rsid w:val="234067E8"/>
    <w:rsid w:val="23966AD2"/>
    <w:rsid w:val="24307F76"/>
    <w:rsid w:val="27052520"/>
    <w:rsid w:val="28322380"/>
    <w:rsid w:val="2A00626B"/>
    <w:rsid w:val="2A4240D0"/>
    <w:rsid w:val="2A570AC1"/>
    <w:rsid w:val="2AF62AC9"/>
    <w:rsid w:val="2CCF54E4"/>
    <w:rsid w:val="2E191F4D"/>
    <w:rsid w:val="2E5A49E9"/>
    <w:rsid w:val="2EA55005"/>
    <w:rsid w:val="303C557E"/>
    <w:rsid w:val="31567C67"/>
    <w:rsid w:val="31781EF3"/>
    <w:rsid w:val="32337CF4"/>
    <w:rsid w:val="32651641"/>
    <w:rsid w:val="32670304"/>
    <w:rsid w:val="32FA3654"/>
    <w:rsid w:val="33515BAE"/>
    <w:rsid w:val="355A42D6"/>
    <w:rsid w:val="38292DB7"/>
    <w:rsid w:val="3899266B"/>
    <w:rsid w:val="391F06E1"/>
    <w:rsid w:val="392C2202"/>
    <w:rsid w:val="3A0850D6"/>
    <w:rsid w:val="3C2D68A1"/>
    <w:rsid w:val="3D5E2D35"/>
    <w:rsid w:val="3E1144CF"/>
    <w:rsid w:val="3F7474B8"/>
    <w:rsid w:val="3F982425"/>
    <w:rsid w:val="402356EF"/>
    <w:rsid w:val="402925DA"/>
    <w:rsid w:val="404D13CF"/>
    <w:rsid w:val="418E559A"/>
    <w:rsid w:val="42A114F4"/>
    <w:rsid w:val="43A75236"/>
    <w:rsid w:val="44E810FE"/>
    <w:rsid w:val="48012BA9"/>
    <w:rsid w:val="48C570A4"/>
    <w:rsid w:val="49D8009E"/>
    <w:rsid w:val="4A7F6C67"/>
    <w:rsid w:val="4BF210B7"/>
    <w:rsid w:val="4D93150B"/>
    <w:rsid w:val="4F8634CC"/>
    <w:rsid w:val="4FE85C5D"/>
    <w:rsid w:val="50EB16C5"/>
    <w:rsid w:val="50FD7649"/>
    <w:rsid w:val="51014D25"/>
    <w:rsid w:val="514E1C34"/>
    <w:rsid w:val="525B487D"/>
    <w:rsid w:val="52C35FEA"/>
    <w:rsid w:val="53226CDE"/>
    <w:rsid w:val="54587C4A"/>
    <w:rsid w:val="55A961F2"/>
    <w:rsid w:val="568230C3"/>
    <w:rsid w:val="5786442F"/>
    <w:rsid w:val="580349BF"/>
    <w:rsid w:val="58885191"/>
    <w:rsid w:val="58D861C1"/>
    <w:rsid w:val="59DE4961"/>
    <w:rsid w:val="5ADE4706"/>
    <w:rsid w:val="5BD81BFF"/>
    <w:rsid w:val="5BED2034"/>
    <w:rsid w:val="5C370E42"/>
    <w:rsid w:val="5C6B2DC6"/>
    <w:rsid w:val="5C8517D2"/>
    <w:rsid w:val="61A174AC"/>
    <w:rsid w:val="620F5AE9"/>
    <w:rsid w:val="621A3C65"/>
    <w:rsid w:val="624C6B5C"/>
    <w:rsid w:val="62DB05FD"/>
    <w:rsid w:val="62E930F7"/>
    <w:rsid w:val="62FA12BF"/>
    <w:rsid w:val="63435F73"/>
    <w:rsid w:val="63D51F26"/>
    <w:rsid w:val="64F10CB0"/>
    <w:rsid w:val="66571AF5"/>
    <w:rsid w:val="67DB3077"/>
    <w:rsid w:val="6A7348E4"/>
    <w:rsid w:val="6CCA2781"/>
    <w:rsid w:val="6CE1526E"/>
    <w:rsid w:val="6F372B8E"/>
    <w:rsid w:val="6F394D5A"/>
    <w:rsid w:val="740330FD"/>
    <w:rsid w:val="760905E5"/>
    <w:rsid w:val="76635DD9"/>
    <w:rsid w:val="78080052"/>
    <w:rsid w:val="789F7665"/>
    <w:rsid w:val="790C49A2"/>
    <w:rsid w:val="792230E5"/>
    <w:rsid w:val="79440412"/>
    <w:rsid w:val="79E45269"/>
    <w:rsid w:val="7EBC0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qFormat/>
    <w:uiPriority w:val="99"/>
    <w:pPr>
      <w:spacing w:after="120"/>
    </w:pPr>
  </w:style>
  <w:style w:type="paragraph" w:styleId="4">
    <w:name w:val="Plain Text"/>
    <w:basedOn w:val="1"/>
    <w:qFormat/>
    <w:uiPriority w:val="99"/>
    <w:rPr>
      <w:rFonts w:ascii="宋体" w:hAnsi="Courier New"/>
      <w:kern w:val="0"/>
      <w:sz w:val="20"/>
      <w:szCs w:val="20"/>
    </w:r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9"/>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9">
    <w:name w:val="HTML Preformatted"/>
    <w:basedOn w:val="1"/>
    <w:link w:val="2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0">
    <w:name w:val="Body Text First Indent"/>
    <w:basedOn w:val="3"/>
    <w:qFormat/>
    <w:uiPriority w:val="99"/>
    <w:pPr>
      <w:ind w:firstLine="420" w:firstLineChars="1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99"/>
  </w:style>
  <w:style w:type="character" w:styleId="15">
    <w:name w:val="Hyperlink"/>
    <w:unhideWhenUsed/>
    <w:qFormat/>
    <w:uiPriority w:val="99"/>
    <w:rPr>
      <w:color w:val="0000FF"/>
      <w:u w:val="single"/>
    </w:rPr>
  </w:style>
  <w:style w:type="character" w:customStyle="1" w:styleId="16">
    <w:name w:val="批注框文本 字符"/>
    <w:link w:val="5"/>
    <w:semiHidden/>
    <w:qFormat/>
    <w:uiPriority w:val="99"/>
    <w:rPr>
      <w:sz w:val="18"/>
      <w:szCs w:val="18"/>
    </w:rPr>
  </w:style>
  <w:style w:type="character" w:customStyle="1" w:styleId="17">
    <w:name w:val="页脚 字符"/>
    <w:link w:val="6"/>
    <w:qFormat/>
    <w:uiPriority w:val="99"/>
    <w:rPr>
      <w:sz w:val="18"/>
      <w:szCs w:val="18"/>
    </w:rPr>
  </w:style>
  <w:style w:type="character" w:customStyle="1" w:styleId="18">
    <w:name w:val="页眉 字符"/>
    <w:link w:val="7"/>
    <w:qFormat/>
    <w:uiPriority w:val="99"/>
    <w:rPr>
      <w:sz w:val="18"/>
      <w:szCs w:val="18"/>
    </w:rPr>
  </w:style>
  <w:style w:type="character" w:customStyle="1" w:styleId="19">
    <w:name w:val="正文文本缩进 3 字符1"/>
    <w:link w:val="8"/>
    <w:qFormat/>
    <w:uiPriority w:val="0"/>
    <w:rPr>
      <w:rFonts w:ascii="仿宋_GB2312" w:eastAsia="仿宋_GB2312"/>
      <w:sz w:val="32"/>
    </w:rPr>
  </w:style>
  <w:style w:type="character" w:customStyle="1" w:styleId="20">
    <w:name w:val="HTML 预设格式 字符"/>
    <w:link w:val="9"/>
    <w:semiHidden/>
    <w:qFormat/>
    <w:uiPriority w:val="99"/>
    <w:rPr>
      <w:rFonts w:ascii="宋体" w:hAnsi="宋体" w:eastAsia="宋体" w:cs="宋体"/>
      <w:kern w:val="0"/>
      <w:sz w:val="24"/>
      <w:szCs w:val="24"/>
    </w:rPr>
  </w:style>
  <w:style w:type="character" w:customStyle="1" w:styleId="21">
    <w:name w:val="正文文本缩进 3 字符"/>
    <w:semiHidden/>
    <w:qFormat/>
    <w:uiPriority w:val="99"/>
    <w:rPr>
      <w:sz w:val="16"/>
      <w:szCs w:val="16"/>
    </w:rPr>
  </w:style>
  <w:style w:type="paragraph" w:customStyle="1" w:styleId="22">
    <w:name w:val="Table Paragraph"/>
    <w:basedOn w:val="1"/>
    <w:unhideWhenUsed/>
    <w:qFormat/>
    <w:uiPriority w:val="1"/>
    <w:pPr>
      <w:spacing w:beforeLines="0" w:afterLines="0"/>
    </w:pPr>
    <w:rPr>
      <w:rFonts w:hint="default"/>
      <w:sz w:val="24"/>
    </w:rPr>
  </w:style>
  <w:style w:type="paragraph" w:customStyle="1" w:styleId="23">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paragraph" w:customStyle="1" w:styleId="25">
    <w:name w:val="二级无标题条"/>
    <w:basedOn w:val="1"/>
    <w:qFormat/>
    <w:uiPriority w:val="0"/>
    <w:rPr>
      <w:szCs w:val="21"/>
    </w:rPr>
  </w:style>
  <w:style w:type="paragraph" w:customStyle="1" w:styleId="26">
    <w:name w:val="列项·"/>
    <w:qFormat/>
    <w:uiPriority w:val="99"/>
    <w:pPr>
      <w:ind w:left="420"/>
      <w:jc w:val="both"/>
    </w:pPr>
    <w:rPr>
      <w:rFonts w:ascii="宋体" w:hAnsi="Times New Roman" w:eastAsia="Times New Roman" w:cs="宋体"/>
      <w:lang w:val="en-US" w:eastAsia="zh-CN" w:bidi="ar-SA"/>
    </w:rPr>
  </w:style>
  <w:style w:type="paragraph" w:customStyle="1" w:styleId="27">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1789</Words>
  <Characters>2555</Characters>
  <Lines>110</Lines>
  <Paragraphs>31</Paragraphs>
  <TotalTime>99</TotalTime>
  <ScaleCrop>false</ScaleCrop>
  <LinksUpToDate>false</LinksUpToDate>
  <CharactersWithSpaces>2635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2020-02-01T14:27:00Z</dcterms:created>
  <dc:creator>USER</dc:creator>
  <cp:lastModifiedBy>周</cp:lastModifiedBy>
  <cp:lastPrinted>2020-02-05T02:38:00Z</cp:lastPrinted>
  <dcterms:modified xsi:type="dcterms:W3CDTF">2023-11-02T05:17:15Z</dcterms:modified>
  <dc:title>市场监管总局关于开展口罩产品质量监督专项抽查有关工作的通知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DFE56D73FB3A4187A8838E37F83A53CF_13</vt:lpwstr>
  </property>
</Properties>
</file>